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4B" w:rsidRPr="00230C26" w:rsidRDefault="009C209C" w:rsidP="00660B3C">
      <w:pPr>
        <w:ind w:right="142"/>
        <w:jc w:val="center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>Отчет</w:t>
      </w:r>
    </w:p>
    <w:p w:rsidR="009C209C" w:rsidRPr="00230C26" w:rsidRDefault="009C209C" w:rsidP="00660B3C">
      <w:pPr>
        <w:ind w:right="142"/>
        <w:jc w:val="center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>о работе финансового управления администрации</w:t>
      </w:r>
    </w:p>
    <w:p w:rsidR="009C209C" w:rsidRPr="00230C26" w:rsidRDefault="009C209C" w:rsidP="00660B3C">
      <w:pPr>
        <w:ind w:right="142"/>
        <w:jc w:val="center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 xml:space="preserve"> Шарангского района за 2015 год.</w:t>
      </w:r>
    </w:p>
    <w:p w:rsidR="009C209C" w:rsidRDefault="009C209C" w:rsidP="00660B3C">
      <w:pPr>
        <w:ind w:right="142"/>
        <w:jc w:val="center"/>
        <w:rPr>
          <w:sz w:val="28"/>
          <w:szCs w:val="28"/>
        </w:rPr>
      </w:pPr>
    </w:p>
    <w:p w:rsidR="009C209C" w:rsidRDefault="009C209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в работе финансового управления в 2015 году в рамках реализации на территории </w:t>
      </w:r>
      <w:r w:rsidR="00230C26">
        <w:rPr>
          <w:sz w:val="28"/>
          <w:szCs w:val="28"/>
        </w:rPr>
        <w:t>Ш</w:t>
      </w:r>
      <w:r>
        <w:rPr>
          <w:sz w:val="28"/>
          <w:szCs w:val="28"/>
        </w:rPr>
        <w:t xml:space="preserve">арангского района </w:t>
      </w:r>
      <w:r w:rsidR="00230C26">
        <w:rPr>
          <w:sz w:val="28"/>
          <w:szCs w:val="28"/>
        </w:rPr>
        <w:t>эффективной бюджетной политики являлись:</w:t>
      </w:r>
    </w:p>
    <w:p w:rsidR="00230C26" w:rsidRDefault="00230C26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налогового потенциала;</w:t>
      </w:r>
    </w:p>
    <w:p w:rsidR="00230C26" w:rsidRDefault="00230C26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и долгосрочной устойчивости бюджетной системы Шарангского района;</w:t>
      </w:r>
    </w:p>
    <w:p w:rsidR="00230C26" w:rsidRDefault="00230C26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качественного, в соответствии с требованиями Бюджетного кодекса Российской Федерации, формирования и исполнения бюджета, организации бюджетного учета и составления отчетности;</w:t>
      </w:r>
    </w:p>
    <w:p w:rsidR="00230C26" w:rsidRDefault="00230C26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финансового контроля в управлении бюджетным процессом.</w:t>
      </w:r>
    </w:p>
    <w:p w:rsidR="00230C26" w:rsidRDefault="00230C26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подготовлен и представлен в Министерство финансов Нижегородской области отчет об исполнении консолидированного бюджета Шарангского района за 2014 год. 26 мая 2015 года проведены публичные слушания по проекту решения Земского собрания Шарангского района</w:t>
      </w:r>
      <w:r w:rsidR="00410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«Об исполнении районного бюджета за 2014 год».</w:t>
      </w:r>
    </w:p>
    <w:p w:rsidR="00230C26" w:rsidRDefault="00B23331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подготовлено 7 уточнений решения Земского собрания Шарангского района «О районном бюджете на 2015 год», которые были связаны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23331" w:rsidRDefault="00B23331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изменением объ</w:t>
      </w:r>
      <w:r w:rsidR="00636B32">
        <w:rPr>
          <w:sz w:val="28"/>
          <w:szCs w:val="28"/>
        </w:rPr>
        <w:t>емов</w:t>
      </w:r>
      <w:r>
        <w:rPr>
          <w:sz w:val="28"/>
          <w:szCs w:val="28"/>
        </w:rPr>
        <w:t xml:space="preserve"> безвозмездных поступлений из областного и федерального бюджетов;</w:t>
      </w:r>
    </w:p>
    <w:p w:rsidR="00B23331" w:rsidRDefault="00B23331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программы переселения граждан из ветхого фонда;</w:t>
      </w:r>
    </w:p>
    <w:p w:rsidR="00B23331" w:rsidRDefault="00B23331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B7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проведения капитального ремонта </w:t>
      </w:r>
      <w:proofErr w:type="spellStart"/>
      <w:r>
        <w:rPr>
          <w:sz w:val="28"/>
          <w:szCs w:val="28"/>
        </w:rPr>
        <w:t>Шарангской</w:t>
      </w:r>
      <w:proofErr w:type="spellEnd"/>
      <w:r>
        <w:rPr>
          <w:sz w:val="28"/>
          <w:szCs w:val="28"/>
        </w:rPr>
        <w:t xml:space="preserve"> средней школы;</w:t>
      </w:r>
    </w:p>
    <w:p w:rsidR="00B23331" w:rsidRDefault="00C83B7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331">
        <w:rPr>
          <w:sz w:val="28"/>
          <w:szCs w:val="28"/>
        </w:rPr>
        <w:t>направлением дополнительно полученных доходов</w:t>
      </w:r>
      <w:r>
        <w:rPr>
          <w:sz w:val="28"/>
          <w:szCs w:val="28"/>
        </w:rPr>
        <w:t xml:space="preserve"> </w:t>
      </w:r>
      <w:r w:rsidR="00B23331">
        <w:rPr>
          <w:sz w:val="28"/>
          <w:szCs w:val="28"/>
        </w:rPr>
        <w:t>на дополнительные расходы в сфере образования, дорожной деятельности, жилищно-коммунального хозяйства.</w:t>
      </w:r>
    </w:p>
    <w:p w:rsidR="00B23331" w:rsidRDefault="00B23331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всех уточнений доходы районного бюджета в 2015 году увеличились по сравнению с первоначально утвержденным бюджетом на 77,1 млн. рублей или на 17,3%, расходы – на 83,2 млн. рублей или на 18,6%.</w:t>
      </w:r>
    </w:p>
    <w:p w:rsidR="00F11DFC" w:rsidRDefault="00F11DF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муниципальная программа «Управление муниципальными финансами Шарангского муниципального района».</w:t>
      </w:r>
    </w:p>
    <w:p w:rsidR="00F11DFC" w:rsidRDefault="00F11DF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62AD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качественного исполнения районного бюджета принято постановление администрации Шарангского района от 23 марта </w:t>
      </w:r>
      <w:r>
        <w:rPr>
          <w:sz w:val="28"/>
          <w:szCs w:val="28"/>
        </w:rPr>
        <w:lastRenderedPageBreak/>
        <w:t xml:space="preserve">2015 года № 153 «О мерах по реализации решения Земского собрания Шарангского </w:t>
      </w:r>
      <w:r w:rsidR="0072102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72102E">
        <w:rPr>
          <w:sz w:val="28"/>
          <w:szCs w:val="28"/>
        </w:rPr>
        <w:t xml:space="preserve"> «О районном бюджете на 2015 год».</w:t>
      </w:r>
    </w:p>
    <w:p w:rsidR="0072102E" w:rsidRDefault="0072102E" w:rsidP="00BF4C0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Шарангского района от 27.01.2012 года № 13 «Об организации проведения мониторинга качества финансового менеджмента, осуществляемого главными администраторами средств районного бюджета» ежеквартально проводились анализ и оценка результатов качества финансового менеджмента, осуществляемого главными администрат</w:t>
      </w:r>
      <w:r w:rsidR="00BF4C0E">
        <w:rPr>
          <w:sz w:val="28"/>
          <w:szCs w:val="28"/>
        </w:rPr>
        <w:t>орами средств районного бюджета.</w:t>
      </w:r>
    </w:p>
    <w:p w:rsidR="00BF4C0E" w:rsidRDefault="00BF4C0E" w:rsidP="00660B3C">
      <w:pPr>
        <w:ind w:right="142"/>
        <w:jc w:val="both"/>
        <w:rPr>
          <w:sz w:val="28"/>
          <w:szCs w:val="28"/>
        </w:rPr>
      </w:pPr>
    </w:p>
    <w:p w:rsidR="0072102E" w:rsidRPr="0072102E" w:rsidRDefault="0072102E" w:rsidP="00660B3C">
      <w:pPr>
        <w:ind w:right="142" w:firstLine="709"/>
        <w:jc w:val="center"/>
        <w:rPr>
          <w:b/>
          <w:sz w:val="28"/>
          <w:szCs w:val="28"/>
        </w:rPr>
      </w:pPr>
      <w:r w:rsidRPr="0072102E">
        <w:rPr>
          <w:b/>
          <w:sz w:val="28"/>
          <w:szCs w:val="28"/>
        </w:rPr>
        <w:t xml:space="preserve">Исполнение бюджета и обеспечение </w:t>
      </w:r>
    </w:p>
    <w:p w:rsidR="0072102E" w:rsidRDefault="0072102E" w:rsidP="00660B3C">
      <w:pPr>
        <w:ind w:right="142" w:firstLine="709"/>
        <w:jc w:val="center"/>
        <w:rPr>
          <w:b/>
          <w:sz w:val="28"/>
          <w:szCs w:val="28"/>
        </w:rPr>
      </w:pPr>
      <w:r w:rsidRPr="0072102E">
        <w:rPr>
          <w:b/>
          <w:sz w:val="28"/>
          <w:szCs w:val="28"/>
        </w:rPr>
        <w:t>приоритето</w:t>
      </w:r>
      <w:r>
        <w:rPr>
          <w:b/>
          <w:sz w:val="28"/>
          <w:szCs w:val="28"/>
        </w:rPr>
        <w:t>в расходования бюджетных средств.</w:t>
      </w:r>
    </w:p>
    <w:p w:rsidR="0072102E" w:rsidRDefault="0072102E" w:rsidP="00660B3C">
      <w:pPr>
        <w:ind w:right="142" w:firstLine="709"/>
        <w:jc w:val="both"/>
        <w:rPr>
          <w:b/>
          <w:sz w:val="28"/>
          <w:szCs w:val="28"/>
        </w:rPr>
      </w:pPr>
    </w:p>
    <w:p w:rsidR="0072102E" w:rsidRDefault="0072102E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доходы консолидированного бюджета Шарангского района составили 533,1 млн. рублей. Уточненный годовой план по доходам </w:t>
      </w:r>
      <w:r w:rsidR="0063760D">
        <w:rPr>
          <w:sz w:val="28"/>
          <w:szCs w:val="28"/>
        </w:rPr>
        <w:t xml:space="preserve">исполнен на 99,3%. Объем доходов к уровню 2014 года увеличился на </w:t>
      </w:r>
      <w:r w:rsidR="00111F60">
        <w:rPr>
          <w:sz w:val="28"/>
          <w:szCs w:val="28"/>
        </w:rPr>
        <w:t xml:space="preserve"> </w:t>
      </w:r>
      <w:r w:rsidR="004104F9">
        <w:rPr>
          <w:sz w:val="28"/>
          <w:szCs w:val="28"/>
        </w:rPr>
        <w:t xml:space="preserve">      </w:t>
      </w:r>
      <w:r w:rsidR="0063760D">
        <w:rPr>
          <w:sz w:val="28"/>
          <w:szCs w:val="28"/>
        </w:rPr>
        <w:t>22,7 млн. рублей или на 4,4%.</w:t>
      </w:r>
    </w:p>
    <w:p w:rsidR="0063760D" w:rsidRDefault="0063760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консолидированного бюджета налоговые и неналоговые доходы занимают 19,6% (104,6 млн. рублей), безвозмездные поступления – 80,4% (428,5 млн. рублей).</w:t>
      </w:r>
    </w:p>
    <w:p w:rsidR="0063760D" w:rsidRDefault="0063760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поступили с ростом 2,2% к плану и 49,2% к уровню предыдущего года.</w:t>
      </w:r>
    </w:p>
    <w:p w:rsidR="0063760D" w:rsidRDefault="0063760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поступления собственных доходов являются следующие:</w:t>
      </w:r>
    </w:p>
    <w:p w:rsidR="0063760D" w:rsidRDefault="0063760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лиц, его доля занимает 68,6% в общем объеме налоговых и неналоговых поступлений. За 2015 год НДФЛ поступил в сумме 71,8 млн. рублей или 99,6% к плану и 167% к 2014 году. Высокий темп роста объясняется увеличением норматива зачисления этого налога в бюджет района с 60% в 2014 году до 98% в 2015 году;</w:t>
      </w:r>
    </w:p>
    <w:p w:rsidR="0063760D" w:rsidRDefault="0063760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имущество – 6,9%. Земельного налога поступило </w:t>
      </w:r>
      <w:r w:rsidR="00410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5,5 млн. рублей (101,5% к плану), налога на имущество физических лиц – </w:t>
      </w:r>
      <w:r w:rsidR="004104F9">
        <w:rPr>
          <w:sz w:val="28"/>
          <w:szCs w:val="28"/>
        </w:rPr>
        <w:t xml:space="preserve">   </w:t>
      </w:r>
      <w:r>
        <w:rPr>
          <w:sz w:val="28"/>
          <w:szCs w:val="28"/>
        </w:rPr>
        <w:t>1,7 млн. рублей (121% к плану);</w:t>
      </w:r>
    </w:p>
    <w:p w:rsidR="0063760D" w:rsidRDefault="0063760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на нефтепродукты </w:t>
      </w:r>
      <w:r w:rsidR="002A6A13">
        <w:rPr>
          <w:sz w:val="28"/>
          <w:szCs w:val="28"/>
        </w:rPr>
        <w:t>– 6,5% при годовом плане 6,1 млн. рублей фактически поступило 6,8 млн. рублей, или 111,5% к плану;</w:t>
      </w:r>
    </w:p>
    <w:p w:rsidR="002A6A13" w:rsidRDefault="002A6A1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налог на вмененный доход – 6,1%. Его поступило</w:t>
      </w:r>
      <w:r w:rsidR="004104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6,3 млн. рублей при плане 6,4 млн. рублей, что составляет 98,4% к плану.</w:t>
      </w:r>
    </w:p>
    <w:p w:rsidR="002A6A13" w:rsidRDefault="002A6A1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занимают незначительную часть в собственных доходах – 10,9%, в основном, они поступают за счет арендной платы за землю и нежил</w:t>
      </w:r>
      <w:r w:rsidR="00962AD4">
        <w:rPr>
          <w:sz w:val="28"/>
          <w:szCs w:val="28"/>
        </w:rPr>
        <w:t>ые</w:t>
      </w:r>
      <w:r>
        <w:rPr>
          <w:sz w:val="28"/>
          <w:szCs w:val="28"/>
        </w:rPr>
        <w:t xml:space="preserve"> помещения, от продажи земли и муниципального </w:t>
      </w:r>
      <w:r>
        <w:rPr>
          <w:sz w:val="28"/>
          <w:szCs w:val="28"/>
        </w:rPr>
        <w:lastRenderedPageBreak/>
        <w:t>имущества, от оказания платных услуг. В целом в 2015 году их поступило 11,4 млн. рублей или 112,9% к плану.</w:t>
      </w:r>
    </w:p>
    <w:p w:rsidR="002A6A13" w:rsidRDefault="002A6A1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консолидированный бюджет района составили 428,5 млн. рублей, к годовому плану их поступило 98,6%. </w:t>
      </w:r>
      <w:r w:rsidR="004104F9">
        <w:rPr>
          <w:sz w:val="28"/>
          <w:szCs w:val="28"/>
        </w:rPr>
        <w:t xml:space="preserve">     </w:t>
      </w:r>
      <w:r>
        <w:rPr>
          <w:sz w:val="28"/>
          <w:szCs w:val="28"/>
        </w:rPr>
        <w:t>Дотации получены в сумме 79,6 млн. рублей (100% план</w:t>
      </w:r>
      <w:r w:rsidR="00485F83">
        <w:rPr>
          <w:sz w:val="28"/>
          <w:szCs w:val="28"/>
        </w:rPr>
        <w:t xml:space="preserve">а), субсидии  - </w:t>
      </w:r>
      <w:r w:rsidR="004104F9">
        <w:rPr>
          <w:sz w:val="28"/>
          <w:szCs w:val="28"/>
        </w:rPr>
        <w:t xml:space="preserve">                     </w:t>
      </w:r>
      <w:r w:rsidR="00485F83">
        <w:rPr>
          <w:sz w:val="28"/>
          <w:szCs w:val="28"/>
        </w:rPr>
        <w:t>174 млн. рублей (97% от плана), субвенции 174,2 млн. рублей (99,6% от плановых назначений).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района в 2015 году профинансированы в сумме 518,4 млн. рублей при уточненном годовом плане 547,3 млн. рублей или на 94,7 %.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расходах занимают отрасли социальной сферы – 346,2 млн. рублей или 67% всех произведенных расходов, в том числе: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образование – 243,3 млн. рублей (47% в совокупных расходах бюджета, темп роста к 2014 году – 118,4%);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физическую культуру и спорт – 49,6 млн. рублей (9,6%, темп роста к предыдущему году 101,6%);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культуру – 41,3 млн. рублей (8%, темп роста к 2014 году -101%).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бюджетные средства </w:t>
      </w:r>
      <w:r w:rsidR="00600BC8">
        <w:rPr>
          <w:sz w:val="28"/>
          <w:szCs w:val="28"/>
        </w:rPr>
        <w:t>направляются в отрасль «</w:t>
      </w:r>
      <w:r>
        <w:rPr>
          <w:sz w:val="28"/>
          <w:szCs w:val="28"/>
        </w:rPr>
        <w:t xml:space="preserve">Жилищно-коммунальное хозяйство», кассовый расход за год составил </w:t>
      </w:r>
      <w:r w:rsidR="004104F9">
        <w:rPr>
          <w:sz w:val="28"/>
          <w:szCs w:val="28"/>
        </w:rPr>
        <w:t xml:space="preserve">    </w:t>
      </w:r>
      <w:r>
        <w:rPr>
          <w:sz w:val="28"/>
          <w:szCs w:val="28"/>
        </w:rPr>
        <w:t>66,7 млн. рублей.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жилья для переселения граждан из ветхого фонда за счет средств федерального, областного и местного бюджетов израсходовано 41,7 млн. рублей; на капитальный ремонт муниципального жилого фонда выделено 1 млн. рублей, на строительство и капитальный ремонт объектов коммунальной инфраструктуры – 2,5 млн. рублей.</w:t>
      </w:r>
    </w:p>
    <w:p w:rsidR="00485F83" w:rsidRDefault="00485F83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Предоставлена субсидия МУП ЖКХ на </w:t>
      </w:r>
      <w:r w:rsidR="00806135">
        <w:rPr>
          <w:sz w:val="28"/>
          <w:szCs w:val="28"/>
        </w:rPr>
        <w:t>компенсацию выпадающих доходов от оказания населению жилищно-коммунальных услуг</w:t>
      </w:r>
      <w:r w:rsidR="008E69B4">
        <w:rPr>
          <w:sz w:val="28"/>
          <w:szCs w:val="28"/>
        </w:rPr>
        <w:t xml:space="preserve"> по тарифам</w:t>
      </w:r>
      <w:r w:rsidR="00806135">
        <w:rPr>
          <w:sz w:val="28"/>
          <w:szCs w:val="28"/>
        </w:rPr>
        <w:t>, не обеспечивающ</w:t>
      </w:r>
      <w:r w:rsidR="008E69B4">
        <w:rPr>
          <w:sz w:val="28"/>
          <w:szCs w:val="28"/>
        </w:rPr>
        <w:t>им</w:t>
      </w:r>
      <w:r w:rsidR="00806135">
        <w:rPr>
          <w:sz w:val="28"/>
          <w:szCs w:val="28"/>
        </w:rPr>
        <w:t xml:space="preserve"> возмещение издержек и на возмещение убытков по содержанию муниципальной бани в п. Шаранга в общей сумме </w:t>
      </w:r>
      <w:r w:rsidR="00C848E6">
        <w:rPr>
          <w:sz w:val="28"/>
          <w:szCs w:val="28"/>
        </w:rPr>
        <w:t xml:space="preserve">                  </w:t>
      </w:r>
      <w:bookmarkStart w:id="0" w:name="_GoBack"/>
      <w:bookmarkEnd w:id="0"/>
      <w:r w:rsidR="00806135">
        <w:rPr>
          <w:sz w:val="28"/>
          <w:szCs w:val="28"/>
        </w:rPr>
        <w:t>1,9 млн. рублей.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благоустройству населенных пунктов профинансированы в целом по району в объеме 18,6 млн. рублей.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отрасли «Национальная экономика» осуществляется поддержка сельскохозяйственного производства, при годовом плане 25,2 млн. рублей израсходовано 24,5 млн. рублей или 97,2%.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содержание, текущий и капитальный ремонт муниципальных дорог выделено 13,3 млн. рублей.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Предоставлены гранты начинающим предпринимателям в объеме </w:t>
      </w:r>
      <w:r w:rsidR="004104F9">
        <w:rPr>
          <w:sz w:val="28"/>
          <w:szCs w:val="28"/>
        </w:rPr>
        <w:t xml:space="preserve">        </w:t>
      </w:r>
      <w:r>
        <w:rPr>
          <w:sz w:val="28"/>
          <w:szCs w:val="28"/>
        </w:rPr>
        <w:t>4 млн. рублей.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«Общегосударственные вопросы» в 2015 году выделено </w:t>
      </w:r>
      <w:r w:rsidR="00410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53,7 млн. рублей, 100,6% к уровню 2014 года. Норматив на содержание органов местного самоуправления районом соблюдается.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основных статей расходов по консолидированному бюджету за 2015 год составил: заработная плата с отчислениями  - 50,7%, увеличение стоимости основных средств – 10,8%, услуги по содержанию имущества – 9,9%, коммунальные услуги – 6,8%.</w:t>
      </w:r>
    </w:p>
    <w:p w:rsidR="00421FEB" w:rsidRDefault="00421FEB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Бюджетные инвестиции по отраслям распределились следующим образом: жилищно-коммунальное хозяйство – 43,8 млн. рублей, образование – 9,3 млн. рублей, физкультура и спорт – 0,9 млн. рублей, социальная политика – 0,9 млн. рублей.</w:t>
      </w:r>
      <w:proofErr w:type="gramEnd"/>
    </w:p>
    <w:p w:rsidR="004104F9" w:rsidRDefault="00421FEB" w:rsidP="00BF4C0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01.01.2016 года составил 1,3 млн. рублей, с начала  года он уменьшился на 2 млн. рублей.</w:t>
      </w:r>
    </w:p>
    <w:p w:rsidR="004104F9" w:rsidRDefault="004104F9" w:rsidP="003D78ED">
      <w:pPr>
        <w:ind w:right="142"/>
        <w:rPr>
          <w:b/>
          <w:sz w:val="28"/>
          <w:szCs w:val="28"/>
        </w:rPr>
      </w:pPr>
    </w:p>
    <w:p w:rsidR="00C26634" w:rsidRDefault="00C26634" w:rsidP="00660B3C">
      <w:pPr>
        <w:ind w:right="142" w:firstLine="709"/>
        <w:jc w:val="center"/>
        <w:rPr>
          <w:b/>
          <w:sz w:val="28"/>
          <w:szCs w:val="28"/>
        </w:rPr>
      </w:pPr>
      <w:r w:rsidRPr="00C26634">
        <w:rPr>
          <w:b/>
          <w:sz w:val="28"/>
          <w:szCs w:val="28"/>
        </w:rPr>
        <w:t>Формирование районного бюджета на 2016 год.</w:t>
      </w:r>
    </w:p>
    <w:p w:rsidR="00C26634" w:rsidRDefault="00C26634" w:rsidP="00660B3C">
      <w:pPr>
        <w:ind w:right="142" w:firstLine="709"/>
        <w:jc w:val="center"/>
        <w:rPr>
          <w:b/>
          <w:sz w:val="28"/>
          <w:szCs w:val="28"/>
        </w:rPr>
      </w:pPr>
    </w:p>
    <w:p w:rsidR="00C26634" w:rsidRDefault="00C26634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районного бюджета на 2016 год разработаны и приняты:</w:t>
      </w:r>
    </w:p>
    <w:p w:rsidR="00C26634" w:rsidRDefault="00C26634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Шарангского муниципального района от 01.07.2015 года № 395 «Об утверждении Плана мероприятий по разработке прогноза социально-экономического развития Шарангского муниципального района на 2016 год и на период до 2018 года, районного бюджета на 2016 год и среднесрочного финансового плана на 2016-2018 годы</w:t>
      </w:r>
      <w:r w:rsidR="00962A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6634" w:rsidRDefault="00C26634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Шарангского муниципального района от 08.07.2015 года № 412 «Об утверждении Основных направлений налоговой политики в Шарангском муниципальном районе на 2016 год и на плановый период 2017 и 2018 годов»;</w:t>
      </w:r>
    </w:p>
    <w:p w:rsidR="00C26634" w:rsidRDefault="00C26634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Шарангского муниципального района от</w:t>
      </w:r>
      <w:r w:rsidR="000A42FB">
        <w:rPr>
          <w:sz w:val="28"/>
          <w:szCs w:val="28"/>
        </w:rPr>
        <w:t xml:space="preserve"> </w:t>
      </w:r>
      <w:r>
        <w:rPr>
          <w:sz w:val="28"/>
          <w:szCs w:val="28"/>
        </w:rPr>
        <w:t>31.07.2015 года № 476 «Об утверждении Основных направлений бюджетной политики в Шарангском муниципальном районе на 201</w:t>
      </w:r>
      <w:r w:rsidR="000A42FB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2017 и 2018 годов»;</w:t>
      </w:r>
    </w:p>
    <w:p w:rsidR="00962AD4" w:rsidRDefault="00C26634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финансового управления администрации Шарангского муниципального района от 15.09.2015 года № 211 «Об утверждении Порядка планирования бюджетных ассигнований районного бюджета на 2016 год</w:t>
      </w:r>
      <w:r w:rsidR="00962AD4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C26634" w:rsidRDefault="00530D3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среднесрочный финансовый план на 2016-2018 годы (утвержден постановлением администрации Шарангского муниципального района от 24.11</w:t>
      </w:r>
      <w:r w:rsidR="00962AD4">
        <w:rPr>
          <w:sz w:val="28"/>
          <w:szCs w:val="28"/>
        </w:rPr>
        <w:t>.</w:t>
      </w:r>
      <w:r>
        <w:rPr>
          <w:sz w:val="28"/>
          <w:szCs w:val="28"/>
        </w:rPr>
        <w:t>2015 года</w:t>
      </w:r>
      <w:r w:rsidR="00962AD4">
        <w:rPr>
          <w:sz w:val="28"/>
          <w:szCs w:val="28"/>
        </w:rPr>
        <w:t xml:space="preserve"> № 773</w:t>
      </w:r>
      <w:r>
        <w:rPr>
          <w:sz w:val="28"/>
          <w:szCs w:val="28"/>
        </w:rPr>
        <w:t>);</w:t>
      </w:r>
    </w:p>
    <w:p w:rsidR="00530D3C" w:rsidRDefault="00530D3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реестр расходных обязательств районного бюджета;</w:t>
      </w:r>
    </w:p>
    <w:p w:rsidR="00530D3C" w:rsidRDefault="00962AD4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4DBB">
        <w:rPr>
          <w:sz w:val="28"/>
          <w:szCs w:val="28"/>
        </w:rPr>
        <w:t xml:space="preserve"> </w:t>
      </w:r>
      <w:r w:rsidR="00530D3C">
        <w:rPr>
          <w:sz w:val="28"/>
          <w:szCs w:val="28"/>
        </w:rPr>
        <w:t>сформирован проект районного бюдж</w:t>
      </w:r>
      <w:r w:rsidR="00660B3C">
        <w:rPr>
          <w:sz w:val="28"/>
          <w:szCs w:val="28"/>
        </w:rPr>
        <w:t>ета и прогноз</w:t>
      </w:r>
      <w:r w:rsidR="00814DBB">
        <w:rPr>
          <w:sz w:val="28"/>
          <w:szCs w:val="28"/>
        </w:rPr>
        <w:t xml:space="preserve"> консолидирова</w:t>
      </w:r>
      <w:proofErr w:type="gramStart"/>
      <w:r w:rsidR="00814DBB">
        <w:rPr>
          <w:sz w:val="28"/>
          <w:szCs w:val="28"/>
        </w:rPr>
        <w:t>н-</w:t>
      </w:r>
      <w:proofErr w:type="gramEnd"/>
      <w:r w:rsidR="00660B3C">
        <w:rPr>
          <w:sz w:val="28"/>
          <w:szCs w:val="28"/>
        </w:rPr>
        <w:t xml:space="preserve">            </w:t>
      </w:r>
      <w:proofErr w:type="spellStart"/>
      <w:r w:rsidR="00C83B73">
        <w:rPr>
          <w:sz w:val="28"/>
          <w:szCs w:val="28"/>
        </w:rPr>
        <w:t>ног</w:t>
      </w:r>
      <w:r w:rsidR="00660B3C">
        <w:rPr>
          <w:sz w:val="28"/>
          <w:szCs w:val="28"/>
        </w:rPr>
        <w:t>о</w:t>
      </w:r>
      <w:proofErr w:type="spellEnd"/>
      <w:r w:rsidR="00530D3C">
        <w:rPr>
          <w:sz w:val="28"/>
          <w:szCs w:val="28"/>
        </w:rPr>
        <w:t xml:space="preserve"> бюджета Шарангского района на 2016 год.</w:t>
      </w:r>
    </w:p>
    <w:p w:rsidR="00530D3C" w:rsidRDefault="00530D3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решением Земского собрания Шарангского района  «О бюджетном процессе в Шарангском муниципальном районе» соблюдены все процедуры при подготовке, согласовании, рассмотрении и утверждении проекта </w:t>
      </w:r>
      <w:r w:rsidR="00962AD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«О районном бюджете на 2016 год»:</w:t>
      </w:r>
    </w:p>
    <w:p w:rsidR="00530D3C" w:rsidRDefault="00530D3C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рассмотрение в Земское собрание проект районного бюджета внесен 16 ноября 2015 года;</w:t>
      </w:r>
    </w:p>
    <w:p w:rsidR="00530D3C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слушания по проекту проведены 25 ноября 2015 года;</w:t>
      </w:r>
    </w:p>
    <w:p w:rsidR="00326F5F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декабря 2015 года проект бюджета утвержден Земским собранием Шарангского района (решение Земского собрания  «О районном бюджете на 2016 год», от 24.12.2015 года № </w:t>
      </w:r>
      <w:r w:rsidR="00962AD4">
        <w:rPr>
          <w:sz w:val="28"/>
          <w:szCs w:val="28"/>
        </w:rPr>
        <w:t>27</w:t>
      </w:r>
      <w:r>
        <w:rPr>
          <w:sz w:val="28"/>
          <w:szCs w:val="28"/>
        </w:rPr>
        <w:t>).</w:t>
      </w:r>
    </w:p>
    <w:p w:rsidR="00303D1E" w:rsidRPr="003D78ED" w:rsidRDefault="00326F5F" w:rsidP="003D78ED">
      <w:pPr>
        <w:spacing w:line="276" w:lineRule="auto"/>
        <w:ind w:right="14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целях ознакомления граждан с основными целями, задачами и направлениями бюджетной политики разработан информационный сборник «Бюджет для граждан», который размещен на </w:t>
      </w:r>
      <w:r w:rsidR="00ED0411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Шарангского района</w:t>
      </w:r>
      <w:r w:rsidR="00157A38">
        <w:rPr>
          <w:sz w:val="28"/>
          <w:szCs w:val="28"/>
        </w:rPr>
        <w:t xml:space="preserve"> </w:t>
      </w:r>
      <w:hyperlink r:id="rId8" w:history="1">
        <w:r w:rsidR="00157A38" w:rsidRPr="00157A38">
          <w:rPr>
            <w:rStyle w:val="a4"/>
            <w:sz w:val="28"/>
            <w:szCs w:val="28"/>
            <w:u w:val="single"/>
            <w:lang w:val="en-US"/>
          </w:rPr>
          <w:t>official</w:t>
        </w:r>
        <w:r w:rsidR="00157A38" w:rsidRPr="00157A38">
          <w:rPr>
            <w:rStyle w:val="a4"/>
            <w:sz w:val="28"/>
            <w:szCs w:val="28"/>
            <w:u w:val="single"/>
          </w:rPr>
          <w:t>@</w:t>
        </w:r>
        <w:proofErr w:type="spellStart"/>
        <w:r w:rsidR="00157A38" w:rsidRPr="00157A38">
          <w:rPr>
            <w:rStyle w:val="a4"/>
            <w:sz w:val="28"/>
            <w:szCs w:val="28"/>
            <w:u w:val="single"/>
            <w:lang w:val="en-US"/>
          </w:rPr>
          <w:t>adm</w:t>
        </w:r>
        <w:proofErr w:type="spellEnd"/>
        <w:r w:rsidR="00157A38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157A38" w:rsidRPr="00157A38">
          <w:rPr>
            <w:rStyle w:val="a4"/>
            <w:sz w:val="28"/>
            <w:szCs w:val="28"/>
            <w:u w:val="single"/>
            <w:lang w:val="en-US"/>
          </w:rPr>
          <w:t>shr</w:t>
        </w:r>
        <w:proofErr w:type="spellEnd"/>
        <w:r w:rsidR="00157A38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157A38" w:rsidRPr="00157A38">
          <w:rPr>
            <w:rStyle w:val="a4"/>
            <w:sz w:val="28"/>
            <w:szCs w:val="28"/>
            <w:u w:val="single"/>
            <w:lang w:val="en-US"/>
          </w:rPr>
          <w:t>nnov</w:t>
        </w:r>
        <w:proofErr w:type="spellEnd"/>
        <w:r w:rsidR="00157A38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157A38" w:rsidRPr="00157A38">
          <w:rPr>
            <w:rStyle w:val="a4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57A38">
        <w:rPr>
          <w:sz w:val="28"/>
          <w:szCs w:val="28"/>
          <w:u w:val="single"/>
        </w:rPr>
        <w:t>.</w:t>
      </w:r>
    </w:p>
    <w:p w:rsidR="00303D1E" w:rsidRDefault="00303D1E" w:rsidP="00660B3C">
      <w:pPr>
        <w:ind w:right="142" w:firstLine="709"/>
        <w:jc w:val="center"/>
        <w:rPr>
          <w:b/>
          <w:sz w:val="28"/>
          <w:szCs w:val="28"/>
        </w:rPr>
      </w:pPr>
    </w:p>
    <w:p w:rsidR="00326F5F" w:rsidRDefault="00326F5F" w:rsidP="00660B3C">
      <w:pPr>
        <w:ind w:right="142" w:firstLine="709"/>
        <w:jc w:val="center"/>
        <w:rPr>
          <w:b/>
          <w:sz w:val="28"/>
          <w:szCs w:val="28"/>
        </w:rPr>
      </w:pPr>
      <w:r w:rsidRPr="00326F5F">
        <w:rPr>
          <w:b/>
          <w:sz w:val="28"/>
          <w:szCs w:val="28"/>
        </w:rPr>
        <w:t>Совершенствование системы исполнения бюджета.</w:t>
      </w:r>
    </w:p>
    <w:p w:rsidR="00326F5F" w:rsidRDefault="00326F5F" w:rsidP="00660B3C">
      <w:pPr>
        <w:ind w:right="142" w:firstLine="709"/>
        <w:jc w:val="center"/>
        <w:rPr>
          <w:b/>
          <w:sz w:val="28"/>
          <w:szCs w:val="28"/>
        </w:rPr>
      </w:pPr>
    </w:p>
    <w:p w:rsidR="00326F5F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исполнения бюджета Шарангского района организован в соответствии с требованиями Бюджетного кодекса Российской Федерации на основе сводной бюджетной росписи районного бюджета и кассового плана.</w:t>
      </w:r>
    </w:p>
    <w:p w:rsidR="00326F5F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финансирования за счет средств районного бюджета:</w:t>
      </w:r>
    </w:p>
    <w:p w:rsidR="00326F5F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="00962AD4">
        <w:rPr>
          <w:sz w:val="28"/>
          <w:szCs w:val="28"/>
        </w:rPr>
        <w:t>л</w:t>
      </w:r>
      <w:r>
        <w:rPr>
          <w:sz w:val="28"/>
          <w:szCs w:val="28"/>
        </w:rPr>
        <w:t>ся оперативный учет поступления денежных средств на лицевой счет финуправления, открытый в управлении федерального казначейства по Нижегородской области;</w:t>
      </w:r>
    </w:p>
    <w:p w:rsidR="00326F5F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уточнялся кассовый план по отдельным видам расходов;</w:t>
      </w:r>
    </w:p>
    <w:p w:rsidR="00326F5F" w:rsidRDefault="00326F5F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перераспределялись лимиты бюджетных обязательств и предельные объемы финансирования с учетом уточнений районного бюджета в 2015 году.</w:t>
      </w:r>
    </w:p>
    <w:p w:rsidR="00303D1E" w:rsidRPr="003D78ED" w:rsidRDefault="00326F5F" w:rsidP="003D78ED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и санкционировано к оплате 23 387 заявок, осуществлено финансирование 49 муниципальных учреждений и органов власти.</w:t>
      </w:r>
    </w:p>
    <w:p w:rsidR="00673F7A" w:rsidRDefault="00673F7A" w:rsidP="00660B3C">
      <w:pPr>
        <w:ind w:right="142" w:firstLine="709"/>
        <w:jc w:val="center"/>
        <w:rPr>
          <w:b/>
          <w:sz w:val="28"/>
          <w:szCs w:val="28"/>
        </w:rPr>
      </w:pPr>
      <w:r w:rsidRPr="00673F7A">
        <w:rPr>
          <w:b/>
          <w:sz w:val="28"/>
          <w:szCs w:val="28"/>
        </w:rPr>
        <w:lastRenderedPageBreak/>
        <w:t>Осуществление финансового контроля.</w:t>
      </w:r>
    </w:p>
    <w:p w:rsidR="0061083D" w:rsidRDefault="0061083D" w:rsidP="00660B3C">
      <w:pPr>
        <w:spacing w:line="276" w:lineRule="auto"/>
        <w:ind w:right="142" w:firstLine="709"/>
        <w:jc w:val="both"/>
        <w:rPr>
          <w:b/>
          <w:sz w:val="28"/>
          <w:szCs w:val="28"/>
        </w:rPr>
      </w:pPr>
    </w:p>
    <w:p w:rsidR="0061083D" w:rsidRDefault="0061083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контрольной работы в 2015 году финансовым управлением проведено 8 ревизий по расходованию средств бюджета.</w:t>
      </w:r>
    </w:p>
    <w:p w:rsidR="0061083D" w:rsidRDefault="0061083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нарушений законодательства на общую сумму 657,8 тыс. рублей, в том числе: неправомерное использование бюджетных средств – 345,3 тыс. рублей, нарушения законодательства в сфере бухгалтерского учета – 259,4 тыс. рублей, иные нарушения -53,1 тыс. рублей.</w:t>
      </w:r>
    </w:p>
    <w:p w:rsidR="0061083D" w:rsidRDefault="0061083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 организации, допустившие нарушения законодательства, направлены представления для принятия мер по их устранению.</w:t>
      </w:r>
    </w:p>
    <w:p w:rsidR="0061083D" w:rsidRDefault="0061083D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устраненных нарушений составила 102,8 тыс. рублей.</w:t>
      </w:r>
    </w:p>
    <w:p w:rsidR="00673F7A" w:rsidRDefault="0061083D" w:rsidP="00BF4C0E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проведенных ревизий размещается на официальном сайте </w:t>
      </w:r>
      <w:r w:rsidR="008061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</w:t>
      </w:r>
      <w:r w:rsidR="00962AD4">
        <w:rPr>
          <w:sz w:val="28"/>
          <w:szCs w:val="28"/>
        </w:rPr>
        <w:t xml:space="preserve">рангского муниципального района </w:t>
      </w:r>
      <w:hyperlink r:id="rId9" w:history="1">
        <w:r w:rsidR="00962AD4" w:rsidRPr="00157A38">
          <w:rPr>
            <w:rStyle w:val="a4"/>
            <w:sz w:val="28"/>
            <w:szCs w:val="28"/>
            <w:u w:val="single"/>
            <w:lang w:val="en-US"/>
          </w:rPr>
          <w:t>official</w:t>
        </w:r>
        <w:r w:rsidR="00962AD4" w:rsidRPr="00157A38">
          <w:rPr>
            <w:rStyle w:val="a4"/>
            <w:sz w:val="28"/>
            <w:szCs w:val="28"/>
            <w:u w:val="single"/>
          </w:rPr>
          <w:t>@</w:t>
        </w:r>
        <w:proofErr w:type="spellStart"/>
        <w:r w:rsidR="00962AD4" w:rsidRPr="00157A38">
          <w:rPr>
            <w:rStyle w:val="a4"/>
            <w:sz w:val="28"/>
            <w:szCs w:val="28"/>
            <w:u w:val="single"/>
            <w:lang w:val="en-US"/>
          </w:rPr>
          <w:t>adm</w:t>
        </w:r>
        <w:proofErr w:type="spellEnd"/>
        <w:r w:rsidR="00962AD4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962AD4" w:rsidRPr="00157A38">
          <w:rPr>
            <w:rStyle w:val="a4"/>
            <w:sz w:val="28"/>
            <w:szCs w:val="28"/>
            <w:u w:val="single"/>
            <w:lang w:val="en-US"/>
          </w:rPr>
          <w:t>shr</w:t>
        </w:r>
        <w:proofErr w:type="spellEnd"/>
        <w:r w:rsidR="00962AD4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962AD4" w:rsidRPr="00157A38">
          <w:rPr>
            <w:rStyle w:val="a4"/>
            <w:sz w:val="28"/>
            <w:szCs w:val="28"/>
            <w:u w:val="single"/>
            <w:lang w:val="en-US"/>
          </w:rPr>
          <w:t>nnov</w:t>
        </w:r>
        <w:proofErr w:type="spellEnd"/>
        <w:r w:rsidR="00962AD4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962AD4" w:rsidRPr="00157A38">
          <w:rPr>
            <w:rStyle w:val="a4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62AD4">
        <w:rPr>
          <w:sz w:val="28"/>
          <w:szCs w:val="28"/>
          <w:u w:val="single"/>
        </w:rPr>
        <w:t>.</w:t>
      </w:r>
    </w:p>
    <w:p w:rsidR="00303D1E" w:rsidRDefault="00303D1E" w:rsidP="00660B3C">
      <w:pPr>
        <w:ind w:right="142"/>
        <w:rPr>
          <w:sz w:val="28"/>
          <w:szCs w:val="28"/>
        </w:rPr>
      </w:pPr>
    </w:p>
    <w:p w:rsidR="00673F7A" w:rsidRDefault="00673F7A" w:rsidP="00660B3C">
      <w:pPr>
        <w:ind w:right="142" w:firstLine="709"/>
        <w:jc w:val="center"/>
        <w:rPr>
          <w:b/>
          <w:sz w:val="28"/>
          <w:szCs w:val="28"/>
        </w:rPr>
      </w:pPr>
      <w:r w:rsidRPr="00673F7A">
        <w:rPr>
          <w:b/>
          <w:sz w:val="28"/>
          <w:szCs w:val="28"/>
        </w:rPr>
        <w:t>Информатизация и автоматизация бюджетного процесса.</w:t>
      </w:r>
    </w:p>
    <w:p w:rsidR="00673F7A" w:rsidRDefault="00673F7A" w:rsidP="00660B3C">
      <w:pPr>
        <w:ind w:right="142" w:firstLine="709"/>
        <w:jc w:val="center"/>
        <w:rPr>
          <w:b/>
          <w:sz w:val="28"/>
          <w:szCs w:val="28"/>
        </w:rPr>
      </w:pPr>
    </w:p>
    <w:p w:rsidR="00673F7A" w:rsidRDefault="00673F7A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функционирование автоматизированной системы исполнения районного бюджета и бюджетов поселений  («АЦК – финансы»).</w:t>
      </w:r>
    </w:p>
    <w:p w:rsidR="00673F7A" w:rsidRDefault="00673F7A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Обновлены программно-технические комплексы, сертификаты доступа и средства обработки информации для работы с управлением федерального казначейства.</w:t>
      </w:r>
    </w:p>
    <w:p w:rsidR="00673F7A" w:rsidRDefault="00673F7A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законодательства проводится работа по организации передачи данных администраторами доходов в Государственную информационную систему о государственных и муниципальных платежах, предназначенную для размещения информации об оплате физическими и юридическими лицами платежей за оказание государственных и муниципальных услуг.</w:t>
      </w:r>
    </w:p>
    <w:p w:rsidR="00673F7A" w:rsidRPr="00673F7A" w:rsidRDefault="00673F7A" w:rsidP="00660B3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информированности населения района на официальном сайте администрации Шарангского район</w:t>
      </w:r>
      <w:r w:rsidR="00806135">
        <w:rPr>
          <w:sz w:val="28"/>
          <w:szCs w:val="28"/>
        </w:rPr>
        <w:t xml:space="preserve">а </w:t>
      </w:r>
      <w:hyperlink r:id="rId10" w:history="1">
        <w:r w:rsidR="00806135" w:rsidRPr="00157A38">
          <w:rPr>
            <w:rStyle w:val="a4"/>
            <w:sz w:val="28"/>
            <w:szCs w:val="28"/>
            <w:u w:val="single"/>
            <w:lang w:val="en-US"/>
          </w:rPr>
          <w:t>official</w:t>
        </w:r>
        <w:r w:rsidR="00806135" w:rsidRPr="00157A38">
          <w:rPr>
            <w:rStyle w:val="a4"/>
            <w:sz w:val="28"/>
            <w:szCs w:val="28"/>
            <w:u w:val="single"/>
          </w:rPr>
          <w:t>@</w:t>
        </w:r>
        <w:proofErr w:type="spellStart"/>
        <w:r w:rsidR="00806135" w:rsidRPr="00157A38">
          <w:rPr>
            <w:rStyle w:val="a4"/>
            <w:sz w:val="28"/>
            <w:szCs w:val="28"/>
            <w:u w:val="single"/>
            <w:lang w:val="en-US"/>
          </w:rPr>
          <w:t>adm</w:t>
        </w:r>
        <w:proofErr w:type="spellEnd"/>
        <w:r w:rsidR="00806135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806135" w:rsidRPr="00157A38">
          <w:rPr>
            <w:rStyle w:val="a4"/>
            <w:sz w:val="28"/>
            <w:szCs w:val="28"/>
            <w:u w:val="single"/>
            <w:lang w:val="en-US"/>
          </w:rPr>
          <w:t>shr</w:t>
        </w:r>
        <w:proofErr w:type="spellEnd"/>
        <w:r w:rsidR="00806135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806135" w:rsidRPr="00157A38">
          <w:rPr>
            <w:rStyle w:val="a4"/>
            <w:sz w:val="28"/>
            <w:szCs w:val="28"/>
            <w:u w:val="single"/>
            <w:lang w:val="en-US"/>
          </w:rPr>
          <w:t>nnov</w:t>
        </w:r>
        <w:proofErr w:type="spellEnd"/>
        <w:r w:rsidR="00806135" w:rsidRPr="00157A38">
          <w:rPr>
            <w:rStyle w:val="a4"/>
            <w:sz w:val="28"/>
            <w:szCs w:val="28"/>
            <w:u w:val="single"/>
          </w:rPr>
          <w:t>.</w:t>
        </w:r>
        <w:proofErr w:type="spellStart"/>
        <w:r w:rsidR="00806135" w:rsidRPr="00157A38">
          <w:rPr>
            <w:rStyle w:val="a4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размещена информация об исполнении районного бюджета за 2014 год в формате «Бюджет для граждан».</w:t>
      </w:r>
    </w:p>
    <w:p w:rsidR="00673F7A" w:rsidRPr="009C209C" w:rsidRDefault="00673F7A" w:rsidP="00660B3C">
      <w:pPr>
        <w:ind w:right="142" w:firstLine="709"/>
        <w:jc w:val="center"/>
        <w:rPr>
          <w:sz w:val="28"/>
          <w:szCs w:val="28"/>
        </w:rPr>
      </w:pPr>
    </w:p>
    <w:sectPr w:rsidR="00673F7A" w:rsidRPr="009C209C" w:rsidSect="00410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76" w:rsidRDefault="00965576" w:rsidP="00157A38">
      <w:r>
        <w:separator/>
      </w:r>
    </w:p>
  </w:endnote>
  <w:endnote w:type="continuationSeparator" w:id="0">
    <w:p w:rsidR="00965576" w:rsidRDefault="00965576" w:rsidP="001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E" w:rsidRDefault="004C28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E" w:rsidRDefault="004C28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E" w:rsidRDefault="004C2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76" w:rsidRDefault="00965576" w:rsidP="00157A38">
      <w:r>
        <w:separator/>
      </w:r>
    </w:p>
  </w:footnote>
  <w:footnote w:type="continuationSeparator" w:id="0">
    <w:p w:rsidR="00965576" w:rsidRDefault="00965576" w:rsidP="0015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E" w:rsidRDefault="004C28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40232"/>
      <w:docPartObj>
        <w:docPartGallery w:val="Page Numbers (Top of Page)"/>
        <w:docPartUnique/>
      </w:docPartObj>
    </w:sdtPr>
    <w:sdtEndPr/>
    <w:sdtContent>
      <w:p w:rsidR="00157A38" w:rsidRDefault="00157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E6">
          <w:rPr>
            <w:noProof/>
          </w:rPr>
          <w:t>3</w:t>
        </w:r>
        <w:r>
          <w:fldChar w:fldCharType="end"/>
        </w:r>
      </w:p>
    </w:sdtContent>
  </w:sdt>
  <w:p w:rsidR="00157A38" w:rsidRDefault="00157A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E" w:rsidRDefault="004C28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3"/>
    <w:rsid w:val="000A42FB"/>
    <w:rsid w:val="000B29C9"/>
    <w:rsid w:val="00111F60"/>
    <w:rsid w:val="00157A38"/>
    <w:rsid w:val="001F515E"/>
    <w:rsid w:val="00230C26"/>
    <w:rsid w:val="002A2D3D"/>
    <w:rsid w:val="002A6A13"/>
    <w:rsid w:val="00303D1E"/>
    <w:rsid w:val="00326F5F"/>
    <w:rsid w:val="003D78ED"/>
    <w:rsid w:val="004104F9"/>
    <w:rsid w:val="00421FEB"/>
    <w:rsid w:val="00485F83"/>
    <w:rsid w:val="004C28AE"/>
    <w:rsid w:val="00530D3C"/>
    <w:rsid w:val="00600BC8"/>
    <w:rsid w:val="0061083D"/>
    <w:rsid w:val="006309F4"/>
    <w:rsid w:val="00636B32"/>
    <w:rsid w:val="0063760D"/>
    <w:rsid w:val="00637EA0"/>
    <w:rsid w:val="00643D9A"/>
    <w:rsid w:val="00660B3C"/>
    <w:rsid w:val="00673F7A"/>
    <w:rsid w:val="00692CC8"/>
    <w:rsid w:val="0072102E"/>
    <w:rsid w:val="007B3A43"/>
    <w:rsid w:val="00806135"/>
    <w:rsid w:val="00814DBB"/>
    <w:rsid w:val="008E69B4"/>
    <w:rsid w:val="00962AD4"/>
    <w:rsid w:val="00965576"/>
    <w:rsid w:val="009C209C"/>
    <w:rsid w:val="00B1124B"/>
    <w:rsid w:val="00B23331"/>
    <w:rsid w:val="00B25D02"/>
    <w:rsid w:val="00B77A67"/>
    <w:rsid w:val="00BC12F8"/>
    <w:rsid w:val="00BF4C0E"/>
    <w:rsid w:val="00C26634"/>
    <w:rsid w:val="00C57EC9"/>
    <w:rsid w:val="00C83B73"/>
    <w:rsid w:val="00C848E6"/>
    <w:rsid w:val="00CE2E28"/>
    <w:rsid w:val="00EC3E01"/>
    <w:rsid w:val="00ED0411"/>
    <w:rsid w:val="00F11DFC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9"/>
    <w:rPr>
      <w:lang w:eastAsia="ru-RU"/>
    </w:rPr>
  </w:style>
  <w:style w:type="paragraph" w:styleId="1">
    <w:name w:val="heading 1"/>
    <w:basedOn w:val="a"/>
    <w:next w:val="a"/>
    <w:link w:val="10"/>
    <w:qFormat/>
    <w:rsid w:val="00C57EC9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link w:val="20"/>
    <w:qFormat/>
    <w:rsid w:val="00C57EC9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C57EC9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EC9"/>
    <w:rPr>
      <w:b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57EC9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C57EC9"/>
    <w:rPr>
      <w:rFonts w:ascii="Arial" w:hAnsi="Arial" w:cs="Arial"/>
      <w:b/>
      <w:bCs/>
      <w:sz w:val="22"/>
      <w:lang w:eastAsia="ru-RU"/>
    </w:rPr>
  </w:style>
  <w:style w:type="paragraph" w:styleId="a3">
    <w:name w:val="No Spacing"/>
    <w:uiPriority w:val="1"/>
    <w:qFormat/>
    <w:rsid w:val="00C57EC9"/>
    <w:rPr>
      <w:lang w:eastAsia="ru-RU"/>
    </w:rPr>
  </w:style>
  <w:style w:type="character" w:styleId="a4">
    <w:name w:val="Hyperlink"/>
    <w:semiHidden/>
    <w:rsid w:val="00157A38"/>
    <w:rPr>
      <w:dstrike w:val="0"/>
      <w:color w:val="auto"/>
      <w:u w:val="none"/>
      <w:vertAlign w:val="baseline"/>
    </w:rPr>
  </w:style>
  <w:style w:type="paragraph" w:styleId="a5">
    <w:name w:val="header"/>
    <w:basedOn w:val="a"/>
    <w:link w:val="a6"/>
    <w:uiPriority w:val="99"/>
    <w:unhideWhenUsed/>
    <w:rsid w:val="00157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A38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57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A38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9"/>
    <w:rPr>
      <w:lang w:eastAsia="ru-RU"/>
    </w:rPr>
  </w:style>
  <w:style w:type="paragraph" w:styleId="1">
    <w:name w:val="heading 1"/>
    <w:basedOn w:val="a"/>
    <w:next w:val="a"/>
    <w:link w:val="10"/>
    <w:qFormat/>
    <w:rsid w:val="00C57EC9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link w:val="20"/>
    <w:qFormat/>
    <w:rsid w:val="00C57EC9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C57EC9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EC9"/>
    <w:rPr>
      <w:b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57EC9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C57EC9"/>
    <w:rPr>
      <w:rFonts w:ascii="Arial" w:hAnsi="Arial" w:cs="Arial"/>
      <w:b/>
      <w:bCs/>
      <w:sz w:val="22"/>
      <w:lang w:eastAsia="ru-RU"/>
    </w:rPr>
  </w:style>
  <w:style w:type="paragraph" w:styleId="a3">
    <w:name w:val="No Spacing"/>
    <w:uiPriority w:val="1"/>
    <w:qFormat/>
    <w:rsid w:val="00C57EC9"/>
    <w:rPr>
      <w:lang w:eastAsia="ru-RU"/>
    </w:rPr>
  </w:style>
  <w:style w:type="character" w:styleId="a4">
    <w:name w:val="Hyperlink"/>
    <w:semiHidden/>
    <w:rsid w:val="00157A38"/>
    <w:rPr>
      <w:dstrike w:val="0"/>
      <w:color w:val="auto"/>
      <w:u w:val="none"/>
      <w:vertAlign w:val="baseline"/>
    </w:rPr>
  </w:style>
  <w:style w:type="paragraph" w:styleId="a5">
    <w:name w:val="header"/>
    <w:basedOn w:val="a"/>
    <w:link w:val="a6"/>
    <w:uiPriority w:val="99"/>
    <w:unhideWhenUsed/>
    <w:rsid w:val="00157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A38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57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A38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shr.nn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ial@adm.shr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@adm.shr.nn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78FA-E28A-40EB-8D9E-5F702A8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</dc:creator>
  <cp:keywords/>
  <dc:description/>
  <cp:lastModifiedBy>Домрачева</cp:lastModifiedBy>
  <cp:revision>23</cp:revision>
  <cp:lastPrinted>2016-02-05T11:29:00Z</cp:lastPrinted>
  <dcterms:created xsi:type="dcterms:W3CDTF">2016-01-29T09:29:00Z</dcterms:created>
  <dcterms:modified xsi:type="dcterms:W3CDTF">2016-02-05T12:57:00Z</dcterms:modified>
</cp:coreProperties>
</file>