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ПОЯСНИТЕЛЬНАЯ ЗАПИСКА   </w:t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</w:rPr>
        <w:t xml:space="preserve">к отчету о результатах проведения мониторинга качества финансового менеджмента, осуществляемого главными администраторами средств районного бюджета, </w:t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</w:rPr>
        <w:t>по состоянию на 1 апреля 2018 года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 xml:space="preserve">Мониторинг качества финансового менеджмента, осуществляемого главными администраторами средств районного бюджета </w:t>
        <w:br/>
        <w:t xml:space="preserve">(далее – главные администраторы), по состоянию на </w:t>
      </w:r>
      <w:r>
        <w:rPr>
          <w:sz w:val="28"/>
          <w:szCs w:val="28"/>
        </w:rPr>
        <w:t>1 апреля 2018</w:t>
      </w:r>
      <w:r>
        <w:rPr>
          <w:sz w:val="28"/>
        </w:rPr>
        <w:t xml:space="preserve"> года (далее – мониторинг качества финансового менеджмента) проводился в соответствии с Положением об организации проведения мониторинга качества финансового менеджмента, осуществляемого главными администраторами средств районного бюджета, утвержденным постановлением администрации Шарангского муниципального района от 12 апреля 2018 г. № 190 «Об утверждении Положения об организации проведения мониторинга качества финансового менеджмента, осуществляемого главными администраторами средств районного бюджета». 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В ходе проведения мониторинга качества финансового менеджмента рассчитывались следующие показатели за 1 квартал 2018 года: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сумма внесенных изменений в бюджетную роспись в связи с уточнением ассигнований по решению Земского собрания Шарангского муниципального района 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сумма внесенных положительных изменений в бюджетную роспись в связи с передвижками между кодами бюджетной классификации;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своевременность принятия бюджетных обязательств;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качество прогнозирования кассовых расходов;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уровень подготовки платежных документов;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качество исполнения расходов;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полнота зачисления платежей в районный бюджет по главному администратору доходов районного бюджета, объем невыясненных поступлений;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sz w:val="28"/>
        </w:rPr>
        <w:t>отклонение кассового исполнения по доходам от прогноза по главному администратору доходов районного бюджета;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sz w:val="28"/>
        </w:rPr>
        <w:t>коэффициент сложности исполнения бюджетных ассигнований;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уровень использования субсидий бюджетными и автономными учреждениями, предоставленных на выполнение муниципальных заданий;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уровень подготовки платежных документов бюджетными и автономными учреждениями;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качество осуществления расходов бюджетными и автономными учреждениями;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Качество финансового менеджмента, осуществляемого главными администраторами в существенной степени</w:t>
      </w:r>
      <w:r>
        <w:rPr>
          <w:sz w:val="28"/>
          <w:szCs w:val="28"/>
        </w:rPr>
        <w:t xml:space="preserve"> зависит от организации главным администратором процедур бюджетного планирования, исполнения бюджета, ведения бюджетного учета, составления и представления бюджетной отчетности.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 xml:space="preserve">Итоговые показатели и оценки качества финансового менеджмента, а также рейтинг главных администраторов представлены в отчете о результатах проведения мониторинга качества финансового менеджмента.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Мониторинг качества финансового менеджмента проводился по 5 главным администраторам.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 xml:space="preserve">При расчете показателей качества финансового менеджмента учитывались отраслевые особенности, влияющие на качество финансового менеджмента. Указанные сведения представлялись в финансовое управление по форме согласно приложению № 2 к Положению.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 xml:space="preserve">Средняя итоговая оценка за 1 квартал 2018 года по главным администраторам составляет 79,7 баллов. 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</w:rPr>
        <w:t>По результатам мониторинга качества финансового менеджмента сложились наилучшие оценки качества финансового менеджмента по 1  и 2 группам соответственно: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</w:rPr>
        <w:t>- Отдел культуры администрации Шарангского муниципального района  - 81,4 балла;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-   Управления сельского хозяйства – 71,7 балла.</w:t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Финансовое планирование</w:t>
      </w:r>
    </w:p>
    <w:p>
      <w:pPr>
        <w:pStyle w:val="Normal"/>
        <w:spacing w:lineRule="auto" w:line="360"/>
        <w:ind w:left="1069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23"/>
        <w:ind w:left="0" w:firstLine="709"/>
        <w:rPr/>
      </w:pPr>
      <w:r>
        <w:rPr/>
        <w:t xml:space="preserve">Для расчета показателей мониторинга качества финансового планирования использовались данные уведомлений об изменении бюджетных назначений за 1 квартал 2018 год. </w:t>
      </w:r>
    </w:p>
    <w:p>
      <w:pPr>
        <w:pStyle w:val="23"/>
        <w:ind w:left="0" w:firstLine="709"/>
        <w:rPr/>
      </w:pPr>
      <w:r>
        <w:rPr/>
        <w:t>Средняя оценка по показателю составила 14 баллов.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>2. Исполнение бюджета в части расходов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 xml:space="preserve">При проведении мониторинга качества исполнения бюджета по расходам использовались: </w:t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both"/>
        <w:rPr/>
      </w:pPr>
      <w:r>
        <w:rPr>
          <w:sz w:val="28"/>
        </w:rPr>
        <w:t>отчет о принятых бюджетных обязательствах по форме 0503128;</w:t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отчет об исполнении бюджета по форме 0503127;</w:t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программный комплекс АЦК-Финансы «Заявки на оплату расходов»</w:t>
      </w:r>
    </w:p>
    <w:p>
      <w:pPr>
        <w:pStyle w:val="Normal"/>
        <w:tabs>
          <w:tab w:val="left" w:pos="993" w:leader="none"/>
        </w:tabs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финансовая отчетность.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1"/>
        <w:rPr/>
      </w:pPr>
      <w:r>
        <w:rPr>
          <w:sz w:val="28"/>
        </w:rPr>
        <w:t>Среднее значение показателя по показателю «Своевременность принятия бюджетных обязательств» - 56,6%. Максимальные баллы по 1 и 2  группам соответственно получили: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1"/>
        <w:rPr>
          <w:sz w:val="28"/>
        </w:rPr>
      </w:pPr>
      <w:r>
        <w:rPr>
          <w:sz w:val="28"/>
        </w:rPr>
        <w:t>Отдел культуры администрации Шарангского муниципального района;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1"/>
        <w:rPr/>
      </w:pPr>
      <w:r>
        <w:rPr>
          <w:sz w:val="28"/>
        </w:rPr>
        <w:t>Финансовое управление администрации Шарангского муниципального района.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1"/>
        <w:rPr>
          <w:sz w:val="28"/>
        </w:rPr>
      </w:pPr>
      <w:r>
        <w:rPr>
          <w:sz w:val="28"/>
        </w:rPr>
        <w:t>Качество прогнозирования кассовых расходов оценивалось по 10-бальной шкале. Средний показатель – 8,4 балла.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1"/>
        <w:rPr/>
      </w:pPr>
      <w:r>
        <w:rPr>
          <w:sz w:val="28"/>
        </w:rPr>
        <w:t xml:space="preserve">Проводилась оценка уровня подготовки  главными администраторами  расчетно-платежных документов, представленных в течение 1 квартала  2018 года. Средняя оценка составляет 7,6 балла по 10-бальной шкале. </w:t>
      </w:r>
    </w:p>
    <w:p>
      <w:pPr>
        <w:pStyle w:val="Style27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Наилучшие оценки исполнения бюджета в части расходов сложились у следующих главных администраторов:</w:t>
      </w:r>
    </w:p>
    <w:p>
      <w:pPr>
        <w:pStyle w:val="Style27"/>
        <w:spacing w:lineRule="auto" w:line="360"/>
        <w:ind w:firstLine="709"/>
        <w:jc w:val="both"/>
        <w:rPr/>
      </w:pPr>
      <w:r>
        <w:rPr>
          <w:sz w:val="28"/>
        </w:rPr>
        <w:t>Администрации Шарангского муниципального района;</w:t>
      </w:r>
    </w:p>
    <w:p>
      <w:pPr>
        <w:pStyle w:val="Style27"/>
        <w:spacing w:lineRule="auto" w:line="360"/>
        <w:ind w:firstLine="709"/>
        <w:jc w:val="both"/>
        <w:rPr/>
      </w:pPr>
      <w:r>
        <w:rPr>
          <w:sz w:val="28"/>
        </w:rPr>
        <w:t>Отдела культуры администрации Шарангского муниципального района;</w:t>
      </w:r>
    </w:p>
    <w:p>
      <w:pPr>
        <w:pStyle w:val="Style27"/>
        <w:spacing w:lineRule="auto" w:line="360"/>
        <w:ind w:firstLine="709"/>
        <w:jc w:val="both"/>
        <w:rPr/>
      </w:pPr>
      <w:r>
        <w:rPr>
          <w:sz w:val="28"/>
        </w:rPr>
        <w:t>Финансового управления администрации Шарангского муниципального района;</w:t>
      </w:r>
    </w:p>
    <w:p>
      <w:pPr>
        <w:pStyle w:val="Style27"/>
        <w:spacing w:lineRule="auto" w:line="360"/>
        <w:ind w:firstLine="709"/>
        <w:jc w:val="both"/>
        <w:rPr/>
      </w:pPr>
      <w:r>
        <w:rPr>
          <w:sz w:val="28"/>
        </w:rPr>
        <w:t>Управления сельского хозяйства;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>3. Исполнение бюджета в части доходов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27"/>
        <w:spacing w:lineRule="auto" w:line="360"/>
        <w:ind w:firstLine="709"/>
        <w:jc w:val="both"/>
        <w:rPr/>
      </w:pPr>
      <w:r>
        <w:rPr>
          <w:sz w:val="28"/>
        </w:rPr>
        <w:t xml:space="preserve">При проведении мониторинга качества исполнения районного бюджета по доходам рассчитывались следующие показатели: </w:t>
      </w:r>
    </w:p>
    <w:p>
      <w:pPr>
        <w:pStyle w:val="Style27"/>
        <w:spacing w:lineRule="auto" w:line="360"/>
        <w:ind w:firstLine="709"/>
        <w:jc w:val="both"/>
        <w:rPr/>
      </w:pPr>
      <w:r>
        <w:rPr>
          <w:sz w:val="28"/>
        </w:rPr>
        <w:t>полнота зачисления платежей в районный бюджет по главному администратору доходов районного бюджета;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отклонение кассового исполнения по доходам от прогноза по главному администратору доходов районного бюджета.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По состоянию на 1 апреля 2018 года невыясненные поступления отсутствовали.</w:t>
      </w:r>
    </w:p>
    <w:p>
      <w:pPr>
        <w:pStyle w:val="23"/>
        <w:ind w:left="0" w:firstLine="706"/>
        <w:rPr/>
      </w:pPr>
      <w:r>
        <w:rPr/>
        <w:t>Отклонение исполнения по доходам от прогноза поступлений доходов рассчитывалось для всех главных администраторов. По администрации Шарангского муниципального района  наблюдается перевыполнение плановых показателей по администрируемым доходам на 16,8%.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>4. Учет и отчетность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27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 xml:space="preserve">При проведении мониторинга качества ведения учета и отчетности определялся коэффициент сложности исполнения бюджетных ассигнований. </w:t>
      </w:r>
    </w:p>
    <w:p>
      <w:pPr>
        <w:pStyle w:val="Style27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При оценке данного показателя использовался отчет об исполнении бюджета по форме 0503127.</w:t>
      </w:r>
    </w:p>
    <w:p>
      <w:pPr>
        <w:pStyle w:val="Style27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Максимальный уровень сложности по 1 группе у отдела культуры администрации Шарангского муниципального района, по 2 группе – управления сельского хозяйства администрации Шарангского муниципального района.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>5. Бюджетные и автономные учреждения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Для проведения мониторинга качества работы бюджетных и автономных учреждений оценивались: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уровень использования субсидий бюджетными и автономными учреждениями, предоставленных на выполнение муниципальных заданий;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уровень подготовки платежных документов бюджетными и автономными учреждениями;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качество осуществления расходов бюджетными и автономными учреждениями..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Для оценки использовались: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отчет об исполнении учреждениями плана ФХД по форме 0503737;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данные программного комплекса  АЦК-Финансы «Заявки БУ/АУ на выплату средств»;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финансовая отчетность.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Средний показатель использования субсидий – 94,7% при целевом ориентире – 100%.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Максимальный показатель по отделу культуры администрации Шарангского муниципального района, минимальный – по отделу образования Шарангского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При оценке уровня подготовки платежных документов установлен наиболее низкий показатель по отделу образования администрации Шарангского муниципального района, что свидетельствует о плохом качестве подготовки платежных  документов.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>При оценке качества осуществления расходов бюджетными и автономными учреждениями рассматривались такие показатели, как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наличие просроченной кредиторской задолженности;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уровень кредиторской задолженности;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уровень дебиторской задолженности.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Использовались: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отчет о кредиторской задолженности;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сведения о кредиторской и дебиторской задолженности по форме 0503169.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Максимально (7,3 балла) была оценена администрация Шарангского муниципального района, минимально (6,3 балла) – отдел образования администрации Шарангского муниципального района.</w:t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23"/>
        <w:ind w:left="0" w:firstLine="706"/>
        <w:rPr>
          <w:szCs w:val="28"/>
        </w:rPr>
      </w:pPr>
      <w:r>
        <w:rPr>
          <w:szCs w:val="28"/>
        </w:rPr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133" w:header="708" w:top="1276" w:footer="708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rPr>
                              <w:rStyle w:val="Style13"/>
                            </w:rPr>
                          </w:pPr>
                          <w:r>
                            <w:rPr>
                              <w:rStyle w:val="Style13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</w:rPr>
                            <w:instrText> PAGE </w:instrText>
                          </w:r>
                          <w:r>
                            <w:rPr>
                              <w:rStyle w:val="Style13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</w:rPr>
                            <w:t>6</w:t>
                          </w:r>
                          <w:r>
                            <w:rPr>
                              <w:rStyle w:val="Style1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7.8pt;mso-position-horizontal:center;mso-position-horizontal-relative:margin">
              <v:fill opacity="0f"/>
              <v:textbox>
                <w:txbxContent>
                  <w:p>
                    <w:pPr>
                      <w:pStyle w:val="Style29"/>
                      <w:rPr>
                        <w:rStyle w:val="Style13"/>
                      </w:rPr>
                    </w:pPr>
                    <w:r>
                      <w:rPr>
                        <w:rStyle w:val="Style13"/>
                      </w:rPr>
                      <w:fldChar w:fldCharType="begin"/>
                    </w:r>
                    <w:r>
                      <w:rPr>
                        <w:rStyle w:val="Style13"/>
                      </w:rPr>
                      <w:instrText> PAGE </w:instrText>
                    </w:r>
                    <w:r>
                      <w:rPr>
                        <w:rStyle w:val="Style13"/>
                      </w:rPr>
                      <w:fldChar w:fldCharType="separate"/>
                    </w:r>
                    <w:r>
                      <w:rPr>
                        <w:rStyle w:val="Style13"/>
                      </w:rPr>
                      <w:t>6</w:t>
                    </w:r>
                    <w:r>
                      <w:rPr>
                        <w:rStyle w:val="Style1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sz w:val="28"/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1"/>
    <w:next w:val="Normal"/>
    <w:qFormat/>
    <w:pPr>
      <w:keepNext w:val="false"/>
      <w:widowControl w:val="false"/>
      <w:numPr>
        <w:ilvl w:val="1"/>
        <w:numId w:val="1"/>
      </w:numPr>
      <w:autoSpaceDE w:val="false"/>
      <w:spacing w:before="0" w:after="0"/>
      <w:jc w:val="both"/>
      <w:outlineLvl w:val="1"/>
    </w:pPr>
    <w:rPr>
      <w:rFonts w:ascii="Arial" w:hAnsi="Arial" w:eastAsia="Times New Roman" w:cs="Arial"/>
      <w:b w:val="false"/>
      <w:bCs w:val="false"/>
      <w:kern w:val="0"/>
      <w:sz w:val="24"/>
      <w:szCs w:val="24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b/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qFormat/>
    <w:rPr>
      <w:rFonts w:ascii="Arial" w:hAnsi="Arial" w:cs="Arial"/>
      <w:sz w:val="24"/>
      <w:szCs w:val="24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Текст примечания Знак"/>
    <w:basedOn w:val="Style12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Style18">
    <w:name w:val="Текст концевой сноски Знак"/>
    <w:basedOn w:val="Style12"/>
    <w:qFormat/>
    <w:rPr/>
  </w:style>
  <w:style w:type="character" w:styleId="Style19">
    <w:name w:val="Символ концевой сноски"/>
    <w:qFormat/>
    <w:rPr>
      <w:vertAlign w:val="superscript"/>
    </w:rPr>
  </w:style>
  <w:style w:type="character" w:styleId="Style20">
    <w:name w:val="Символ сноски"/>
    <w:qFormat/>
    <w:rPr>
      <w:vertAlign w:val="superscript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1">
    <w:name w:val="Выделение"/>
    <w:qFormat/>
    <w:rPr>
      <w:i/>
      <w:i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3">
    <w:name w:val="Основной текст с отступом 3"/>
    <w:basedOn w:val="Normal"/>
    <w:qFormat/>
    <w:pPr>
      <w:ind w:firstLine="709"/>
      <w:jc w:val="both"/>
    </w:pPr>
    <w:rPr>
      <w:sz w:val="28"/>
    </w:rPr>
  </w:style>
  <w:style w:type="paragraph" w:styleId="23">
    <w:name w:val="Основной текст с отступом 2"/>
    <w:basedOn w:val="Normal"/>
    <w:qFormat/>
    <w:pPr>
      <w:spacing w:lineRule="auto" w:line="360"/>
      <w:ind w:left="-360" w:firstLine="1066"/>
      <w:jc w:val="both"/>
    </w:pPr>
    <w:rPr>
      <w:sz w:val="28"/>
    </w:rPr>
  </w:style>
  <w:style w:type="paragraph" w:styleId="Style27">
    <w:name w:val="Footnote Text"/>
    <w:basedOn w:val="Normal"/>
    <w:pPr/>
    <w:rPr/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eastAsia="Times New Roman" w:cs="Arial"/>
      <w:sz w:val="24"/>
      <w:szCs w:val="24"/>
    </w:rPr>
  </w:style>
  <w:style w:type="paragraph" w:styleId="Style32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eastAsia="Times New Roman" w:cs="Arial"/>
      <w:sz w:val="24"/>
      <w:szCs w:val="24"/>
    </w:rPr>
  </w:style>
  <w:style w:type="paragraph" w:styleId="Style33">
    <w:name w:val="Текст примечания"/>
    <w:basedOn w:val="Normal"/>
    <w:qFormat/>
    <w:pPr/>
    <w:rPr/>
  </w:style>
  <w:style w:type="paragraph" w:styleId="Style34">
    <w:name w:val="Тема примечания"/>
    <w:basedOn w:val="Style33"/>
    <w:next w:val="Style33"/>
    <w:qFormat/>
    <w:pPr/>
    <w:rPr>
      <w:b/>
      <w:bCs/>
    </w:rPr>
  </w:style>
  <w:style w:type="paragraph" w:styleId="Style35">
    <w:name w:val="Endnote Text"/>
    <w:basedOn w:val="Normal"/>
    <w:pPr/>
    <w:rPr/>
  </w:style>
  <w:style w:type="paragraph" w:styleId="Style36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727</TotalTime>
  <Application>LibreOffice/6.0.4.2$Windows_x86 LibreOffice_project/9b0d9b32d5dcda91d2f1a96dc04c645c450872bf</Application>
  <Pages>6</Pages>
  <Words>824</Words>
  <Characters>6568</Characters>
  <CharactersWithSpaces>7353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2018-05-29T09:39:00Z</dcterms:created>
  <dc:creator>Aboldyr@minfin.ru</dc:creator>
  <dc:description/>
  <cp:keywords/>
  <dc:language>ru-RU</dc:language>
  <cp:lastModifiedBy>Демина</cp:lastModifiedBy>
  <cp:lastPrinted>2018-05-30T15:30:00Z</cp:lastPrinted>
  <dcterms:modified xsi:type="dcterms:W3CDTF">2018-06-04T09:09:00Z</dcterms:modified>
  <cp:revision>7</cp:revision>
  <dc:subject/>
  <dc:title>ПОЯСНИТЕЛЬНАЯ ЗАПИСКА</dc:title>
</cp:coreProperties>
</file>