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firstLine="709"/>
        <w:jc w:val="center"/>
        <w:rPr>
          <w:b/>
          <w:b/>
          <w:sz w:val="28"/>
        </w:rPr>
      </w:pPr>
      <w:r>
        <w:rPr>
          <w:b/>
          <w:sz w:val="28"/>
        </w:rPr>
        <w:t xml:space="preserve">ПОЯСНИТЕЛЬНАЯ ЗАПИСКА   </w:t>
      </w:r>
    </w:p>
    <w:p>
      <w:pPr>
        <w:pStyle w:val="Normal"/>
        <w:ind w:firstLine="709"/>
        <w:jc w:val="center"/>
        <w:rPr>
          <w:b/>
          <w:b/>
          <w:sz w:val="28"/>
        </w:rPr>
      </w:pPr>
      <w:r>
        <w:rPr>
          <w:b/>
          <w:sz w:val="28"/>
        </w:rPr>
      </w:r>
    </w:p>
    <w:p>
      <w:pPr>
        <w:pStyle w:val="Normal"/>
        <w:ind w:firstLine="709"/>
        <w:jc w:val="center"/>
        <w:rPr/>
      </w:pPr>
      <w:r>
        <w:rPr>
          <w:b/>
          <w:sz w:val="28"/>
          <w:szCs w:val="28"/>
        </w:rPr>
        <w:t xml:space="preserve">к отчету о результатах проведения мониторинга качества финансового менеджмента, осуществляемого главными администраторами средств районного бюджета, </w:t>
      </w:r>
    </w:p>
    <w:p>
      <w:pPr>
        <w:pStyle w:val="Normal"/>
        <w:ind w:firstLine="709"/>
        <w:jc w:val="center"/>
        <w:rPr/>
      </w:pPr>
      <w:r>
        <w:rPr>
          <w:b/>
          <w:sz w:val="28"/>
          <w:szCs w:val="28"/>
        </w:rPr>
        <w:t>по состоянию на 1 апреля 2021 года</w:t>
      </w:r>
    </w:p>
    <w:p>
      <w:pPr>
        <w:pStyle w:val="Normal"/>
        <w:spacing w:lineRule="auto" w:line="360"/>
        <w:ind w:firstLine="709"/>
        <w:jc w:val="center"/>
        <w:rPr>
          <w:b/>
          <w:b/>
          <w:sz w:val="28"/>
          <w:szCs w:val="28"/>
        </w:rPr>
      </w:pPr>
      <w:r>
        <w:rPr>
          <w:b/>
          <w:sz w:val="28"/>
          <w:szCs w:val="28"/>
        </w:rPr>
        <w:t xml:space="preserve"> </w:t>
      </w:r>
    </w:p>
    <w:p>
      <w:pPr>
        <w:pStyle w:val="Normal"/>
        <w:spacing w:lineRule="auto" w:line="360"/>
        <w:ind w:firstLine="709"/>
        <w:jc w:val="both"/>
        <w:rPr/>
      </w:pPr>
      <w:r>
        <w:rPr>
          <w:sz w:val="28"/>
        </w:rPr>
        <w:t xml:space="preserve">Мониторинг качества финансового менеджмента, осуществляемого главными администраторами средств районного бюджета, по состоянию на </w:t>
      </w:r>
      <w:r>
        <w:rPr>
          <w:sz w:val="28"/>
          <w:szCs w:val="28"/>
        </w:rPr>
        <w:t>1 апреля 2021</w:t>
      </w:r>
      <w:r>
        <w:rPr>
          <w:sz w:val="28"/>
        </w:rPr>
        <w:t xml:space="preserve"> года (далее – мониторинг качества финансового менеджмента) проводился в соответствии с Положением об организации проведения мониторинга качества финансового менеджмента, осуществляемого главными администраторами средств районного бюджета, утвержденным постановлением администрации Шарангского муниципального района от 12 апреля 2018 г. № 190 «Об утверждении Положения об организации проведения мониторинга качества финансового менеджмента, осуществляемого главными администраторами средств районного бюджета». </w:t>
      </w:r>
    </w:p>
    <w:p>
      <w:pPr>
        <w:pStyle w:val="Normal"/>
        <w:spacing w:lineRule="auto" w:line="360"/>
        <w:ind w:firstLine="709"/>
        <w:jc w:val="both"/>
        <w:rPr>
          <w:sz w:val="28"/>
        </w:rPr>
      </w:pPr>
      <w:r>
        <w:rPr>
          <w:sz w:val="28"/>
        </w:rPr>
        <w:t>В ходе проведения мониторинга качества финансового менеджмента рассчитывались следующие показатели:</w:t>
      </w:r>
    </w:p>
    <w:p>
      <w:pPr>
        <w:pStyle w:val="Normal"/>
        <w:spacing w:lineRule="auto" w:line="360"/>
        <w:ind w:firstLine="709"/>
        <w:jc w:val="both"/>
        <w:rPr/>
      </w:pPr>
      <w:r>
        <w:rPr>
          <w:sz w:val="28"/>
        </w:rPr>
        <w:t>сумма внесенных изменений в бюджетную роспись в связи с уточнением ассигнований по решению Земского собрания Шарангского муниципального района;</w:t>
      </w:r>
    </w:p>
    <w:p>
      <w:pPr>
        <w:pStyle w:val="Normal"/>
        <w:spacing w:lineRule="auto" w:line="360"/>
        <w:ind w:firstLine="709"/>
        <w:jc w:val="both"/>
        <w:rPr/>
      </w:pPr>
      <w:r>
        <w:rPr>
          <w:sz w:val="28"/>
        </w:rPr>
        <w:t>сумма внесенных положительных изменений в бюджетную роспись в связи с передвижками между кодами бюджетной классификации;</w:t>
      </w:r>
    </w:p>
    <w:p>
      <w:pPr>
        <w:pStyle w:val="Normal"/>
        <w:spacing w:lineRule="auto" w:line="360"/>
        <w:ind w:firstLine="709"/>
        <w:jc w:val="both"/>
        <w:rPr/>
      </w:pPr>
      <w:r>
        <w:rPr>
          <w:sz w:val="28"/>
        </w:rPr>
        <w:t>своевременность принятия бюджетных обязательств;</w:t>
      </w:r>
    </w:p>
    <w:p>
      <w:pPr>
        <w:pStyle w:val="Normal"/>
        <w:spacing w:lineRule="auto" w:line="360"/>
        <w:ind w:firstLine="709"/>
        <w:jc w:val="both"/>
        <w:rPr>
          <w:sz w:val="28"/>
        </w:rPr>
      </w:pPr>
      <w:r>
        <w:rPr>
          <w:sz w:val="28"/>
        </w:rPr>
        <w:t>качество прогнозирования кассовых расходов;</w:t>
      </w:r>
    </w:p>
    <w:p>
      <w:pPr>
        <w:pStyle w:val="Normal"/>
        <w:spacing w:lineRule="auto" w:line="360"/>
        <w:ind w:firstLine="709"/>
        <w:jc w:val="both"/>
        <w:rPr/>
      </w:pPr>
      <w:r>
        <w:rPr>
          <w:sz w:val="28"/>
        </w:rPr>
        <w:t>уровень подготовки платежных документов;</w:t>
      </w:r>
    </w:p>
    <w:p>
      <w:pPr>
        <w:pStyle w:val="Normal"/>
        <w:spacing w:lineRule="auto" w:line="360"/>
        <w:ind w:firstLine="709"/>
        <w:jc w:val="both"/>
        <w:rPr/>
      </w:pPr>
      <w:r>
        <w:rPr>
          <w:sz w:val="28"/>
        </w:rPr>
        <w:t>качество исполнения расходов;</w:t>
      </w:r>
    </w:p>
    <w:p>
      <w:pPr>
        <w:pStyle w:val="Normal"/>
        <w:spacing w:lineRule="auto" w:line="360"/>
        <w:ind w:firstLine="709"/>
        <w:jc w:val="both"/>
        <w:rPr/>
      </w:pPr>
      <w:r>
        <w:rPr>
          <w:sz w:val="28"/>
        </w:rPr>
        <w:t>полнота зачисления платежей в районный бюджет по главному администратору доходов районного бюджета, объем невыясненных поступлений;</w:t>
      </w:r>
    </w:p>
    <w:p>
      <w:pPr>
        <w:pStyle w:val="Normal"/>
        <w:shd w:fill="FFFFFF" w:val="clear"/>
        <w:spacing w:lineRule="auto" w:line="360"/>
        <w:ind w:firstLine="709"/>
        <w:jc w:val="both"/>
        <w:rPr/>
      </w:pPr>
      <w:r>
        <w:rPr>
          <w:sz w:val="28"/>
        </w:rPr>
        <w:t>отклонение кассового исполнения по доходам от прогноза по главному администратору доходов районного бюджета;</w:t>
      </w:r>
    </w:p>
    <w:p>
      <w:pPr>
        <w:pStyle w:val="Normal"/>
        <w:shd w:fill="FFFFFF" w:val="clear"/>
        <w:spacing w:lineRule="auto" w:line="360"/>
        <w:ind w:firstLine="709"/>
        <w:jc w:val="both"/>
        <w:rPr/>
      </w:pPr>
      <w:r>
        <w:rPr>
          <w:sz w:val="28"/>
        </w:rPr>
        <w:t>коэффициент сложности исполнения бюджетных ассигнований;</w:t>
      </w:r>
    </w:p>
    <w:p>
      <w:pPr>
        <w:pStyle w:val="Normal"/>
        <w:spacing w:lineRule="auto" w:line="360"/>
        <w:ind w:firstLine="709"/>
        <w:jc w:val="both"/>
        <w:rPr>
          <w:sz w:val="28"/>
        </w:rPr>
      </w:pPr>
      <w:r>
        <w:rPr>
          <w:sz w:val="28"/>
        </w:rPr>
        <w:t>уровень использования субсидий бюджетными и автономными учреждениями, предоставленных на выполнение муниципальных заданий;</w:t>
      </w:r>
    </w:p>
    <w:p>
      <w:pPr>
        <w:pStyle w:val="Normal"/>
        <w:spacing w:lineRule="auto" w:line="360"/>
        <w:ind w:firstLine="709"/>
        <w:jc w:val="both"/>
        <w:rPr>
          <w:sz w:val="28"/>
        </w:rPr>
      </w:pPr>
      <w:r>
        <w:rPr>
          <w:sz w:val="28"/>
        </w:rPr>
        <w:t>уровень подготовки платежных документов бюджетными и автономными учреждениями;</w:t>
      </w:r>
    </w:p>
    <w:p>
      <w:pPr>
        <w:pStyle w:val="Normal"/>
        <w:spacing w:lineRule="auto" w:line="360"/>
        <w:ind w:firstLine="709"/>
        <w:jc w:val="both"/>
        <w:rPr>
          <w:sz w:val="28"/>
        </w:rPr>
      </w:pPr>
      <w:r>
        <w:rPr>
          <w:sz w:val="28"/>
        </w:rPr>
        <w:t>качество осуществления расходов бюджетными и автономными учреждениями.</w:t>
      </w:r>
    </w:p>
    <w:p>
      <w:pPr>
        <w:pStyle w:val="Normal"/>
        <w:spacing w:lineRule="auto" w:line="360"/>
        <w:ind w:firstLine="709"/>
        <w:jc w:val="both"/>
        <w:rPr/>
      </w:pPr>
      <w:r>
        <w:rPr>
          <w:sz w:val="28"/>
        </w:rPr>
        <w:t>Качество финансового менеджмента, осуществляемого главными администраторами, в существенной степени</w:t>
      </w:r>
      <w:r>
        <w:rPr>
          <w:sz w:val="28"/>
          <w:szCs w:val="28"/>
        </w:rPr>
        <w:t xml:space="preserve"> зависит от организации главным администратором процедур бюджетного планирования, исполнения бюджета, ведения бюджетного учета, составления и представления бюджетной отчетности. </w:t>
      </w:r>
    </w:p>
    <w:p>
      <w:pPr>
        <w:pStyle w:val="Normal"/>
        <w:spacing w:lineRule="auto" w:line="360"/>
        <w:ind w:firstLine="709"/>
        <w:jc w:val="both"/>
        <w:rPr/>
      </w:pPr>
      <w:r>
        <w:rPr>
          <w:sz w:val="28"/>
        </w:rPr>
        <w:t xml:space="preserve">Итоговые показатели и оценки качества финансового менеджмента, а также рейтинг главных администраторов представлены в отчете о результатах проведения мониторинга качества финансового менеджмента. </w:t>
      </w:r>
    </w:p>
    <w:p>
      <w:pPr>
        <w:pStyle w:val="Normal"/>
        <w:spacing w:lineRule="auto" w:line="360"/>
        <w:ind w:firstLine="709"/>
        <w:jc w:val="both"/>
        <w:rPr/>
      </w:pPr>
      <w:r>
        <w:rPr>
          <w:sz w:val="28"/>
          <w:szCs w:val="28"/>
        </w:rPr>
        <w:t>Мониторинг качества финансового менеджмента проводился по 5 главным администраторам.</w:t>
      </w:r>
    </w:p>
    <w:p>
      <w:pPr>
        <w:pStyle w:val="Normal"/>
        <w:spacing w:lineRule="auto" w:line="360"/>
        <w:ind w:firstLine="709"/>
        <w:jc w:val="both"/>
        <w:rPr/>
      </w:pPr>
      <w:r>
        <w:rPr>
          <w:sz w:val="28"/>
        </w:rPr>
        <w:t xml:space="preserve">При расчете показателей качества финансового менеджмента учитывались отраслевые особенности, влияющие на качество финансового менеджмента. Указанные сведения представлялись в финансовое управление по форме согласно приложению № 2 к Положению. </w:t>
      </w:r>
    </w:p>
    <w:p>
      <w:pPr>
        <w:pStyle w:val="Normal"/>
        <w:spacing w:lineRule="auto" w:line="360"/>
        <w:ind w:firstLine="709"/>
        <w:jc w:val="both"/>
        <w:rPr/>
      </w:pPr>
      <w:r>
        <w:rPr>
          <w:sz w:val="28"/>
        </w:rPr>
        <w:t xml:space="preserve">Средняя итоговая оценка за 1 квартал 2021 года по главным администраторам составляет 83 балла. </w:t>
      </w:r>
    </w:p>
    <w:p>
      <w:pPr>
        <w:pStyle w:val="Normal"/>
        <w:tabs>
          <w:tab w:val="clear" w:pos="709"/>
          <w:tab w:val="left" w:pos="1134" w:leader="none"/>
        </w:tabs>
        <w:spacing w:lineRule="auto" w:line="360"/>
        <w:ind w:firstLine="709"/>
        <w:jc w:val="both"/>
        <w:rPr/>
      </w:pPr>
      <w:r>
        <w:rPr>
          <w:sz w:val="28"/>
        </w:rPr>
        <w:t>По результатам мониторинга качества финансового менеджмента сложились наилучшие оценки качества финансового менеджмента по 1  и 2 группам соответственно:</w:t>
      </w:r>
    </w:p>
    <w:p>
      <w:pPr>
        <w:pStyle w:val="Normal"/>
        <w:tabs>
          <w:tab w:val="clear" w:pos="709"/>
          <w:tab w:val="left" w:pos="1134" w:leader="none"/>
        </w:tabs>
        <w:spacing w:lineRule="auto" w:line="360"/>
        <w:ind w:firstLine="709"/>
        <w:jc w:val="both"/>
        <w:rPr/>
      </w:pPr>
      <w:r>
        <w:rPr>
          <w:sz w:val="28"/>
        </w:rPr>
        <w:t>- управление образования и молодежной политики администрации Шарангского муниципального района - 91,6 балла;</w:t>
      </w:r>
    </w:p>
    <w:p>
      <w:pPr>
        <w:pStyle w:val="Normal"/>
        <w:tabs>
          <w:tab w:val="clear" w:pos="709"/>
          <w:tab w:val="left" w:pos="1134" w:leader="none"/>
        </w:tabs>
        <w:spacing w:lineRule="auto" w:line="360"/>
        <w:ind w:firstLine="709"/>
        <w:jc w:val="both"/>
        <w:rPr>
          <w:sz w:val="28"/>
        </w:rPr>
      </w:pPr>
      <w:r>
        <w:rPr>
          <w:sz w:val="28"/>
        </w:rPr>
        <w:t>- управление сельского хозяйства администрации Шарангского муниципального района – 83,3 балла.</w:t>
      </w:r>
    </w:p>
    <w:p>
      <w:pPr>
        <w:pStyle w:val="Normal"/>
        <w:tabs>
          <w:tab w:val="clear" w:pos="709"/>
          <w:tab w:val="left" w:pos="1134" w:leader="none"/>
        </w:tabs>
        <w:spacing w:lineRule="auto" w:line="360"/>
        <w:ind w:firstLine="709"/>
        <w:jc w:val="both"/>
        <w:rPr>
          <w:sz w:val="28"/>
        </w:rPr>
      </w:pPr>
      <w:r>
        <w:rPr>
          <w:sz w:val="28"/>
        </w:rPr>
      </w:r>
    </w:p>
    <w:p>
      <w:pPr>
        <w:pStyle w:val="Normal"/>
        <w:numPr>
          <w:ilvl w:val="0"/>
          <w:numId w:val="2"/>
        </w:numPr>
        <w:spacing w:lineRule="auto" w:line="360"/>
        <w:jc w:val="center"/>
        <w:rPr>
          <w:b/>
          <w:b/>
          <w:sz w:val="28"/>
        </w:rPr>
      </w:pPr>
      <w:r>
        <w:rPr>
          <w:b/>
          <w:sz w:val="28"/>
        </w:rPr>
        <w:t>Финансовое планирование</w:t>
      </w:r>
    </w:p>
    <w:p>
      <w:pPr>
        <w:pStyle w:val="23"/>
        <w:ind w:left="0" w:firstLine="709"/>
        <w:rPr/>
      </w:pPr>
      <w:r>
        <w:rPr/>
        <w:t xml:space="preserve">Для расчета показателей мониторинга качества финансового планирования использовались данные уведомлений об изменении бюджетных назначений за 1 квартал 2021 года.  </w:t>
      </w:r>
    </w:p>
    <w:p>
      <w:pPr>
        <w:pStyle w:val="23"/>
        <w:ind w:left="0" w:firstLine="709"/>
        <w:rPr/>
      </w:pPr>
      <w:r>
        <w:rPr/>
        <w:t>Наименьшая средняя оценка финансового планирования сложилась у администрации Шарангского муниципального района – 7,3 балла из 8,0 возможных. По остальным главным администраторам средняя оценка по показателю составила 8, 0 баллов из 8,0 возможных.</w:t>
      </w:r>
    </w:p>
    <w:p>
      <w:pPr>
        <w:pStyle w:val="Normal"/>
        <w:spacing w:lineRule="auto" w:line="360"/>
        <w:ind w:firstLine="709"/>
        <w:jc w:val="center"/>
        <w:rPr>
          <w:b/>
          <w:b/>
          <w:sz w:val="28"/>
        </w:rPr>
      </w:pPr>
      <w:r>
        <w:rPr>
          <w:b/>
          <w:sz w:val="28"/>
        </w:rPr>
      </w:r>
    </w:p>
    <w:p>
      <w:pPr>
        <w:pStyle w:val="Normal"/>
        <w:spacing w:lineRule="auto" w:line="360"/>
        <w:ind w:firstLine="709"/>
        <w:jc w:val="center"/>
        <w:rPr>
          <w:b/>
          <w:b/>
          <w:sz w:val="28"/>
        </w:rPr>
      </w:pPr>
      <w:r>
        <w:rPr>
          <w:b/>
          <w:sz w:val="28"/>
        </w:rPr>
        <w:t>2. Исполнение бюджета в части расходов</w:t>
      </w:r>
    </w:p>
    <w:p>
      <w:pPr>
        <w:pStyle w:val="Normal"/>
        <w:spacing w:lineRule="auto" w:line="360"/>
        <w:ind w:firstLine="709"/>
        <w:jc w:val="both"/>
        <w:rPr/>
      </w:pPr>
      <w:r>
        <w:rPr>
          <w:sz w:val="28"/>
        </w:rPr>
        <w:t xml:space="preserve">При проведении мониторинга качества исполнения бюджета по расходам использовались: </w:t>
      </w:r>
    </w:p>
    <w:p>
      <w:pPr>
        <w:pStyle w:val="Normal"/>
        <w:tabs>
          <w:tab w:val="clear" w:pos="709"/>
          <w:tab w:val="left" w:pos="993" w:leader="none"/>
        </w:tabs>
        <w:spacing w:lineRule="auto" w:line="360"/>
        <w:ind w:firstLine="709"/>
        <w:jc w:val="both"/>
        <w:rPr/>
      </w:pPr>
      <w:r>
        <w:rPr>
          <w:sz w:val="28"/>
        </w:rPr>
        <w:t>отчет о принятых бюджетных обязательствах по форме 0503128;</w:t>
      </w:r>
    </w:p>
    <w:p>
      <w:pPr>
        <w:pStyle w:val="Normal"/>
        <w:tabs>
          <w:tab w:val="clear" w:pos="709"/>
          <w:tab w:val="left" w:pos="993" w:leader="none"/>
        </w:tabs>
        <w:spacing w:lineRule="auto" w:line="360"/>
        <w:ind w:firstLine="709"/>
        <w:jc w:val="both"/>
        <w:rPr>
          <w:sz w:val="28"/>
        </w:rPr>
      </w:pPr>
      <w:r>
        <w:rPr>
          <w:sz w:val="28"/>
        </w:rPr>
        <w:t>отчет об исполнении бюджета по форме 0503127;</w:t>
      </w:r>
    </w:p>
    <w:p>
      <w:pPr>
        <w:pStyle w:val="Normal"/>
        <w:tabs>
          <w:tab w:val="clear" w:pos="709"/>
          <w:tab w:val="left" w:pos="993" w:leader="none"/>
        </w:tabs>
        <w:spacing w:lineRule="auto" w:line="360"/>
        <w:ind w:firstLine="709"/>
        <w:jc w:val="both"/>
        <w:rPr>
          <w:sz w:val="28"/>
        </w:rPr>
      </w:pPr>
      <w:r>
        <w:rPr>
          <w:sz w:val="28"/>
        </w:rPr>
        <w:t>программный комплекс АЦК-Финансы «Заявки на оплату расходов»</w:t>
      </w:r>
    </w:p>
    <w:p>
      <w:pPr>
        <w:pStyle w:val="Normal"/>
        <w:tabs>
          <w:tab w:val="clear" w:pos="709"/>
          <w:tab w:val="left" w:pos="993" w:leader="none"/>
        </w:tabs>
        <w:spacing w:lineRule="auto" w:line="360"/>
        <w:ind w:firstLine="709"/>
        <w:jc w:val="both"/>
        <w:rPr>
          <w:sz w:val="28"/>
        </w:rPr>
      </w:pPr>
      <w:r>
        <w:rPr>
          <w:sz w:val="28"/>
        </w:rPr>
        <w:t>финансовая отчетность.</w:t>
      </w:r>
    </w:p>
    <w:p>
      <w:pPr>
        <w:pStyle w:val="Normal"/>
        <w:numPr>
          <w:ilvl w:val="0"/>
          <w:numId w:val="0"/>
        </w:numPr>
        <w:autoSpaceDE w:val="false"/>
        <w:spacing w:lineRule="auto" w:line="360"/>
        <w:ind w:firstLine="709"/>
        <w:jc w:val="both"/>
        <w:outlineLvl w:val="1"/>
        <w:rPr/>
      </w:pPr>
      <w:r>
        <w:rPr>
          <w:sz w:val="28"/>
        </w:rPr>
        <w:t>Среднее значение показателя по позиции «Своевременность принятия бюджетных обязательств» - 35 %. Максимальные значение показателей по 1 и 2  группам соответственно по :</w:t>
      </w:r>
    </w:p>
    <w:p>
      <w:pPr>
        <w:pStyle w:val="Normal"/>
        <w:numPr>
          <w:ilvl w:val="0"/>
          <w:numId w:val="0"/>
        </w:numPr>
        <w:autoSpaceDE w:val="false"/>
        <w:spacing w:lineRule="auto" w:line="360"/>
        <w:ind w:firstLine="709"/>
        <w:jc w:val="both"/>
        <w:outlineLvl w:val="1"/>
        <w:rPr/>
      </w:pPr>
      <w:r>
        <w:rPr>
          <w:sz w:val="28"/>
        </w:rPr>
        <w:t>отделу культуры администрации Шарангского муниципального района – 48,8%;</w:t>
      </w:r>
    </w:p>
    <w:p>
      <w:pPr>
        <w:pStyle w:val="Normal"/>
        <w:numPr>
          <w:ilvl w:val="0"/>
          <w:numId w:val="0"/>
        </w:numPr>
        <w:autoSpaceDE w:val="false"/>
        <w:spacing w:lineRule="auto" w:line="360"/>
        <w:ind w:firstLine="709"/>
        <w:jc w:val="both"/>
        <w:outlineLvl w:val="1"/>
        <w:rPr/>
      </w:pPr>
      <w:r>
        <w:rPr>
          <w:sz w:val="28"/>
        </w:rPr>
        <w:t>управлению сельского хозяйства администрации Шарангского муниципального района – 74,4 %.</w:t>
      </w:r>
    </w:p>
    <w:p>
      <w:pPr>
        <w:pStyle w:val="Normal"/>
        <w:numPr>
          <w:ilvl w:val="0"/>
          <w:numId w:val="0"/>
        </w:numPr>
        <w:autoSpaceDE w:val="false"/>
        <w:spacing w:lineRule="auto" w:line="360"/>
        <w:ind w:firstLine="709"/>
        <w:jc w:val="both"/>
        <w:outlineLvl w:val="1"/>
        <w:rPr>
          <w:sz w:val="28"/>
        </w:rPr>
      </w:pPr>
      <w:r>
        <w:rPr>
          <w:sz w:val="28"/>
        </w:rPr>
        <w:t>Качество прогнозирования кассовых расходов оценивалось по 10-бальной шкале. Средний показатель – 7,2 балла.</w:t>
      </w:r>
    </w:p>
    <w:p>
      <w:pPr>
        <w:pStyle w:val="Normal"/>
        <w:numPr>
          <w:ilvl w:val="0"/>
          <w:numId w:val="0"/>
        </w:numPr>
        <w:autoSpaceDE w:val="false"/>
        <w:spacing w:lineRule="auto" w:line="360"/>
        <w:ind w:firstLine="709"/>
        <w:jc w:val="both"/>
        <w:outlineLvl w:val="1"/>
        <w:rPr>
          <w:sz w:val="28"/>
        </w:rPr>
      </w:pPr>
      <w:r>
        <w:rPr>
          <w:sz w:val="28"/>
        </w:rPr>
        <w:t>Проводилась оценка уровня подготовки  главными администраторами  расчетно-платежных документов, представленных в течение 1 квартала  2021 года. Средняя оценка составляет 10 баллов по 10-бальной шкале.</w:t>
      </w:r>
    </w:p>
    <w:p>
      <w:pPr>
        <w:pStyle w:val="Normal"/>
        <w:numPr>
          <w:ilvl w:val="0"/>
          <w:numId w:val="0"/>
        </w:numPr>
        <w:autoSpaceDE w:val="false"/>
        <w:spacing w:lineRule="auto" w:line="360"/>
        <w:ind w:firstLine="709"/>
        <w:jc w:val="both"/>
        <w:outlineLvl w:val="1"/>
        <w:rPr>
          <w:sz w:val="28"/>
        </w:rPr>
      </w:pPr>
      <w:r>
        <w:rPr>
          <w:sz w:val="28"/>
        </w:rPr>
        <w:t>Проведенный мониторинг на 01.04.2021 года показал отсутствие просроченной кредиторской задолженности по всем главным распорядителям бюджетных средств.</w:t>
      </w:r>
    </w:p>
    <w:p>
      <w:pPr>
        <w:pStyle w:val="Normal"/>
        <w:numPr>
          <w:ilvl w:val="0"/>
          <w:numId w:val="0"/>
        </w:numPr>
        <w:autoSpaceDE w:val="false"/>
        <w:spacing w:lineRule="auto" w:line="360"/>
        <w:ind w:firstLine="709"/>
        <w:jc w:val="both"/>
        <w:outlineLvl w:val="1"/>
        <w:rPr>
          <w:sz w:val="28"/>
        </w:rPr>
      </w:pPr>
      <w:r>
        <w:rPr>
          <w:sz w:val="28"/>
        </w:rPr>
        <w:t>Наилучшая оценка исполнения бюджета в части расходов сложилась у отдела культуры</w:t>
      </w:r>
      <w:r>
        <w:rPr/>
        <w:t xml:space="preserve"> </w:t>
      </w:r>
      <w:r>
        <w:rPr>
          <w:sz w:val="28"/>
        </w:rPr>
        <w:t>администрации Шарангского муниципального района  – 32,7  балла и управления сельского хозяйства</w:t>
      </w:r>
      <w:r>
        <w:rPr/>
        <w:t xml:space="preserve"> </w:t>
      </w:r>
      <w:r>
        <w:rPr>
          <w:sz w:val="28"/>
        </w:rPr>
        <w:t>администрации Шарангского муниципального района – 34,3 балла.</w:t>
      </w:r>
    </w:p>
    <w:p>
      <w:pPr>
        <w:pStyle w:val="Normal"/>
        <w:numPr>
          <w:ilvl w:val="0"/>
          <w:numId w:val="0"/>
        </w:numPr>
        <w:autoSpaceDE w:val="false"/>
        <w:spacing w:lineRule="auto" w:line="360"/>
        <w:ind w:firstLine="709"/>
        <w:jc w:val="both"/>
        <w:outlineLvl w:val="1"/>
        <w:rPr>
          <w:sz w:val="28"/>
        </w:rPr>
      </w:pPr>
      <w:r>
        <w:rPr>
          <w:sz w:val="28"/>
        </w:rPr>
      </w:r>
    </w:p>
    <w:p>
      <w:pPr>
        <w:pStyle w:val="Normal"/>
        <w:spacing w:lineRule="auto" w:line="360"/>
        <w:ind w:firstLine="709"/>
        <w:jc w:val="center"/>
        <w:rPr>
          <w:b/>
          <w:b/>
          <w:sz w:val="28"/>
        </w:rPr>
      </w:pPr>
      <w:r>
        <w:rPr>
          <w:b/>
          <w:sz w:val="28"/>
        </w:rPr>
        <w:t>3. Исполнение бюджета в части доходов</w:t>
      </w:r>
    </w:p>
    <w:p>
      <w:pPr>
        <w:pStyle w:val="Style27"/>
        <w:spacing w:lineRule="auto" w:line="360"/>
        <w:ind w:firstLine="709"/>
        <w:jc w:val="both"/>
        <w:rPr/>
      </w:pPr>
      <w:r>
        <w:rPr>
          <w:sz w:val="28"/>
        </w:rPr>
        <w:t xml:space="preserve">При проведении мониторинга качества исполнения районного бюджета по доходам рассчитывались следующие показатели: </w:t>
      </w:r>
    </w:p>
    <w:p>
      <w:pPr>
        <w:pStyle w:val="Style27"/>
        <w:spacing w:lineRule="auto" w:line="360"/>
        <w:ind w:firstLine="709"/>
        <w:jc w:val="both"/>
        <w:rPr/>
      </w:pPr>
      <w:r>
        <w:rPr>
          <w:sz w:val="28"/>
        </w:rPr>
        <w:t>полнота зачисления платежей в районный бюджет по главным администраторам доходов районного бюджета, наличие невыясненных поступлений на отчетную дату;</w:t>
      </w:r>
    </w:p>
    <w:p>
      <w:pPr>
        <w:pStyle w:val="Normal"/>
        <w:spacing w:lineRule="auto" w:line="360"/>
        <w:ind w:firstLine="709"/>
        <w:jc w:val="both"/>
        <w:rPr>
          <w:sz w:val="28"/>
        </w:rPr>
      </w:pPr>
      <w:r>
        <w:rPr>
          <w:sz w:val="28"/>
        </w:rPr>
        <w:t>отклонение кассового исполнения по доходам от прогноза по главным администраторам доходов районного бюджета.</w:t>
      </w:r>
    </w:p>
    <w:p>
      <w:pPr>
        <w:pStyle w:val="Normal"/>
        <w:spacing w:lineRule="auto" w:line="360"/>
        <w:ind w:firstLine="709"/>
        <w:jc w:val="both"/>
        <w:rPr>
          <w:sz w:val="28"/>
        </w:rPr>
      </w:pPr>
      <w:r>
        <w:rPr>
          <w:sz w:val="28"/>
        </w:rPr>
        <w:t>По состоянию на 1 апреля 2021 года невыясненные поступления отсутствовали по всем администраторам доходов, в результате чего все администраторы оценены на пять баллов.</w:t>
      </w:r>
    </w:p>
    <w:p>
      <w:pPr>
        <w:pStyle w:val="23"/>
        <w:ind w:left="0" w:firstLine="706"/>
        <w:rPr/>
      </w:pPr>
      <w:r>
        <w:rPr/>
        <w:t>Отклонение исполнения по доходам от прогноза поступлений доходов рассчитывалось для всех главных администраторов. По данному показателю все администраторы доходов, за исключением отдела культуры администрации Шарангского муниципального района, оценены на 10 баллов. По отделу культуры администрации муниципального района   при отсутствии плановых назначений кассовое исполнение по доходам составило 2013,8 тыс. рублей.</w:t>
      </w:r>
    </w:p>
    <w:p>
      <w:pPr>
        <w:pStyle w:val="Normal"/>
        <w:spacing w:lineRule="auto" w:line="360"/>
        <w:rPr>
          <w:b/>
          <w:b/>
          <w:sz w:val="28"/>
        </w:rPr>
      </w:pPr>
      <w:r>
        <w:rPr>
          <w:b/>
          <w:sz w:val="28"/>
        </w:rPr>
      </w:r>
    </w:p>
    <w:p>
      <w:pPr>
        <w:pStyle w:val="Normal"/>
        <w:spacing w:lineRule="auto" w:line="360"/>
        <w:ind w:firstLine="709"/>
        <w:jc w:val="center"/>
        <w:rPr>
          <w:b/>
          <w:b/>
          <w:sz w:val="28"/>
        </w:rPr>
      </w:pPr>
      <w:r>
        <w:rPr>
          <w:b/>
          <w:sz w:val="28"/>
        </w:rPr>
      </w:r>
    </w:p>
    <w:p>
      <w:pPr>
        <w:pStyle w:val="Normal"/>
        <w:spacing w:lineRule="auto" w:line="360"/>
        <w:ind w:firstLine="709"/>
        <w:jc w:val="center"/>
        <w:rPr>
          <w:b/>
          <w:b/>
          <w:sz w:val="28"/>
        </w:rPr>
      </w:pPr>
      <w:r>
        <w:rPr>
          <w:b/>
          <w:sz w:val="28"/>
        </w:rPr>
        <w:t>4. Учет и отчетность</w:t>
      </w:r>
    </w:p>
    <w:p>
      <w:pPr>
        <w:pStyle w:val="Style27"/>
        <w:spacing w:lineRule="auto" w:line="360"/>
        <w:ind w:firstLine="709"/>
        <w:jc w:val="both"/>
        <w:rPr>
          <w:sz w:val="28"/>
        </w:rPr>
      </w:pPr>
      <w:r>
        <w:rPr>
          <w:sz w:val="28"/>
        </w:rPr>
        <w:t xml:space="preserve">При проведении мониторинга качества ведения учета и отчетности определялся коэффициент сложности исполнения бюджетных ассигнований. </w:t>
      </w:r>
    </w:p>
    <w:p>
      <w:pPr>
        <w:pStyle w:val="Style27"/>
        <w:spacing w:lineRule="auto" w:line="360"/>
        <w:ind w:firstLine="709"/>
        <w:jc w:val="both"/>
        <w:rPr>
          <w:sz w:val="28"/>
        </w:rPr>
      </w:pPr>
      <w:r>
        <w:rPr>
          <w:sz w:val="28"/>
        </w:rPr>
        <w:t>При оценке данного показателя использовался отчет об исполнении бюджета по форме 0503127.</w:t>
      </w:r>
    </w:p>
    <w:p>
      <w:pPr>
        <w:pStyle w:val="Style27"/>
        <w:spacing w:lineRule="auto" w:line="360"/>
        <w:ind w:firstLine="709"/>
        <w:jc w:val="both"/>
        <w:rPr>
          <w:sz w:val="28"/>
        </w:rPr>
      </w:pPr>
      <w:r>
        <w:rPr>
          <w:sz w:val="28"/>
        </w:rPr>
        <w:t>Максимальный уровень сложности по 1 группе у отдела образования и молодежной политики</w:t>
      </w:r>
      <w:r>
        <w:rPr/>
        <w:t xml:space="preserve"> </w:t>
      </w:r>
      <w:r>
        <w:rPr>
          <w:sz w:val="28"/>
        </w:rPr>
        <w:t>администрации Шарангского муниципального района, по 2 группе – управления сельского хозяйства администрации Шарангского муниципального района.</w:t>
      </w:r>
    </w:p>
    <w:p>
      <w:pPr>
        <w:pStyle w:val="Normal"/>
        <w:spacing w:lineRule="auto" w:line="360"/>
        <w:ind w:firstLine="709"/>
        <w:jc w:val="center"/>
        <w:rPr>
          <w:b/>
          <w:b/>
          <w:sz w:val="28"/>
        </w:rPr>
      </w:pPr>
      <w:r>
        <w:rPr>
          <w:b/>
          <w:sz w:val="28"/>
        </w:rPr>
      </w:r>
    </w:p>
    <w:p>
      <w:pPr>
        <w:pStyle w:val="Normal"/>
        <w:spacing w:lineRule="auto" w:line="360"/>
        <w:ind w:firstLine="709"/>
        <w:jc w:val="center"/>
        <w:rPr>
          <w:b/>
          <w:b/>
          <w:sz w:val="28"/>
        </w:rPr>
      </w:pPr>
      <w:r>
        <w:rPr>
          <w:b/>
          <w:sz w:val="28"/>
        </w:rPr>
        <w:t>5. Бюджетные и автономные учреждения</w:t>
      </w:r>
    </w:p>
    <w:p>
      <w:pPr>
        <w:pStyle w:val="Normal"/>
        <w:spacing w:lineRule="auto" w:line="360"/>
        <w:ind w:firstLine="709"/>
        <w:jc w:val="both"/>
        <w:rPr>
          <w:sz w:val="28"/>
        </w:rPr>
      </w:pPr>
      <w:r>
        <w:rPr>
          <w:sz w:val="28"/>
        </w:rPr>
        <w:t>Для проведения мониторинга качества работы бюджетных и автономных учреждений оценивались:</w:t>
      </w:r>
    </w:p>
    <w:p>
      <w:pPr>
        <w:pStyle w:val="Normal"/>
        <w:spacing w:lineRule="auto" w:line="360"/>
        <w:ind w:firstLine="709"/>
        <w:jc w:val="both"/>
        <w:rPr>
          <w:sz w:val="28"/>
        </w:rPr>
      </w:pPr>
      <w:r>
        <w:rPr>
          <w:sz w:val="28"/>
        </w:rPr>
        <w:t>уровень использования субсидий бюджетными и автономными учреждениями, предоставленных на выполнение муниципальных заданий;</w:t>
      </w:r>
    </w:p>
    <w:p>
      <w:pPr>
        <w:pStyle w:val="Normal"/>
        <w:spacing w:lineRule="auto" w:line="360"/>
        <w:ind w:firstLine="709"/>
        <w:jc w:val="both"/>
        <w:rPr>
          <w:sz w:val="28"/>
        </w:rPr>
      </w:pPr>
      <w:r>
        <w:rPr>
          <w:sz w:val="28"/>
        </w:rPr>
        <w:t>уровень подготовки платежных документов бюджетными и автономными учреждениями;</w:t>
      </w:r>
    </w:p>
    <w:p>
      <w:pPr>
        <w:pStyle w:val="Normal"/>
        <w:spacing w:lineRule="auto" w:line="360"/>
        <w:ind w:firstLine="709"/>
        <w:jc w:val="both"/>
        <w:rPr>
          <w:sz w:val="28"/>
        </w:rPr>
      </w:pPr>
      <w:r>
        <w:rPr>
          <w:sz w:val="28"/>
        </w:rPr>
        <w:t>качество осуществления расходов бюджетными и автономными учреждениями.</w:t>
      </w:r>
    </w:p>
    <w:p>
      <w:pPr>
        <w:pStyle w:val="Normal"/>
        <w:spacing w:lineRule="auto" w:line="360"/>
        <w:ind w:firstLine="709"/>
        <w:jc w:val="both"/>
        <w:rPr>
          <w:sz w:val="28"/>
        </w:rPr>
      </w:pPr>
      <w:r>
        <w:rPr>
          <w:sz w:val="28"/>
        </w:rPr>
        <w:t>Для оценки использовались:</w:t>
      </w:r>
    </w:p>
    <w:p>
      <w:pPr>
        <w:pStyle w:val="Normal"/>
        <w:spacing w:lineRule="auto" w:line="360"/>
        <w:ind w:firstLine="709"/>
        <w:jc w:val="both"/>
        <w:rPr>
          <w:sz w:val="28"/>
        </w:rPr>
      </w:pPr>
      <w:r>
        <w:rPr>
          <w:sz w:val="28"/>
        </w:rPr>
        <w:t>отчет об исполнении учреждениями плана ФХД по форме 0503737;</w:t>
      </w:r>
    </w:p>
    <w:p>
      <w:pPr>
        <w:pStyle w:val="Normal"/>
        <w:spacing w:lineRule="auto" w:line="360"/>
        <w:ind w:firstLine="709"/>
        <w:jc w:val="both"/>
        <w:rPr>
          <w:sz w:val="28"/>
        </w:rPr>
      </w:pPr>
      <w:r>
        <w:rPr>
          <w:sz w:val="28"/>
        </w:rPr>
        <w:t>данные программного комплекса  АЦК-Финансы «Заявки БУ/АУ на выплату средств»;</w:t>
      </w:r>
    </w:p>
    <w:p>
      <w:pPr>
        <w:pStyle w:val="Normal"/>
        <w:spacing w:lineRule="auto" w:line="360"/>
        <w:ind w:firstLine="709"/>
        <w:jc w:val="both"/>
        <w:rPr>
          <w:sz w:val="28"/>
        </w:rPr>
      </w:pPr>
      <w:r>
        <w:rPr>
          <w:sz w:val="28"/>
        </w:rPr>
        <w:t>финансовая отчетность.</w:t>
      </w:r>
    </w:p>
    <w:p>
      <w:pPr>
        <w:pStyle w:val="Normal"/>
        <w:spacing w:lineRule="auto" w:line="360"/>
        <w:ind w:firstLine="709"/>
        <w:jc w:val="both"/>
        <w:rPr/>
      </w:pPr>
      <w:r>
        <w:rPr>
          <w:sz w:val="28"/>
        </w:rPr>
        <w:t>Средний показатель использования субсидий – 90,5% при целевом ориентире – 100%.</w:t>
      </w:r>
    </w:p>
    <w:p>
      <w:pPr>
        <w:pStyle w:val="Normal"/>
        <w:spacing w:lineRule="auto" w:line="360"/>
        <w:ind w:firstLine="709"/>
        <w:jc w:val="both"/>
        <w:rPr/>
      </w:pPr>
      <w:r>
        <w:rPr>
          <w:sz w:val="28"/>
        </w:rPr>
        <w:t>Максимальный показатель (97,7%) по администрации Шарангского муниципального района.</w:t>
      </w:r>
    </w:p>
    <w:p>
      <w:pPr>
        <w:pStyle w:val="Normal"/>
        <w:spacing w:lineRule="auto" w:line="360"/>
        <w:ind w:firstLine="709"/>
        <w:jc w:val="both"/>
        <w:rPr>
          <w:sz w:val="28"/>
        </w:rPr>
      </w:pPr>
      <w:r>
        <w:rPr>
          <w:sz w:val="28"/>
        </w:rPr>
        <w:t>Оценка уровня подготовки платежных документов показала наиболее низкий результат (99,2%) в управлении образования и молодежной политики администрации Шарангского муниципального района, наиболее высокий результат (100%) в отделе культуры администрации Шарангского муниципального района</w:t>
      </w:r>
    </w:p>
    <w:p>
      <w:pPr>
        <w:pStyle w:val="Normal"/>
        <w:spacing w:lineRule="auto" w:line="360"/>
        <w:ind w:firstLine="709"/>
        <w:jc w:val="both"/>
        <w:rPr/>
      </w:pPr>
      <w:r>
        <w:rPr>
          <w:sz w:val="28"/>
        </w:rPr>
        <w:t>При оценке качества осуществления расходов бюджетными и автономными учреждениями рассматривались такие показатели, как</w:t>
      </w:r>
    </w:p>
    <w:p>
      <w:pPr>
        <w:pStyle w:val="Normal"/>
        <w:spacing w:lineRule="auto" w:line="360"/>
        <w:ind w:firstLine="709"/>
        <w:jc w:val="both"/>
        <w:rPr>
          <w:sz w:val="28"/>
        </w:rPr>
      </w:pPr>
      <w:r>
        <w:rPr>
          <w:sz w:val="28"/>
        </w:rPr>
        <w:t>наличие просроченной кредиторской задолженности;</w:t>
      </w:r>
    </w:p>
    <w:p>
      <w:pPr>
        <w:pStyle w:val="Normal"/>
        <w:spacing w:lineRule="auto" w:line="360"/>
        <w:ind w:firstLine="709"/>
        <w:jc w:val="both"/>
        <w:rPr>
          <w:sz w:val="28"/>
        </w:rPr>
      </w:pPr>
      <w:r>
        <w:rPr>
          <w:sz w:val="28"/>
        </w:rPr>
        <w:t>уровень кредиторской задолженности;</w:t>
      </w:r>
    </w:p>
    <w:p>
      <w:pPr>
        <w:pStyle w:val="Normal"/>
        <w:spacing w:lineRule="auto" w:line="360"/>
        <w:ind w:firstLine="709"/>
        <w:jc w:val="both"/>
        <w:rPr>
          <w:sz w:val="28"/>
        </w:rPr>
      </w:pPr>
      <w:r>
        <w:rPr>
          <w:sz w:val="28"/>
        </w:rPr>
        <w:t>уровень дебиторской задолженности.</w:t>
      </w:r>
    </w:p>
    <w:p>
      <w:pPr>
        <w:pStyle w:val="Normal"/>
        <w:spacing w:lineRule="auto" w:line="360"/>
        <w:ind w:firstLine="709"/>
        <w:jc w:val="both"/>
        <w:rPr>
          <w:sz w:val="28"/>
        </w:rPr>
      </w:pPr>
      <w:r>
        <w:rPr>
          <w:sz w:val="28"/>
        </w:rPr>
        <w:t>Использовались:</w:t>
      </w:r>
    </w:p>
    <w:p>
      <w:pPr>
        <w:pStyle w:val="Normal"/>
        <w:spacing w:lineRule="auto" w:line="360"/>
        <w:ind w:firstLine="709"/>
        <w:jc w:val="both"/>
        <w:rPr>
          <w:sz w:val="28"/>
        </w:rPr>
      </w:pPr>
      <w:r>
        <w:rPr>
          <w:sz w:val="28"/>
        </w:rPr>
        <w:t>отчет о кредиторской задолженности;</w:t>
      </w:r>
    </w:p>
    <w:p>
      <w:pPr>
        <w:pStyle w:val="Normal"/>
        <w:spacing w:lineRule="auto" w:line="360"/>
        <w:ind w:firstLine="709"/>
        <w:jc w:val="both"/>
        <w:rPr/>
      </w:pPr>
      <w:r>
        <w:rPr>
          <w:sz w:val="28"/>
        </w:rPr>
        <w:t>сведения о кредиторской и дебиторской задолженности по форме 0503769.</w:t>
      </w:r>
    </w:p>
    <w:p>
      <w:pPr>
        <w:pStyle w:val="Normal"/>
        <w:spacing w:lineRule="auto" w:line="360"/>
        <w:ind w:firstLine="709"/>
        <w:jc w:val="both"/>
        <w:rPr>
          <w:sz w:val="28"/>
        </w:rPr>
      </w:pPr>
      <w:r>
        <w:rPr>
          <w:sz w:val="28"/>
        </w:rPr>
        <w:t>По данному показателю  отдел культуры администрации Шарангского муниципального района оценен на 7,3 балла по 10-бальной шкале, администрация Шарангского муниципального района – 6,3 балла по 10-бальной шкале, управление образования и молодежной политики администрации Шарангского муниципального района – 5,3 балла по 10-бальной шкале.</w:t>
      </w:r>
    </w:p>
    <w:p>
      <w:pPr>
        <w:pStyle w:val="Normal"/>
        <w:numPr>
          <w:ilvl w:val="0"/>
          <w:numId w:val="0"/>
        </w:numPr>
        <w:autoSpaceDE w:val="false"/>
        <w:spacing w:lineRule="auto" w:line="360"/>
        <w:ind w:firstLine="709"/>
        <w:jc w:val="both"/>
        <w:outlineLvl w:val="1"/>
        <w:rPr>
          <w:sz w:val="28"/>
        </w:rPr>
      </w:pPr>
      <w:r>
        <w:rPr>
          <w:sz w:val="28"/>
        </w:rPr>
      </w:r>
    </w:p>
    <w:p>
      <w:pPr>
        <w:pStyle w:val="Normal"/>
        <w:spacing w:lineRule="auto" w:line="360"/>
        <w:ind w:firstLine="709"/>
        <w:jc w:val="both"/>
        <w:rPr>
          <w:b/>
          <w:b/>
          <w:sz w:val="28"/>
        </w:rPr>
      </w:pPr>
      <w:r>
        <w:rPr>
          <w:b/>
          <w:sz w:val="28"/>
        </w:rPr>
      </w:r>
    </w:p>
    <w:p>
      <w:pPr>
        <w:pStyle w:val="23"/>
        <w:ind w:left="0" w:firstLine="706"/>
        <w:rPr>
          <w:szCs w:val="28"/>
        </w:rPr>
      </w:pPr>
      <w:r>
        <w:rPr>
          <w:szCs w:val="28"/>
        </w:rPr>
        <w:tab/>
      </w:r>
    </w:p>
    <w:sectPr>
      <w:headerReference w:type="default" r:id="rId2"/>
      <w:headerReference w:type="first" r:id="rId3"/>
      <w:footerReference w:type="default" r:id="rId4"/>
      <w:footerReference w:type="first" r:id="rId5"/>
      <w:type w:val="nextPage"/>
      <w:pgSz w:w="11906" w:h="16838"/>
      <w:pgMar w:left="1560" w:right="1133" w:header="708" w:top="1276" w:footer="708" w:bottom="993"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Cambria">
    <w:charset w:val="cc"/>
    <w:family w:val="roman"/>
    <w:pitch w:val="variable"/>
  </w:font>
  <w:font w:name="Arial">
    <w:charset w:val="cc"/>
    <w:family w:val="swiss"/>
    <w:pitch w:val="variable"/>
  </w:font>
  <w:font w:name="Courier New">
    <w:charset w:val="cc"/>
    <w:family w:val="modern"/>
    <w:pitch w:val="default"/>
  </w:font>
  <w:font w:name="Wingdings">
    <w:charset w:val="02"/>
    <w:family w:val="auto"/>
    <w:pitch w:val="variable"/>
  </w:font>
  <w:font w:name="Tahoma">
    <w:charset w:val="cc"/>
    <w:family w:val="swiss"/>
    <w:pitch w:val="variable"/>
  </w:font>
  <w:font w:name="Liberation Sans">
    <w:altName w:val="Arial"/>
    <w:charset w:val="cc"/>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9"/>
      <w:ind w:right="360" w:hanging="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9"/>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0"/>
      <w:rPr/>
    </w:pPr>
    <w:r>
      <w:rPr/>
    </w:r>
    <w:r>
      <mc:AlternateContent>
        <mc:Choice Requires="wps">
          <w:drawing>
            <wp:anchor behindDoc="0" distT="0" distB="0" distL="0" distR="0" simplePos="0" locked="0" layoutInCell="0" allowOverlap="1" relativeHeight="6">
              <wp:simplePos x="0" y="0"/>
              <wp:positionH relativeFrom="margin">
                <wp:align>center</wp:align>
              </wp:positionH>
              <wp:positionV relativeFrom="paragraph">
                <wp:posOffset>635</wp:posOffset>
              </wp:positionV>
              <wp:extent cx="64135" cy="146685"/>
              <wp:effectExtent l="0" t="0" r="0" b="0"/>
              <wp:wrapSquare wrapText="largest"/>
              <wp:docPr id="1" name="Врезка1"/>
              <a:graphic xmlns:a="http://schemas.openxmlformats.org/drawingml/2006/main">
                <a:graphicData uri="http://schemas.microsoft.com/office/word/2010/wordprocessingShape">
                  <wps:wsp>
                    <wps:cNvSpPr txBox="1"/>
                    <wps:spPr>
                      <a:xfrm>
                        <a:off x="0" y="0"/>
                        <a:ext cx="64135" cy="146685"/>
                      </a:xfrm>
                      <a:prstGeom prst="rect"/>
                      <a:solidFill>
                        <a:srgbClr val="FFFFFF">
                          <a:alpha val="0"/>
                        </a:srgbClr>
                      </a:solidFill>
                    </wps:spPr>
                    <wps:txbx>
                      <w:txbxContent>
                        <w:p>
                          <w:pPr>
                            <w:pStyle w:val="Style30"/>
                            <w:rPr>
                              <w:rStyle w:val="Style13"/>
                            </w:rPr>
                          </w:pPr>
                          <w:r>
                            <w:rPr>
                              <w:rStyle w:val="Style13"/>
                            </w:rPr>
                            <w:fldChar w:fldCharType="begin"/>
                          </w:r>
                          <w:r>
                            <w:rPr>
                              <w:rStyle w:val="Style13"/>
                            </w:rPr>
                            <w:instrText> PAGE </w:instrText>
                          </w:r>
                          <w:r>
                            <w:rPr>
                              <w:rStyle w:val="Style13"/>
                            </w:rPr>
                            <w:fldChar w:fldCharType="separate"/>
                          </w:r>
                          <w:r>
                            <w:rPr>
                              <w:rStyle w:val="Style13"/>
                            </w:rPr>
                            <w:t>6</w:t>
                          </w:r>
                          <w:r>
                            <w:rPr>
                              <w:rStyle w:val="Style13"/>
                            </w:rPr>
                            <w:fldChar w:fldCharType="end"/>
                          </w:r>
                        </w:p>
                      </w:txbxContent>
                    </wps:txbx>
                    <wps:bodyPr anchor="t" lIns="0" tIns="0" rIns="0" bIns="0">
                      <a:noAutofit/>
                    </wps:bodyPr>
                  </wps:wsp>
                </a:graphicData>
              </a:graphic>
            </wp:anchor>
          </w:drawing>
        </mc:Choice>
        <mc:Fallback>
          <w:pict>
            <v:rect fillcolor="#FFFFFF" style="position:absolute;rotation:0;width:5.05pt;height:11.55pt;mso-wrap-distance-left:0pt;mso-wrap-distance-right:0pt;mso-wrap-distance-top:0pt;mso-wrap-distance-bottom:0pt;margin-top:0.05pt;mso-position-vertical-relative:text;margin-left:227.8pt;mso-position-horizontal:center;mso-position-horizontal-relative:margin">
              <v:fill opacity="0f"/>
              <v:textbox inset="0in,0in,0in,0in">
                <w:txbxContent>
                  <w:p>
                    <w:pPr>
                      <w:pStyle w:val="Style30"/>
                      <w:rPr>
                        <w:rStyle w:val="Style13"/>
                      </w:rPr>
                    </w:pPr>
                    <w:r>
                      <w:rPr>
                        <w:rStyle w:val="Style13"/>
                      </w:rPr>
                      <w:fldChar w:fldCharType="begin"/>
                    </w:r>
                    <w:r>
                      <w:rPr>
                        <w:rStyle w:val="Style13"/>
                      </w:rPr>
                      <w:instrText> PAGE </w:instrText>
                    </w:r>
                    <w:r>
                      <w:rPr>
                        <w:rStyle w:val="Style13"/>
                      </w:rPr>
                      <w:fldChar w:fldCharType="separate"/>
                    </w:r>
                    <w:r>
                      <w:rPr>
                        <w:rStyle w:val="Style13"/>
                      </w:rPr>
                      <w:t>6</w:t>
                    </w:r>
                    <w:r>
                      <w:rPr>
                        <w:rStyle w:val="Style13"/>
                      </w:rPr>
                      <w:fldChar w:fldCharType="end"/>
                    </w:r>
                  </w:p>
                </w:txbxContent>
              </v:textbox>
              <w10:wrap type="square" side="largest"/>
            </v:rect>
          </w:pict>
        </mc:Fallback>
      </mc:AlternateConten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0"/>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1"/>
      <w:numFmt w:val="none"/>
      <w:suff w:val="nothing"/>
      <w:lvlText w:val=""/>
      <w:lvlJc w:val="left"/>
      <w:pPr>
        <w:tabs>
          <w:tab w:val="num" w:pos="0"/>
        </w:tabs>
        <w:ind w:left="0" w:hanging="0"/>
      </w:pPr>
    </w:lvl>
    <w:lvl w:ilvl="1">
      <w:start w:val="1"/>
      <w:pStyle w:val="2"/>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decimal"/>
      <w:lvlText w:val="%1."/>
      <w:lvlJc w:val="left"/>
      <w:pPr>
        <w:tabs>
          <w:tab w:val="num" w:pos="0"/>
        </w:tabs>
        <w:ind w:left="1069" w:hanging="360"/>
      </w:pPr>
      <w:rPr>
        <w:sz w:val="28"/>
        <w:b/>
      </w:r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ru-RU" w:bidi="ar-SA" w:eastAsia="zh-CN"/>
    </w:rPr>
  </w:style>
  <w:style w:type="paragraph" w:styleId="1">
    <w:name w:val="Heading 1"/>
    <w:basedOn w:val="Normal"/>
    <w:next w:val="Normal"/>
    <w:qFormat/>
    <w:pPr>
      <w:keepNext w:val="true"/>
      <w:numPr>
        <w:ilvl w:val="0"/>
        <w:numId w:val="1"/>
      </w:numPr>
      <w:spacing w:before="240" w:after="60"/>
      <w:outlineLvl w:val="0"/>
    </w:pPr>
    <w:rPr>
      <w:rFonts w:ascii="Cambria" w:hAnsi="Cambria" w:eastAsia="Times New Roman" w:cs="Times New Roman"/>
      <w:b/>
      <w:bCs/>
      <w:kern w:val="2"/>
      <w:sz w:val="32"/>
      <w:szCs w:val="32"/>
    </w:rPr>
  </w:style>
  <w:style w:type="paragraph" w:styleId="2">
    <w:name w:val="Heading 2"/>
    <w:basedOn w:val="1"/>
    <w:next w:val="Normal"/>
    <w:qFormat/>
    <w:pPr>
      <w:keepNext w:val="false"/>
      <w:widowControl w:val="false"/>
      <w:numPr>
        <w:ilvl w:val="1"/>
        <w:numId w:val="1"/>
      </w:numPr>
      <w:autoSpaceDE w:val="false"/>
      <w:spacing w:before="0" w:after="0"/>
      <w:jc w:val="both"/>
      <w:outlineLvl w:val="1"/>
    </w:pPr>
    <w:rPr>
      <w:rFonts w:ascii="Arial" w:hAnsi="Arial" w:eastAsia="Times New Roman" w:cs="Arial"/>
      <w:b w:val="false"/>
      <w:bCs w:val="false"/>
      <w:kern w:val="0"/>
      <w:sz w:val="24"/>
      <w:szCs w:val="24"/>
    </w:rPr>
  </w:style>
  <w:style w:type="character" w:styleId="WW8Num1z0">
    <w:name w:val="WW8Num1z0"/>
    <w:qFormat/>
    <w:rPr>
      <w:rFonts w:ascii="Times New Roman" w:hAnsi="Times New Roman" w:eastAsia="Times New Roman" w:cs="Times New Roman"/>
    </w:rPr>
  </w:style>
  <w:style w:type="character" w:styleId="WW8Num1z1">
    <w:name w:val="WW8Num1z1"/>
    <w:qFormat/>
    <w:rPr>
      <w:rFonts w:ascii="Courier New" w:hAnsi="Courier New" w:cs="Courier New"/>
    </w:rPr>
  </w:style>
  <w:style w:type="character" w:styleId="WW8Num1z2">
    <w:name w:val="WW8Num1z2"/>
    <w:qFormat/>
    <w:rPr>
      <w:rFonts w:ascii="Wingdings" w:hAnsi="Wingdings" w:cs="Wingdings"/>
    </w:rPr>
  </w:style>
  <w:style w:type="character" w:styleId="WW8Num1z3">
    <w:name w:val="WW8Num1z3"/>
    <w:qFormat/>
    <w:rPr>
      <w:rFonts w:ascii="Symbol" w:hAnsi="Symbol" w:cs="Symbol"/>
    </w:rPr>
  </w:style>
  <w:style w:type="character" w:styleId="WW8Num2z0">
    <w:name w:val="WW8Num2z0"/>
    <w:qFormat/>
    <w:rPr>
      <w:rFonts w:ascii="Times New Roman" w:hAnsi="Times New Roman" w:eastAsia="Times New Roman" w:cs="Times New Roman"/>
    </w:rPr>
  </w:style>
  <w:style w:type="character" w:styleId="WW8Num2z1">
    <w:name w:val="WW8Num2z1"/>
    <w:qFormat/>
    <w:rPr>
      <w:rFonts w:ascii="Courier New" w:hAnsi="Courier New" w:cs="Courier New"/>
    </w:rPr>
  </w:style>
  <w:style w:type="character" w:styleId="WW8Num2z2">
    <w:name w:val="WW8Num2z2"/>
    <w:qFormat/>
    <w:rPr>
      <w:rFonts w:ascii="Wingdings" w:hAnsi="Wingdings" w:cs="Wingdings"/>
    </w:rPr>
  </w:style>
  <w:style w:type="character" w:styleId="WW8Num2z3">
    <w:name w:val="WW8Num2z3"/>
    <w:qFormat/>
    <w:rPr>
      <w:rFonts w:ascii="Symbol" w:hAnsi="Symbol" w:cs="Symbol"/>
    </w:rPr>
  </w:style>
  <w:style w:type="character" w:styleId="WW8Num3z0">
    <w:name w:val="WW8Num3z0"/>
    <w:qFormat/>
    <w:rPr>
      <w:rFonts w:ascii="Times New Roman" w:hAnsi="Times New Roman" w:eastAsia="Times New Roman" w:cs="Times New Roman"/>
    </w:rPr>
  </w:style>
  <w:style w:type="character" w:styleId="WW8Num3z1">
    <w:name w:val="WW8Num3z1"/>
    <w:qFormat/>
    <w:rPr>
      <w:rFonts w:ascii="Courier New" w:hAnsi="Courier New" w:cs="Courier New"/>
    </w:rPr>
  </w:style>
  <w:style w:type="character" w:styleId="WW8Num3z2">
    <w:name w:val="WW8Num3z2"/>
    <w:qFormat/>
    <w:rPr>
      <w:rFonts w:ascii="Wingdings" w:hAnsi="Wingdings" w:cs="Wingdings"/>
    </w:rPr>
  </w:style>
  <w:style w:type="character" w:styleId="WW8Num3z3">
    <w:name w:val="WW8Num3z3"/>
    <w:qFormat/>
    <w:rPr>
      <w:rFonts w:ascii="Symbol" w:hAnsi="Symbol" w:cs="Symbol"/>
    </w:rPr>
  </w:style>
  <w:style w:type="character" w:styleId="WW8Num4z0">
    <w:name w:val="WW8Num4z0"/>
    <w:qFormat/>
    <w:rPr>
      <w:rFonts w:ascii="Symbol" w:hAnsi="Symbol" w:cs="Symbol"/>
    </w:rPr>
  </w:style>
  <w:style w:type="character" w:styleId="WW8Num4z1">
    <w:name w:val="WW8Num4z1"/>
    <w:qFormat/>
    <w:rPr>
      <w:rFonts w:ascii="Courier New" w:hAnsi="Courier New" w:cs="Courier New"/>
    </w:rPr>
  </w:style>
  <w:style w:type="character" w:styleId="WW8Num4z2">
    <w:name w:val="WW8Num4z2"/>
    <w:qFormat/>
    <w:rPr>
      <w:rFonts w:ascii="Wingdings" w:hAnsi="Wingdings" w:cs="Wingdings"/>
    </w:rPr>
  </w:style>
  <w:style w:type="character" w:styleId="WW8Num5z0">
    <w:name w:val="WW8Num5z0"/>
    <w:qFormat/>
    <w:rPr>
      <w:rFonts w:ascii="Times New Roman" w:hAnsi="Times New Roman" w:eastAsia="Times New Roman" w:cs="Times New Roman"/>
    </w:rPr>
  </w:style>
  <w:style w:type="character" w:styleId="WW8Num5z1">
    <w:name w:val="WW8Num5z1"/>
    <w:qFormat/>
    <w:rPr>
      <w:rFonts w:ascii="Courier New" w:hAnsi="Courier New" w:cs="Courier New"/>
    </w:rPr>
  </w:style>
  <w:style w:type="character" w:styleId="WW8Num5z2">
    <w:name w:val="WW8Num5z2"/>
    <w:qFormat/>
    <w:rPr>
      <w:rFonts w:ascii="Wingdings" w:hAnsi="Wingdings" w:cs="Wingdings"/>
    </w:rPr>
  </w:style>
  <w:style w:type="character" w:styleId="WW8Num5z3">
    <w:name w:val="WW8Num5z3"/>
    <w:qFormat/>
    <w:rPr>
      <w:rFonts w:ascii="Symbol" w:hAnsi="Symbol" w:cs="Symbol"/>
    </w:rPr>
  </w:style>
  <w:style w:type="character" w:styleId="WW8Num6z0">
    <w:name w:val="WW8Num6z0"/>
    <w:qFormat/>
    <w:rPr>
      <w:rFonts w:ascii="Times New Roman" w:hAnsi="Times New Roman" w:eastAsia="Times New Roman" w:cs="Times New Roman"/>
    </w:rPr>
  </w:style>
  <w:style w:type="character" w:styleId="WW8Num6z1">
    <w:name w:val="WW8Num6z1"/>
    <w:qFormat/>
    <w:rPr>
      <w:rFonts w:ascii="Courier New" w:hAnsi="Courier New" w:cs="Courier New"/>
    </w:rPr>
  </w:style>
  <w:style w:type="character" w:styleId="WW8Num6z2">
    <w:name w:val="WW8Num6z2"/>
    <w:qFormat/>
    <w:rPr>
      <w:rFonts w:ascii="Wingdings" w:hAnsi="Wingdings" w:cs="Wingdings"/>
    </w:rPr>
  </w:style>
  <w:style w:type="character" w:styleId="WW8Num6z3">
    <w:name w:val="WW8Num6z3"/>
    <w:qFormat/>
    <w:rPr>
      <w:rFonts w:ascii="Symbol" w:hAnsi="Symbol" w:cs="Symbol"/>
    </w:rPr>
  </w:style>
  <w:style w:type="character" w:styleId="WW8Num7z0">
    <w:name w:val="WW8Num7z0"/>
    <w:qFormat/>
    <w:rPr>
      <w:rFonts w:ascii="Times New Roman" w:hAnsi="Times New Roman" w:eastAsia="Times New Roman" w:cs="Times New Roman"/>
    </w:rPr>
  </w:style>
  <w:style w:type="character" w:styleId="WW8Num7z1">
    <w:name w:val="WW8Num7z1"/>
    <w:qFormat/>
    <w:rPr>
      <w:rFonts w:ascii="Courier New" w:hAnsi="Courier New" w:cs="Courier New"/>
    </w:rPr>
  </w:style>
  <w:style w:type="character" w:styleId="WW8Num7z2">
    <w:name w:val="WW8Num7z2"/>
    <w:qFormat/>
    <w:rPr>
      <w:rFonts w:ascii="Wingdings" w:hAnsi="Wingdings" w:cs="Wingdings"/>
    </w:rPr>
  </w:style>
  <w:style w:type="character" w:styleId="WW8Num7z3">
    <w:name w:val="WW8Num7z3"/>
    <w:qFormat/>
    <w:rPr>
      <w:rFonts w:ascii="Symbol" w:hAnsi="Symbol" w:cs="Symbol"/>
    </w:rPr>
  </w:style>
  <w:style w:type="character" w:styleId="WW8Num8z0">
    <w:name w:val="WW8Num8z0"/>
    <w:qFormat/>
    <w:rPr>
      <w:rFonts w:ascii="Times New Roman" w:hAnsi="Times New Roman" w:eastAsia="Times New Roman" w:cs="Times New Roman"/>
    </w:rPr>
  </w:style>
  <w:style w:type="character" w:styleId="WW8Num8z1">
    <w:name w:val="WW8Num8z1"/>
    <w:qFormat/>
    <w:rPr>
      <w:rFonts w:ascii="Courier New" w:hAnsi="Courier New" w:cs="Courier New"/>
    </w:rPr>
  </w:style>
  <w:style w:type="character" w:styleId="WW8Num8z2">
    <w:name w:val="WW8Num8z2"/>
    <w:qFormat/>
    <w:rPr>
      <w:rFonts w:ascii="Wingdings" w:hAnsi="Wingdings" w:cs="Wingdings"/>
    </w:rPr>
  </w:style>
  <w:style w:type="character" w:styleId="WW8Num8z3">
    <w:name w:val="WW8Num8z3"/>
    <w:qFormat/>
    <w:rPr>
      <w:rFonts w:ascii="Symbol" w:hAnsi="Symbol" w:cs="Symbol"/>
    </w:rPr>
  </w:style>
  <w:style w:type="character" w:styleId="WW8Num9z0">
    <w:name w:val="WW8Num9z0"/>
    <w:qFormat/>
    <w:rPr>
      <w:rFonts w:ascii="Times New Roman" w:hAnsi="Times New Roman" w:eastAsia="Times New Roman" w:cs="Times New Roman"/>
    </w:rPr>
  </w:style>
  <w:style w:type="character" w:styleId="WW8Num9z1">
    <w:name w:val="WW8Num9z1"/>
    <w:qFormat/>
    <w:rPr>
      <w:rFonts w:ascii="Courier New" w:hAnsi="Courier New" w:cs="Courier New"/>
    </w:rPr>
  </w:style>
  <w:style w:type="character" w:styleId="WW8Num9z2">
    <w:name w:val="WW8Num9z2"/>
    <w:qFormat/>
    <w:rPr>
      <w:rFonts w:ascii="Wingdings" w:hAnsi="Wingdings" w:cs="Wingdings"/>
    </w:rPr>
  </w:style>
  <w:style w:type="character" w:styleId="WW8Num9z3">
    <w:name w:val="WW8Num9z3"/>
    <w:qFormat/>
    <w:rPr>
      <w:rFonts w:ascii="Symbol" w:hAnsi="Symbol" w:cs="Symbol"/>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rFonts w:ascii="Times New Roman" w:hAnsi="Times New Roman" w:eastAsia="Times New Roman" w:cs="Times New Roman"/>
    </w:rPr>
  </w:style>
  <w:style w:type="character" w:styleId="WW8Num11z1">
    <w:name w:val="WW8Num11z1"/>
    <w:qFormat/>
    <w:rPr>
      <w:rFonts w:ascii="Courier New" w:hAnsi="Courier New" w:cs="Courier New"/>
    </w:rPr>
  </w:style>
  <w:style w:type="character" w:styleId="WW8Num11z2">
    <w:name w:val="WW8Num11z2"/>
    <w:qFormat/>
    <w:rPr>
      <w:rFonts w:ascii="Wingdings" w:hAnsi="Wingdings" w:cs="Wingdings"/>
    </w:rPr>
  </w:style>
  <w:style w:type="character" w:styleId="WW8Num11z3">
    <w:name w:val="WW8Num11z3"/>
    <w:qFormat/>
    <w:rPr>
      <w:rFonts w:ascii="Symbol" w:hAnsi="Symbol" w:cs="Symbol"/>
    </w:rPr>
  </w:style>
  <w:style w:type="character" w:styleId="WW8Num12z0">
    <w:name w:val="WW8Num12z0"/>
    <w:qFormat/>
    <w:rPr>
      <w:rFonts w:ascii="Times New Roman" w:hAnsi="Times New Roman" w:eastAsia="Times New Roman" w:cs="Times New Roman"/>
    </w:rPr>
  </w:style>
  <w:style w:type="character" w:styleId="WW8Num12z1">
    <w:name w:val="WW8Num12z1"/>
    <w:qFormat/>
    <w:rPr>
      <w:rFonts w:ascii="Courier New" w:hAnsi="Courier New" w:cs="Courier New"/>
    </w:rPr>
  </w:style>
  <w:style w:type="character" w:styleId="WW8Num12z2">
    <w:name w:val="WW8Num12z2"/>
    <w:qFormat/>
    <w:rPr>
      <w:rFonts w:ascii="Wingdings" w:hAnsi="Wingdings" w:cs="Wingdings"/>
    </w:rPr>
  </w:style>
  <w:style w:type="character" w:styleId="WW8Num12z3">
    <w:name w:val="WW8Num12z3"/>
    <w:qFormat/>
    <w:rPr>
      <w:rFonts w:ascii="Symbol" w:hAnsi="Symbol" w:cs="Symbol"/>
    </w:rPr>
  </w:style>
  <w:style w:type="character" w:styleId="WW8Num13z0">
    <w:name w:val="WW8Num13z0"/>
    <w:qFormat/>
    <w:rPr>
      <w:rFonts w:ascii="Times New Roman" w:hAnsi="Times New Roman" w:eastAsia="Times New Roman" w:cs="Times New Roman"/>
    </w:rPr>
  </w:style>
  <w:style w:type="character" w:styleId="WW8Num13z1">
    <w:name w:val="WW8Num13z1"/>
    <w:qFormat/>
    <w:rPr>
      <w:rFonts w:ascii="Courier New" w:hAnsi="Courier New" w:cs="Courier New"/>
    </w:rPr>
  </w:style>
  <w:style w:type="character" w:styleId="WW8Num13z2">
    <w:name w:val="WW8Num13z2"/>
    <w:qFormat/>
    <w:rPr>
      <w:rFonts w:ascii="Wingdings" w:hAnsi="Wingdings" w:cs="Wingdings"/>
    </w:rPr>
  </w:style>
  <w:style w:type="character" w:styleId="WW8Num13z3">
    <w:name w:val="WW8Num13z3"/>
    <w:qFormat/>
    <w:rPr>
      <w:rFonts w:ascii="Symbol" w:hAnsi="Symbol" w:cs="Symbol"/>
    </w:rPr>
  </w:style>
  <w:style w:type="character" w:styleId="WW8Num14z0">
    <w:name w:val="WW8Num14z0"/>
    <w:qFormat/>
    <w:rPr>
      <w:b/>
      <w:sz w:val="28"/>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rFonts w:ascii="Times New Roman" w:hAnsi="Times New Roman" w:eastAsia="Times New Roman" w:cs="Times New Roman"/>
    </w:rPr>
  </w:style>
  <w:style w:type="character" w:styleId="WW8Num15z1">
    <w:name w:val="WW8Num15z1"/>
    <w:qFormat/>
    <w:rPr>
      <w:rFonts w:ascii="Courier New" w:hAnsi="Courier New" w:cs="Courier New"/>
    </w:rPr>
  </w:style>
  <w:style w:type="character" w:styleId="WW8Num15z2">
    <w:name w:val="WW8Num15z2"/>
    <w:qFormat/>
    <w:rPr>
      <w:rFonts w:ascii="Wingdings" w:hAnsi="Wingdings" w:cs="Wingdings"/>
    </w:rPr>
  </w:style>
  <w:style w:type="character" w:styleId="WW8Num15z3">
    <w:name w:val="WW8Num15z3"/>
    <w:qFormat/>
    <w:rPr>
      <w:rFonts w:ascii="Symbol" w:hAnsi="Symbol" w:cs="Symbol"/>
    </w:rPr>
  </w:style>
  <w:style w:type="character" w:styleId="WW8Num16z0">
    <w:name w:val="WW8Num16z0"/>
    <w:qFormat/>
    <w:rPr>
      <w:rFonts w:ascii="Times New Roman" w:hAnsi="Times New Roman" w:eastAsia="Times New Roman" w:cs="Times New Roman"/>
    </w:rPr>
  </w:style>
  <w:style w:type="character" w:styleId="WW8Num16z1">
    <w:name w:val="WW8Num16z1"/>
    <w:qFormat/>
    <w:rPr>
      <w:rFonts w:ascii="Courier New" w:hAnsi="Courier New" w:cs="Courier New"/>
    </w:rPr>
  </w:style>
  <w:style w:type="character" w:styleId="WW8Num16z2">
    <w:name w:val="WW8Num16z2"/>
    <w:qFormat/>
    <w:rPr>
      <w:rFonts w:ascii="Wingdings" w:hAnsi="Wingdings" w:cs="Wingdings"/>
    </w:rPr>
  </w:style>
  <w:style w:type="character" w:styleId="WW8Num16z3">
    <w:name w:val="WW8Num16z3"/>
    <w:qFormat/>
    <w:rPr>
      <w:rFonts w:ascii="Symbol" w:hAnsi="Symbol" w:cs="Symbol"/>
    </w:rPr>
  </w:style>
  <w:style w:type="character" w:styleId="WW8Num17z0">
    <w:name w:val="WW8Num17z0"/>
    <w:qFormat/>
    <w:rPr>
      <w:rFonts w:ascii="Times New Roman" w:hAnsi="Times New Roman" w:eastAsia="Times New Roman" w:cs="Times New Roman"/>
    </w:rPr>
  </w:style>
  <w:style w:type="character" w:styleId="WW8Num17z1">
    <w:name w:val="WW8Num17z1"/>
    <w:qFormat/>
    <w:rPr>
      <w:rFonts w:ascii="Courier New" w:hAnsi="Courier New" w:cs="Courier New"/>
    </w:rPr>
  </w:style>
  <w:style w:type="character" w:styleId="WW8Num17z2">
    <w:name w:val="WW8Num17z2"/>
    <w:qFormat/>
    <w:rPr>
      <w:rFonts w:ascii="Wingdings" w:hAnsi="Wingdings" w:cs="Wingdings"/>
    </w:rPr>
  </w:style>
  <w:style w:type="character" w:styleId="WW8Num17z3">
    <w:name w:val="WW8Num17z3"/>
    <w:qFormat/>
    <w:rPr>
      <w:rFonts w:ascii="Symbol" w:hAnsi="Symbol" w:cs="Symbol"/>
    </w:rPr>
  </w:style>
  <w:style w:type="character" w:styleId="Style12">
    <w:name w:val="Основной шрифт абзаца"/>
    <w:qFormat/>
    <w:rPr/>
  </w:style>
  <w:style w:type="character" w:styleId="Style13">
    <w:name w:val="Номер страницы"/>
    <w:basedOn w:val="Style12"/>
    <w:rPr/>
  </w:style>
  <w:style w:type="character" w:styleId="Style14">
    <w:name w:val="Текст выноски Знак"/>
    <w:qFormat/>
    <w:rPr>
      <w:rFonts w:ascii="Tahoma" w:hAnsi="Tahoma" w:cs="Tahoma"/>
      <w:sz w:val="16"/>
      <w:szCs w:val="16"/>
    </w:rPr>
  </w:style>
  <w:style w:type="character" w:styleId="21">
    <w:name w:val="Заголовок 2 Знак"/>
    <w:qFormat/>
    <w:rPr>
      <w:rFonts w:ascii="Arial" w:hAnsi="Arial" w:cs="Arial"/>
      <w:sz w:val="24"/>
      <w:szCs w:val="24"/>
    </w:rPr>
  </w:style>
  <w:style w:type="character" w:styleId="11">
    <w:name w:val="Заголовок 1 Знак"/>
    <w:qFormat/>
    <w:rPr>
      <w:rFonts w:ascii="Cambria" w:hAnsi="Cambria" w:eastAsia="Times New Roman" w:cs="Times New Roman"/>
      <w:b/>
      <w:bCs/>
      <w:kern w:val="2"/>
      <w:sz w:val="32"/>
      <w:szCs w:val="32"/>
    </w:rPr>
  </w:style>
  <w:style w:type="character" w:styleId="Style15">
    <w:name w:val="Знак примечания"/>
    <w:qFormat/>
    <w:rPr>
      <w:sz w:val="16"/>
      <w:szCs w:val="16"/>
    </w:rPr>
  </w:style>
  <w:style w:type="character" w:styleId="Style16">
    <w:name w:val="Текст примечания Знак"/>
    <w:basedOn w:val="Style12"/>
    <w:qFormat/>
    <w:rPr/>
  </w:style>
  <w:style w:type="character" w:styleId="Style17">
    <w:name w:val="Тема примечания Знак"/>
    <w:qFormat/>
    <w:rPr>
      <w:b/>
      <w:bCs/>
    </w:rPr>
  </w:style>
  <w:style w:type="character" w:styleId="Style18">
    <w:name w:val="Текст концевой сноски Знак"/>
    <w:basedOn w:val="Style12"/>
    <w:qFormat/>
    <w:rPr/>
  </w:style>
  <w:style w:type="character" w:styleId="Style19">
    <w:name w:val="Символ концевой сноски"/>
    <w:qFormat/>
    <w:rPr>
      <w:vertAlign w:val="superscript"/>
    </w:rPr>
  </w:style>
  <w:style w:type="character" w:styleId="Style20">
    <w:name w:val="Символ сноски"/>
    <w:qFormat/>
    <w:rPr>
      <w:vertAlign w:val="superscript"/>
    </w:rPr>
  </w:style>
  <w:style w:type="character" w:styleId="22">
    <w:name w:val="Основной текст с отступом 2 Знак"/>
    <w:qFormat/>
    <w:rPr>
      <w:sz w:val="28"/>
    </w:rPr>
  </w:style>
  <w:style w:type="character" w:styleId="Style21">
    <w:name w:val="Выделение"/>
    <w:qFormat/>
    <w:rPr>
      <w:i/>
      <w:iCs/>
    </w:rPr>
  </w:style>
  <w:style w:type="paragraph" w:styleId="Style22">
    <w:name w:val="Заголовок"/>
    <w:basedOn w:val="Normal"/>
    <w:next w:val="Style23"/>
    <w:qFormat/>
    <w:pPr>
      <w:keepNext w:val="true"/>
      <w:spacing w:before="240" w:after="120"/>
    </w:pPr>
    <w:rPr>
      <w:rFonts w:ascii="Liberation Sans" w:hAnsi="Liberation Sans" w:eastAsia="Microsoft YaHei" w:cs="Mangal"/>
      <w:sz w:val="28"/>
      <w:szCs w:val="28"/>
    </w:rPr>
  </w:style>
  <w:style w:type="paragraph" w:styleId="Style23">
    <w:name w:val="Body Text"/>
    <w:basedOn w:val="Normal"/>
    <w:pPr>
      <w:spacing w:lineRule="auto" w:line="276" w:before="0" w:after="140"/>
    </w:pPr>
    <w:rPr/>
  </w:style>
  <w:style w:type="paragraph" w:styleId="Style24">
    <w:name w:val="List"/>
    <w:basedOn w:val="Style23"/>
    <w:pPr/>
    <w:rPr>
      <w:rFonts w:cs="Mangal"/>
    </w:rPr>
  </w:style>
  <w:style w:type="paragraph" w:styleId="Style25">
    <w:name w:val="Caption"/>
    <w:basedOn w:val="Normal"/>
    <w:qFormat/>
    <w:pPr>
      <w:suppressLineNumbers/>
      <w:spacing w:before="120" w:after="120"/>
    </w:pPr>
    <w:rPr>
      <w:rFonts w:cs="Mangal"/>
      <w:i/>
      <w:iCs/>
      <w:sz w:val="24"/>
      <w:szCs w:val="24"/>
    </w:rPr>
  </w:style>
  <w:style w:type="paragraph" w:styleId="Style26">
    <w:name w:val="Указатель"/>
    <w:basedOn w:val="Normal"/>
    <w:qFormat/>
    <w:pPr>
      <w:suppressLineNumbers/>
    </w:pPr>
    <w:rPr>
      <w:rFonts w:cs="Mangal"/>
    </w:rPr>
  </w:style>
  <w:style w:type="paragraph" w:styleId="3">
    <w:name w:val="Основной текст с отступом 3"/>
    <w:basedOn w:val="Normal"/>
    <w:qFormat/>
    <w:pPr>
      <w:ind w:firstLine="709"/>
      <w:jc w:val="both"/>
    </w:pPr>
    <w:rPr>
      <w:sz w:val="28"/>
    </w:rPr>
  </w:style>
  <w:style w:type="paragraph" w:styleId="23">
    <w:name w:val="Основной текст с отступом 2"/>
    <w:basedOn w:val="Normal"/>
    <w:qFormat/>
    <w:pPr>
      <w:spacing w:lineRule="auto" w:line="360"/>
      <w:ind w:left="-360" w:firstLine="1066"/>
      <w:jc w:val="both"/>
    </w:pPr>
    <w:rPr>
      <w:sz w:val="28"/>
    </w:rPr>
  </w:style>
  <w:style w:type="paragraph" w:styleId="Style27">
    <w:name w:val="Footnote Text"/>
    <w:basedOn w:val="Normal"/>
    <w:pPr/>
    <w:rPr/>
  </w:style>
  <w:style w:type="paragraph" w:styleId="Style28">
    <w:name w:val="Верхний и нижний колонтитулы"/>
    <w:basedOn w:val="Normal"/>
    <w:qFormat/>
    <w:pPr>
      <w:suppressLineNumbers/>
      <w:tabs>
        <w:tab w:val="clear" w:pos="709"/>
        <w:tab w:val="center" w:pos="4819" w:leader="none"/>
        <w:tab w:val="right" w:pos="9638" w:leader="none"/>
      </w:tabs>
    </w:pPr>
    <w:rPr/>
  </w:style>
  <w:style w:type="paragraph" w:styleId="Style29">
    <w:name w:val="Footer"/>
    <w:basedOn w:val="Normal"/>
    <w:pPr>
      <w:tabs>
        <w:tab w:val="clear" w:pos="709"/>
        <w:tab w:val="center" w:pos="4677" w:leader="none"/>
        <w:tab w:val="right" w:pos="9355" w:leader="none"/>
      </w:tabs>
    </w:pPr>
    <w:rPr/>
  </w:style>
  <w:style w:type="paragraph" w:styleId="Style30">
    <w:name w:val="Header"/>
    <w:basedOn w:val="Normal"/>
    <w:pPr>
      <w:tabs>
        <w:tab w:val="clear" w:pos="709"/>
        <w:tab w:val="center" w:pos="4677" w:leader="none"/>
        <w:tab w:val="right" w:pos="9355" w:leader="none"/>
      </w:tabs>
    </w:pPr>
    <w:rPr/>
  </w:style>
  <w:style w:type="paragraph" w:styleId="Style31">
    <w:name w:val="Текст выноски"/>
    <w:basedOn w:val="Normal"/>
    <w:qFormat/>
    <w:pPr/>
    <w:rPr>
      <w:rFonts w:ascii="Tahoma" w:hAnsi="Tahoma" w:cs="Tahoma"/>
      <w:sz w:val="16"/>
      <w:szCs w:val="16"/>
    </w:rPr>
  </w:style>
  <w:style w:type="paragraph" w:styleId="Style32">
    <w:name w:val="Прижатый влево"/>
    <w:basedOn w:val="Normal"/>
    <w:next w:val="Normal"/>
    <w:qFormat/>
    <w:pPr>
      <w:widowControl w:val="false"/>
      <w:autoSpaceDE w:val="false"/>
    </w:pPr>
    <w:rPr>
      <w:rFonts w:ascii="Arial" w:hAnsi="Arial" w:eastAsia="Times New Roman" w:cs="Arial"/>
      <w:sz w:val="24"/>
      <w:szCs w:val="24"/>
    </w:rPr>
  </w:style>
  <w:style w:type="paragraph" w:styleId="Style33">
    <w:name w:val="Нормальный (таблица)"/>
    <w:basedOn w:val="Normal"/>
    <w:next w:val="Normal"/>
    <w:qFormat/>
    <w:pPr>
      <w:widowControl w:val="false"/>
      <w:autoSpaceDE w:val="false"/>
      <w:jc w:val="both"/>
    </w:pPr>
    <w:rPr>
      <w:rFonts w:ascii="Arial" w:hAnsi="Arial" w:eastAsia="Times New Roman" w:cs="Arial"/>
      <w:sz w:val="24"/>
      <w:szCs w:val="24"/>
    </w:rPr>
  </w:style>
  <w:style w:type="paragraph" w:styleId="Style34">
    <w:name w:val="Текст примечания"/>
    <w:basedOn w:val="Normal"/>
    <w:qFormat/>
    <w:pPr/>
    <w:rPr/>
  </w:style>
  <w:style w:type="paragraph" w:styleId="Style35">
    <w:name w:val="Тема примечания"/>
    <w:basedOn w:val="Style34"/>
    <w:next w:val="Style34"/>
    <w:qFormat/>
    <w:pPr/>
    <w:rPr>
      <w:b/>
      <w:bCs/>
    </w:rPr>
  </w:style>
  <w:style w:type="paragraph" w:styleId="Style36">
    <w:name w:val="Endnote Text"/>
    <w:basedOn w:val="Normal"/>
    <w:pPr/>
    <w:rPr/>
  </w:style>
  <w:style w:type="paragraph" w:styleId="Style37">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1089</TotalTime>
  <Application>LibreOffice/7.1.3.2$Windows_X86_64 LibreOffice_project/47f78053abe362b9384784d31a6e56f8511eb1c1</Application>
  <AppVersion>15.0000</AppVersion>
  <Pages>6</Pages>
  <Words>928</Words>
  <Characters>7245</Characters>
  <CharactersWithSpaces>8140</CharactersWithSpaces>
  <Paragraphs>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2018-05-29T09:39:00Z</dcterms:created>
  <dc:creator>Aboldyr@minfin.ru</dc:creator>
  <dc:description/>
  <cp:keywords> </cp:keywords>
  <dc:language>ru-RU</dc:language>
  <cp:lastModifiedBy>Администратор</cp:lastModifiedBy>
  <cp:lastPrinted>2021-04-29T10:25:00Z</cp:lastPrinted>
  <dcterms:modified xsi:type="dcterms:W3CDTF">2021-04-29T09:43:00Z</dcterms:modified>
  <cp:revision>49</cp:revision>
  <dc:subject/>
  <dc:title>ПОЯСНИТЕЛЬНАЯ ЗАПИСКА</dc:title>
</cp:coreProperties>
</file>