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709"/>
        <w:jc w:val="center"/>
        <w:rPr>
          <w:b/>
          <w:b/>
          <w:sz w:val="28"/>
        </w:rPr>
      </w:pPr>
      <w:r>
        <w:rPr>
          <w:b/>
          <w:sz w:val="28"/>
        </w:rPr>
        <w:t xml:space="preserve">ПОЯСНИТЕЛЬНАЯ ЗАПИСКА   </w:t>
      </w:r>
    </w:p>
    <w:p>
      <w:pPr>
        <w:pStyle w:val="Normal"/>
        <w:ind w:firstLine="709"/>
        <w:jc w:val="center"/>
        <w:rPr>
          <w:b/>
          <w:b/>
          <w:sz w:val="28"/>
        </w:rPr>
      </w:pPr>
      <w:r>
        <w:rPr>
          <w:b/>
          <w:sz w:val="28"/>
        </w:rPr>
      </w:r>
    </w:p>
    <w:p>
      <w:pPr>
        <w:pStyle w:val="Normal"/>
        <w:ind w:firstLine="709"/>
        <w:jc w:val="center"/>
        <w:rPr/>
      </w:pPr>
      <w:r>
        <w:rPr>
          <w:b/>
          <w:sz w:val="28"/>
          <w:szCs w:val="28"/>
        </w:rPr>
        <w:t xml:space="preserve">к отчету о результатах проведения мониторинга качества финансового менеджмента, осуществляемого главными администраторами средств районного бюджета, </w:t>
      </w:r>
    </w:p>
    <w:p>
      <w:pPr>
        <w:pStyle w:val="Normal"/>
        <w:ind w:firstLine="709"/>
        <w:jc w:val="center"/>
        <w:rPr/>
      </w:pPr>
      <w:r>
        <w:rPr>
          <w:b/>
          <w:sz w:val="28"/>
          <w:szCs w:val="28"/>
        </w:rPr>
        <w:t>по состоянию на 1 января 2020 года</w:t>
      </w:r>
    </w:p>
    <w:p>
      <w:pPr>
        <w:pStyle w:val="Normal"/>
        <w:spacing w:lineRule="auto" w:line="360"/>
        <w:ind w:firstLine="709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>
      <w:pPr>
        <w:pStyle w:val="Normal"/>
        <w:spacing w:lineRule="auto" w:line="360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Мониторинг качества финансового менеджмента, осуществляемого главными администраторами средств районного бюджета, по состоянию на </w:t>
      </w:r>
      <w:r>
        <w:rPr>
          <w:color w:val="000000"/>
          <w:sz w:val="28"/>
          <w:szCs w:val="28"/>
        </w:rPr>
        <w:t>1 января 2020</w:t>
      </w:r>
      <w:r>
        <w:rPr>
          <w:color w:val="000000"/>
          <w:sz w:val="28"/>
        </w:rPr>
        <w:t xml:space="preserve"> года (далее – мониторинг качества финансового менеджмента) проводился в соответствии с Положением об организации проведения мониторинга качества финансового менеджмента, осуществляемого главными администраторами средств районного бюджета, утвержденным постановлением администрации Шарангского муниципального района от 12 апреля 2018 г. № 190 «Об утверждении Положения об организации проведения мониторинга качества финансового менеджмента, осуществляемого главными администраторами средств районного бюджета». </w:t>
      </w:r>
      <w:r>
        <w:rPr>
          <w:color w:val="FF0000"/>
          <w:sz w:val="28"/>
        </w:rPr>
        <w:t xml:space="preserve">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В ходе проведения мониторинга качества финансового менеджмента рассчитывались следующие показатели за 2019 год: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своевременность представления предварительного (планового) реестра расходных обязательств;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полнота информации о расходных обязательствах;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сроки представления обоснований бюджетных ассигнований на очередной финансовый год;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охват в обоснованиях бюджетных ассигнований на 2019 год;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доля бюджетных ассигнований, представленных в программном виде;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сумма внесенных изменений в бюджетную роспись в связи с уточнением ассигнований по решению Земского собрания Шарангского муниципального района о районном бюджете;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сумма внесенных положительных изменений в бюджетную роспись в связи с передвижками между кодами бюджетной классификации;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кассовое исполнение расходов;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равномерность осуществляемых расходов;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своевременность принятия бюджетных обязательств;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качество прогнозирования кассовых расходов;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уровень подготовки платежных документов;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качество исполнения расходов;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качество правовой базы главного администратора доходов районного бюджета по администрированию доходов;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полнота зачисления платежей в районный бюджет по главному администратору доходов районного бюджета, объем невыясненных поступлений;</w:t>
      </w:r>
    </w:p>
    <w:p>
      <w:pPr>
        <w:pStyle w:val="Normal"/>
        <w:shd w:fill="FFFFFF" w:val="clear"/>
        <w:spacing w:lineRule="auto" w:line="360"/>
        <w:ind w:firstLine="709"/>
        <w:jc w:val="both"/>
        <w:rPr/>
      </w:pPr>
      <w:r>
        <w:rPr>
          <w:sz w:val="28"/>
        </w:rPr>
        <w:t>отклонение кассового исполнения по доходам от прогноза по главному администратору доходов районного бюджета;</w:t>
      </w:r>
    </w:p>
    <w:p>
      <w:pPr>
        <w:pStyle w:val="Normal"/>
        <w:shd w:fill="FFFFFF" w:val="clear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эффективность управления дебиторской задолженностью по расчетам с дебиторами по доходам;</w:t>
      </w:r>
    </w:p>
    <w:p>
      <w:pPr>
        <w:pStyle w:val="Normal"/>
        <w:shd w:fill="FFFFFF" w:val="clear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подготовка и внедрение управленческого учета;</w:t>
      </w:r>
    </w:p>
    <w:p>
      <w:pPr>
        <w:pStyle w:val="Normal"/>
        <w:shd w:fill="FFFFFF" w:val="clear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динамика объема материальных запасов;</w:t>
      </w:r>
    </w:p>
    <w:p>
      <w:pPr>
        <w:pStyle w:val="Normal"/>
        <w:shd w:fill="FFFFFF" w:val="clear"/>
        <w:spacing w:lineRule="auto" w:line="360"/>
        <w:ind w:firstLine="709"/>
        <w:jc w:val="both"/>
        <w:rPr/>
      </w:pPr>
      <w:r>
        <w:rPr>
          <w:sz w:val="28"/>
        </w:rPr>
        <w:t>коэффициент сложности исполнения бюджетных ассигнований;</w:t>
      </w:r>
    </w:p>
    <w:p>
      <w:pPr>
        <w:pStyle w:val="Normal"/>
        <w:shd w:fill="FFFFFF" w:val="clear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осуществление мероприятий внутреннего контроля;</w:t>
      </w:r>
    </w:p>
    <w:p>
      <w:pPr>
        <w:pStyle w:val="Normal"/>
        <w:shd w:fill="FFFFFF" w:val="clear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регулярность проведения ГРБС мероприятий муниципального контроля;</w:t>
      </w:r>
    </w:p>
    <w:p>
      <w:pPr>
        <w:pStyle w:val="Normal"/>
        <w:shd w:fill="FFFFFF" w:val="clear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доля недостач и хищений денежных средств и материальных ценностей;</w:t>
      </w:r>
    </w:p>
    <w:p>
      <w:pPr>
        <w:pStyle w:val="Normal"/>
        <w:shd w:fill="FFFFFF" w:val="clear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качество исполнения бюджетных обязательств;</w:t>
      </w:r>
    </w:p>
    <w:p>
      <w:pPr>
        <w:pStyle w:val="Normal"/>
        <w:shd w:fill="FFFFFF" w:val="clear"/>
        <w:spacing w:lineRule="auto" w:line="360"/>
        <w:ind w:firstLine="709"/>
        <w:jc w:val="both"/>
        <w:rPr/>
      </w:pPr>
      <w:r>
        <w:rPr>
          <w:sz w:val="28"/>
        </w:rPr>
        <w:t>исполнение планов финансово-хозяйственной деятельности по доходам (по всем видам финансового обеспечения);</w:t>
      </w:r>
    </w:p>
    <w:p>
      <w:pPr>
        <w:pStyle w:val="Normal"/>
        <w:shd w:fill="FFFFFF" w:val="clear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равномерность расходов, осуществляемых бюджетными и автономными учреждениями за счет субсидий на выполнение муниципальных заданий;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уровень использования субсидий бюджетными и автономными учреждениями, предоставленных на выполнение муниципальных заданий;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уровень подготовки платежных документов бюджетными и автономными учреждениями;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качество осуществления расходов бюджетными и автономными учреждениями.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Качество финансового менеджмента, осуществляемого главными администраторами, в существенной степени</w:t>
      </w:r>
      <w:r>
        <w:rPr>
          <w:sz w:val="28"/>
          <w:szCs w:val="28"/>
        </w:rPr>
        <w:t xml:space="preserve"> зависит от организации главным администратором процедур бюджетного планирования, исполнения бюджета, ведения бюджетного учета, составления и представления бюджетной отчетности.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 xml:space="preserve">Итоговые показатели и оценки качества финансового менеджмента, а также рейтинг главных администраторов представлены в отчете о результатах проведения мониторинга качества финансового менеджмента.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Мониторинг качества финансового менеджмента проводился по 5 главным администраторам.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 xml:space="preserve">При расчете показателей качества финансового менеджмента учитывались отраслевые особенности, влияющие на качество финансового менеджмента. Указанные сведения представлялись в Финансовое управление по форме согласно приложению № 2 к Положению.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 xml:space="preserve">Средняя итоговая оценка за 2019 год по главным администраторам составляет 84,8 баллов. </w:t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firstLine="709"/>
        <w:jc w:val="both"/>
        <w:rPr/>
      </w:pPr>
      <w:r>
        <w:rPr>
          <w:sz w:val="28"/>
        </w:rPr>
        <w:t>По результатам мониторинга качества финансового менеджмента наилучшие оценки качества финансового менеджмента по 1  и 2 группам сложились соответственно:</w:t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firstLine="709"/>
        <w:jc w:val="both"/>
        <w:rPr/>
      </w:pPr>
      <w:r>
        <w:rPr>
          <w:sz w:val="28"/>
        </w:rPr>
        <w:t>- Отдел культуры администрации Шарангского муниципального района  - 91,3 балла;</w:t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- Финансовое управление администрации Шарангского муниципального района – 88,3 балла.</w:t>
      </w:r>
    </w:p>
    <w:p>
      <w:pPr>
        <w:pStyle w:val="Normal"/>
        <w:spacing w:lineRule="auto" w:line="360"/>
        <w:rPr>
          <w:b/>
          <w:b/>
          <w:color w:val="FF0000"/>
          <w:sz w:val="28"/>
        </w:rPr>
      </w:pPr>
      <w:r>
        <w:rPr>
          <w:b/>
          <w:color w:val="FF0000"/>
          <w:sz w:val="28"/>
        </w:rPr>
      </w:r>
    </w:p>
    <w:p>
      <w:pPr>
        <w:pStyle w:val="Normal"/>
        <w:numPr>
          <w:ilvl w:val="0"/>
          <w:numId w:val="2"/>
        </w:numPr>
        <w:spacing w:lineRule="auto" w:line="360"/>
        <w:jc w:val="center"/>
        <w:rPr/>
      </w:pPr>
      <w:r>
        <w:rPr>
          <w:b/>
          <w:sz w:val="28"/>
        </w:rPr>
        <w:t>Финансовое планирование</w:t>
      </w:r>
    </w:p>
    <w:p>
      <w:pPr>
        <w:pStyle w:val="Normal"/>
        <w:spacing w:lineRule="auto" w:line="360"/>
        <w:ind w:left="1069" w:hanging="0"/>
        <w:rPr>
          <w:b/>
          <w:b/>
          <w:color w:val="FF0000"/>
          <w:sz w:val="28"/>
        </w:rPr>
      </w:pPr>
      <w:r>
        <w:rPr>
          <w:b/>
          <w:color w:val="FF0000"/>
          <w:sz w:val="28"/>
        </w:rPr>
      </w:r>
    </w:p>
    <w:p>
      <w:pPr>
        <w:pStyle w:val="23"/>
        <w:ind w:left="-360" w:firstLine="709"/>
        <w:rPr/>
      </w:pPr>
      <w:r>
        <w:rPr/>
        <w:t>Оценивались своевременность представления предварительного (планового) реестра расходных обязательств, полнота информации о расходных обязательствах, сроки представления обоснований бюджетных ассигнований на очередной финансовый год, охват в обоснованиях бюджетных ассигнований на очередной финансовый год показателями непосредственных результатов (пояснительными записками) сумм ассигнований, доведенных Финансовым управлением администрации Шарангского района в качестве предельных объемов ассигнований в ходе составления проекта районного бюджета, доля бюджетных ассигнований, представленных в программном виде, качество планирования расходов главными распорядителями  бюджетных средств по количеству внесенных изменений в бюджетную роспись:</w:t>
      </w:r>
    </w:p>
    <w:p>
      <w:pPr>
        <w:pStyle w:val="23"/>
        <w:ind w:left="-360" w:firstLine="709"/>
        <w:rPr/>
      </w:pPr>
      <w:r>
        <w:rPr/>
        <w:t xml:space="preserve"> </w:t>
      </w:r>
      <w:r>
        <w:rPr/>
        <w:t>- в связи с уточнением ассигнований по решению Земского собрания Шарангского района  «О районном бюджете»;</w:t>
      </w:r>
    </w:p>
    <w:p>
      <w:pPr>
        <w:pStyle w:val="23"/>
        <w:ind w:left="0" w:firstLine="349"/>
        <w:rPr/>
      </w:pPr>
      <w:r>
        <w:rPr/>
        <w:t>- в связи  передвижкам между кодами бюджетной классификации по суммам внесенных положительных изменений в бюджетную роспись.</w:t>
      </w:r>
    </w:p>
    <w:p>
      <w:pPr>
        <w:pStyle w:val="23"/>
        <w:ind w:left="-360" w:firstLine="709"/>
        <w:rPr/>
      </w:pPr>
      <w:r>
        <w:rPr/>
        <w:t>При расчёте показателя, характеризующего своевременность представления предварительного (планового) реестра расходных обязательств главными администраторами в Финансовое управление администрации Шарангского муниципального района использовались сведения о количестве дней отклонения от даты, установленной Порядком ведения реестра расходных обязательств. Все пять главных администраторов представили вышеуказанные документы в установленные сроки.  В результате средняя оценка по показателю составила 5 баллов по 5-балльной шкале.</w:t>
      </w:r>
    </w:p>
    <w:p>
      <w:pPr>
        <w:pStyle w:val="23"/>
        <w:ind w:left="0" w:firstLine="709"/>
        <w:rPr/>
      </w:pPr>
      <w:r>
        <w:rPr/>
        <w:t>При оценке показателя, характеризующего качество подготовки главными администраторами обоснований бюджетных ассигнований, представляемых в Финансовое управление, включая их соответствие бюджетному законодательству Российской Федерации,</w:t>
      </w:r>
      <w:r>
        <w:rPr>
          <w:color w:val="FF0000"/>
        </w:rPr>
        <w:t xml:space="preserve"> </w:t>
      </w:r>
      <w:r>
        <w:rPr/>
        <w:t>правилам формирования и представления обоснований бюджетных ассигнований,</w:t>
      </w:r>
      <w:r>
        <w:rPr>
          <w:color w:val="FF0000"/>
        </w:rPr>
        <w:br/>
      </w:r>
      <w:r>
        <w:rPr/>
        <w:t xml:space="preserve">все главные администраторы полностью обосновали объемы бюджетных ассигнований при составлении проекта районного бюджета на очередной финансовый год пояснительными записками. </w:t>
      </w:r>
    </w:p>
    <w:p>
      <w:pPr>
        <w:pStyle w:val="23"/>
        <w:ind w:left="0" w:firstLine="709"/>
        <w:rPr>
          <w:color w:val="FF0000"/>
        </w:rPr>
      </w:pPr>
      <w:r>
        <w:rPr/>
        <w:t>Наибольшая доля бюджетных ассигнований, представленных в программном виде, по первой группе у Управления образования и молодежной политики  (99,9%),</w:t>
      </w:r>
      <w:r>
        <w:rPr>
          <w:color w:val="FF0000"/>
        </w:rPr>
        <w:t xml:space="preserve"> </w:t>
      </w:r>
      <w:r>
        <w:rPr/>
        <w:t>по второй группе - Управления сельского хозяйства (100%).</w:t>
      </w:r>
    </w:p>
    <w:p>
      <w:pPr>
        <w:pStyle w:val="23"/>
        <w:ind w:left="0" w:firstLine="709"/>
        <w:rPr/>
      </w:pPr>
      <w:r>
        <w:rPr/>
        <w:t>При расчете показателя «Сумма внесенных изменений в бюджетную роспись в связи с уточнением ассигнований по решению Земского собрания» средняя оценка составила:</w:t>
      </w:r>
      <w:r>
        <w:rPr>
          <w:color w:val="FF0000"/>
        </w:rPr>
        <w:t xml:space="preserve"> </w:t>
      </w:r>
      <w:r>
        <w:rPr/>
        <w:t>при внесении положительных изменений – 8,4 балла по 10-балльной шкале, отрицательных – 4,8 балла по 10-балльной шкале.</w:t>
      </w:r>
    </w:p>
    <w:p>
      <w:pPr>
        <w:pStyle w:val="23"/>
        <w:ind w:left="0" w:firstLine="709"/>
        <w:rPr/>
      </w:pPr>
      <w:r>
        <w:rPr/>
        <w:t>Средняя оценка внесенных положительных изменений  в бюджетную роспись в связи с передвижками между кодами бюджетной классификации  за  2019 год  составила  9,6 балла по 10-балльной шкале,</w:t>
      </w:r>
      <w:r>
        <w:rPr>
          <w:color w:val="FF0000"/>
        </w:rPr>
        <w:t xml:space="preserve"> </w:t>
      </w:r>
      <w:r>
        <w:rPr/>
        <w:t>что свидетельствует о высоком качестве работы ГРБС по финансовому планированию.</w:t>
      </w:r>
    </w:p>
    <w:p>
      <w:pPr>
        <w:pStyle w:val="23"/>
        <w:ind w:left="0" w:firstLine="709"/>
        <w:rPr/>
      </w:pPr>
      <w:r>
        <w:rPr/>
        <w:t>Наилучшие оценки качества финансового планирования сложились у следующих главных администраторов по 1  и 2 группам соответственно:</w:t>
      </w:r>
    </w:p>
    <w:p>
      <w:pPr>
        <w:pStyle w:val="23"/>
        <w:ind w:left="0" w:firstLine="709"/>
        <w:rPr/>
      </w:pPr>
      <w:r>
        <w:rPr/>
        <w:t>- Отдел культуры администрации Шарангского муниципального района и Управление образования и молодежной политики Шарангского муниципального района  по 54,0 балла;</w:t>
      </w:r>
    </w:p>
    <w:p>
      <w:pPr>
        <w:pStyle w:val="23"/>
        <w:ind w:left="0" w:firstLine="709"/>
        <w:rPr/>
      </w:pPr>
      <w:r>
        <w:rPr/>
        <w:t>- Финансовое управление администрации Шарангского муниципального района и Управление сельского хозяйства по 52,0 балла.</w:t>
      </w:r>
    </w:p>
    <w:p>
      <w:pPr>
        <w:pStyle w:val="Normal"/>
        <w:spacing w:lineRule="auto" w:line="360"/>
        <w:jc w:val="both"/>
        <w:rPr>
          <w:b/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</w:r>
    </w:p>
    <w:p>
      <w:pPr>
        <w:pStyle w:val="Normal"/>
        <w:spacing w:lineRule="auto" w:line="360"/>
        <w:ind w:firstLine="709"/>
        <w:jc w:val="center"/>
        <w:rPr>
          <w:b/>
          <w:b/>
          <w:sz w:val="28"/>
        </w:rPr>
      </w:pPr>
      <w:r>
        <w:rPr>
          <w:b/>
          <w:sz w:val="28"/>
        </w:rPr>
        <w:t>2. Исполнение бюджета в части расходов</w:t>
      </w:r>
    </w:p>
    <w:p>
      <w:pPr>
        <w:pStyle w:val="Normal"/>
        <w:spacing w:lineRule="auto" w:line="360"/>
        <w:ind w:firstLine="709"/>
        <w:jc w:val="center"/>
        <w:rPr>
          <w:b/>
          <w:b/>
          <w:color w:val="FF0000"/>
          <w:sz w:val="28"/>
        </w:rPr>
      </w:pPr>
      <w:r>
        <w:rPr>
          <w:b/>
          <w:color w:val="FF0000"/>
          <w:sz w:val="28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При проведении мониторинга качества исполнения бюджета по расходам рассчитывались следующие показатели: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кассовое исполнение расходов;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равномерность осуществляемых расходов;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своевременность принятия бюджетных обязательств;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качество прогнозирования кассовых расходов;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уровень подготовки платежных документов;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качество исполнения расходов.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Среди наиболее значимых показателей качества исполнения бюджета в части расходов - показатель, описывающий полноту использования бюджетных средств.  Кассовое исполнение расходов по районному бюджету за 2019 год в разрезе главных распорядителей бюджетных средств  составило  99,7%.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Среднее значение показателя по позиции «Своевременность принятия бюджетных обязательств» – 98,9%,</w:t>
      </w:r>
      <w:r>
        <w:rPr>
          <w:color w:val="FF0000"/>
          <w:sz w:val="28"/>
        </w:rPr>
        <w:t xml:space="preserve"> </w:t>
      </w:r>
      <w:r>
        <w:rPr>
          <w:sz w:val="28"/>
        </w:rPr>
        <w:t>что говорит о неполном и несвоевременном принятии бюджетных обязательств (заключение договоров и контрактов) на поставки товаров, работ и услуг для муниципальных нужд.  Как результат – неравномерное исполнение предусмотренных обязательств. Максимальные баллы по</w:t>
      </w:r>
      <w:r>
        <w:rPr>
          <w:color w:val="FF0000"/>
          <w:sz w:val="28"/>
        </w:rPr>
        <w:t xml:space="preserve"> </w:t>
      </w:r>
      <w:r>
        <w:rPr>
          <w:sz w:val="28"/>
        </w:rPr>
        <w:t>1 и 2  группам соответственно получили все главные администраторы – 10 баллов по 10-балльной шкале.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color w:val="FF0000"/>
          <w:sz w:val="28"/>
        </w:rPr>
        <w:t xml:space="preserve"> </w:t>
      </w:r>
      <w:r>
        <w:rPr>
          <w:sz w:val="28"/>
        </w:rPr>
        <w:t>Качество прогнозирования кассовых расходов оценивалось по 10-бальной шкале. Средний показатель – 10 баллов.</w:t>
      </w:r>
    </w:p>
    <w:p>
      <w:pPr>
        <w:pStyle w:val="Normal"/>
        <w:numPr>
          <w:ilvl w:val="0"/>
          <w:numId w:val="0"/>
        </w:numPr>
        <w:autoSpaceDE w:val="false"/>
        <w:spacing w:lineRule="auto" w:line="360"/>
        <w:ind w:firstLine="709"/>
        <w:jc w:val="both"/>
        <w:outlineLvl w:val="1"/>
        <w:rPr/>
      </w:pPr>
      <w:r>
        <w:rPr>
          <w:sz w:val="28"/>
        </w:rPr>
        <w:t>Проводилась оценка уровня подготовки  главными администраторами  расчетно-платежных документов, представленных в течение 2019 года. Средняя оценка составляет 7,6 балла по 10-бальной шкале.</w:t>
      </w:r>
      <w:r>
        <w:rPr>
          <w:color w:val="FF0000"/>
          <w:sz w:val="28"/>
        </w:rPr>
        <w:t xml:space="preserve"> </w:t>
      </w:r>
    </w:p>
    <w:p>
      <w:pPr>
        <w:pStyle w:val="Normal"/>
        <w:numPr>
          <w:ilvl w:val="0"/>
          <w:numId w:val="0"/>
        </w:numPr>
        <w:autoSpaceDE w:val="false"/>
        <w:spacing w:lineRule="auto" w:line="360"/>
        <w:ind w:firstLine="709"/>
        <w:jc w:val="both"/>
        <w:outlineLvl w:val="1"/>
        <w:rPr/>
      </w:pPr>
      <w:r>
        <w:rPr>
          <w:sz w:val="28"/>
        </w:rPr>
        <w:t>Проведенный мониторинг на 01.01.2020 года показал отсутствие просроченной кредиторской задолженности по всем главным распорядителям бюджетных средств.</w:t>
      </w:r>
    </w:p>
    <w:p>
      <w:pPr>
        <w:pStyle w:val="Style27"/>
        <w:spacing w:lineRule="auto" w:line="360"/>
        <w:ind w:firstLine="709"/>
        <w:jc w:val="both"/>
        <w:rPr/>
      </w:pPr>
      <w:r>
        <w:rPr>
          <w:sz w:val="28"/>
        </w:rPr>
        <w:t>Наилучшие оценки исполнения бюджета в части расходов сложились у следующих главных администраторов по 1  и 2 группам соответственно:</w:t>
      </w:r>
    </w:p>
    <w:p>
      <w:pPr>
        <w:pStyle w:val="23"/>
        <w:ind w:left="0" w:firstLine="709"/>
        <w:rPr/>
      </w:pPr>
      <w:r>
        <w:rPr/>
        <w:t>- Отдел культуры администрации Шарангского муниципального района – 57,0 балла;</w:t>
      </w:r>
    </w:p>
    <w:p>
      <w:pPr>
        <w:pStyle w:val="23"/>
        <w:ind w:left="0" w:firstLine="709"/>
        <w:rPr/>
      </w:pPr>
      <w:r>
        <w:rPr/>
        <w:t>- Финансовое управление администрации Шарангского муниципального района – 60,0 балла.</w:t>
      </w:r>
    </w:p>
    <w:p>
      <w:pPr>
        <w:pStyle w:val="Normal"/>
        <w:spacing w:lineRule="auto" w:line="360"/>
        <w:jc w:val="both"/>
        <w:rPr>
          <w:b/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</w:r>
    </w:p>
    <w:p>
      <w:pPr>
        <w:pStyle w:val="Normal"/>
        <w:spacing w:lineRule="auto" w:line="360"/>
        <w:ind w:firstLine="709"/>
        <w:jc w:val="center"/>
        <w:rPr>
          <w:b/>
          <w:b/>
          <w:sz w:val="28"/>
        </w:rPr>
      </w:pPr>
      <w:r>
        <w:rPr>
          <w:b/>
          <w:sz w:val="28"/>
        </w:rPr>
        <w:t>3. Исполнение бюджета в части доходов</w:t>
      </w:r>
    </w:p>
    <w:p>
      <w:pPr>
        <w:pStyle w:val="Normal"/>
        <w:spacing w:lineRule="auto" w:line="360"/>
        <w:ind w:firstLine="709"/>
        <w:jc w:val="center"/>
        <w:rPr>
          <w:b/>
          <w:b/>
          <w:color w:val="FF0000"/>
          <w:sz w:val="28"/>
        </w:rPr>
      </w:pPr>
      <w:r>
        <w:rPr>
          <w:b/>
          <w:color w:val="FF0000"/>
          <w:sz w:val="28"/>
        </w:rPr>
      </w:r>
    </w:p>
    <w:p>
      <w:pPr>
        <w:pStyle w:val="Style27"/>
        <w:spacing w:lineRule="auto" w:line="360"/>
        <w:ind w:firstLine="709"/>
        <w:jc w:val="both"/>
        <w:rPr/>
      </w:pPr>
      <w:r>
        <w:rPr>
          <w:sz w:val="28"/>
        </w:rPr>
        <w:t xml:space="preserve">При проведении мониторинга качества исполнения районного бюджета по доходам рассчитывались следующие показатели: </w:t>
      </w:r>
    </w:p>
    <w:p>
      <w:pPr>
        <w:pStyle w:val="Style27"/>
        <w:spacing w:lineRule="auto" w:line="360"/>
        <w:ind w:firstLine="709"/>
        <w:jc w:val="both"/>
        <w:rPr>
          <w:color w:val="000000"/>
          <w:sz w:val="28"/>
        </w:rPr>
      </w:pPr>
      <w:r>
        <w:rPr>
          <w:sz w:val="28"/>
        </w:rPr>
        <w:t xml:space="preserve">качество правовой базы главного администратора доходов районного </w:t>
      </w:r>
      <w:r>
        <w:rPr>
          <w:color w:val="000000"/>
          <w:sz w:val="28"/>
        </w:rPr>
        <w:t>бюджета по администрированию доходов;</w:t>
      </w:r>
    </w:p>
    <w:p>
      <w:pPr>
        <w:pStyle w:val="Normal"/>
        <w:spacing w:lineRule="auto" w:line="360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полнота зачисления платежей в районный бюджет по главному администратору доходов районного бюджета, объем невыясненных поступлений;</w:t>
      </w:r>
    </w:p>
    <w:p>
      <w:pPr>
        <w:pStyle w:val="Normal"/>
        <w:spacing w:lineRule="auto" w:line="360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отклонение кассового исполнения по доходам от прогноза по главному администратору доходов районного бюджета;</w:t>
      </w:r>
    </w:p>
    <w:p>
      <w:pPr>
        <w:pStyle w:val="Normal"/>
        <w:spacing w:lineRule="auto" w:line="360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эффективность управления дебиторской задолженностью по расчетам с дебиторами по доходам.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При оценивании качества нормативной правовой базы главного администратора доходов учитывалось наличие правовых актов, содержащих: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1) определение порядка заполнения (составления) и отражения в бюджетном учете первичных документов по администрируемым доходам районного бюджета;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2) порядок обмена информацией при начислении платежей, уточнения вида и принадлежности платежей, принятие решения о возврате;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3) порядок предоставления бюджетной отчетности администраторов доходов главному администратору.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В результате проведения мониторинга качества определения правовой базы все главные администраторы оценены на 8 баллов</w:t>
      </w:r>
      <w:r>
        <w:rPr/>
        <w:t xml:space="preserve"> </w:t>
      </w:r>
      <w:r>
        <w:rPr>
          <w:sz w:val="28"/>
        </w:rPr>
        <w:t>по 10-бальной шкале.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Объем невыясненных поступлений по состоянию  на 1 января 2020 года отсутствовал по всем администраторам доходов, в результате чего все администраторы по показателю «Полнота зачисления платежей в районный бюджет по главному администратору доходов районного бюджета, объем невыясненных поступлений» оценены на 5 баллов</w:t>
      </w:r>
      <w:r>
        <w:rPr/>
        <w:t xml:space="preserve"> </w:t>
      </w:r>
      <w:r>
        <w:rPr>
          <w:sz w:val="28"/>
        </w:rPr>
        <w:t>по 5-бальной шкале.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 xml:space="preserve">По показателю «Отклонение кассового исполнения по доходам от прогноза по главному администратору доходов районного бюджета» все администраторы доходов оценены на 10 баллов  по 10-бальной шкале. </w:t>
      </w:r>
    </w:p>
    <w:p>
      <w:pPr>
        <w:pStyle w:val="23"/>
        <w:ind w:left="0" w:firstLine="706"/>
        <w:rPr/>
      </w:pPr>
      <w:r>
        <w:rPr/>
        <w:t>Наилучшие оценки исполнения бюджета в части доходов (33 балла из 35) имеют следующие главные администраторы:</w:t>
      </w:r>
    </w:p>
    <w:p>
      <w:pPr>
        <w:pStyle w:val="23"/>
        <w:ind w:left="0" w:firstLine="706"/>
        <w:rPr/>
      </w:pPr>
      <w:r>
        <w:rPr/>
        <w:t>Управление образования и молодежной политики администрации Шарангского муниципального района;</w:t>
      </w:r>
    </w:p>
    <w:p>
      <w:pPr>
        <w:pStyle w:val="23"/>
        <w:ind w:left="0" w:firstLine="706"/>
        <w:rPr/>
      </w:pPr>
      <w:r>
        <w:rPr/>
        <w:t>Отдел культуры администрации Шарангского муниципального района;</w:t>
      </w:r>
    </w:p>
    <w:p>
      <w:pPr>
        <w:pStyle w:val="23"/>
        <w:ind w:left="0" w:firstLine="706"/>
        <w:rPr/>
      </w:pPr>
      <w:r>
        <w:rPr/>
        <w:t>Финансовое управление администрации Шарангского муниципального района;</w:t>
      </w:r>
    </w:p>
    <w:p>
      <w:pPr>
        <w:pStyle w:val="23"/>
        <w:ind w:left="0" w:firstLine="706"/>
        <w:rPr/>
      </w:pPr>
      <w:r>
        <w:rPr/>
        <w:t>Управление сельского хозяйства администрации Шарангского муниципального района.</w:t>
      </w:r>
    </w:p>
    <w:p>
      <w:pPr>
        <w:pStyle w:val="Normal"/>
        <w:spacing w:lineRule="auto" w:line="360"/>
        <w:rPr>
          <w:b/>
          <w:b/>
          <w:color w:val="FF0000"/>
          <w:sz w:val="28"/>
        </w:rPr>
      </w:pPr>
      <w:r>
        <w:rPr>
          <w:b/>
          <w:color w:val="FF0000"/>
          <w:sz w:val="28"/>
        </w:rPr>
      </w:r>
    </w:p>
    <w:p>
      <w:pPr>
        <w:pStyle w:val="Normal"/>
        <w:spacing w:lineRule="auto" w:line="360"/>
        <w:ind w:firstLine="709"/>
        <w:jc w:val="center"/>
        <w:rPr>
          <w:b/>
          <w:b/>
          <w:sz w:val="28"/>
        </w:rPr>
      </w:pPr>
      <w:r>
        <w:rPr>
          <w:b/>
          <w:sz w:val="28"/>
        </w:rPr>
        <w:t>4. Учет и отчетность</w:t>
      </w:r>
    </w:p>
    <w:p>
      <w:pPr>
        <w:pStyle w:val="Normal"/>
        <w:spacing w:lineRule="auto" w:line="360"/>
        <w:ind w:firstLine="709"/>
        <w:jc w:val="center"/>
        <w:rPr>
          <w:b/>
          <w:b/>
          <w:color w:val="FF0000"/>
          <w:sz w:val="28"/>
        </w:rPr>
      </w:pPr>
      <w:r>
        <w:rPr>
          <w:b/>
          <w:color w:val="FF0000"/>
          <w:sz w:val="28"/>
        </w:rPr>
      </w:r>
    </w:p>
    <w:p>
      <w:pPr>
        <w:pStyle w:val="Style27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При проведении мониторинга качества ведения учета и отчетности оценивалась подготовка и внедрение управленческого учета.</w:t>
      </w:r>
      <w:r>
        <w:rPr>
          <w:color w:val="FF0000"/>
          <w:sz w:val="28"/>
        </w:rPr>
        <w:t xml:space="preserve"> </w:t>
      </w:r>
      <w:r>
        <w:rPr>
          <w:sz w:val="28"/>
        </w:rPr>
        <w:t>По данному показателю все главные администраторы оценены на 10 баллов по 10-бальной шкале, так как управленческий и (или) аналитический учет, в рамках которого активы, обязательства, доходы и расходы районного бюджета учитываются, контролируются и анализируются по основным направлениям деятельности, в том числе для целей доклада о результатах и основных направлениях деятельности, закреплен в правовом акте ГРБС и внедрен в практику.</w:t>
      </w:r>
    </w:p>
    <w:p>
      <w:pPr>
        <w:pStyle w:val="Style27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По показателю «Динамика объема материальных запасов» на 10 баллов</w:t>
      </w:r>
      <w:r>
        <w:rPr/>
        <w:t xml:space="preserve"> </w:t>
      </w:r>
      <w:r>
        <w:rPr>
          <w:sz w:val="28"/>
        </w:rPr>
        <w:t>по 10-бальной шкале оценен Отдел культуры, так как уровень показателя ниже показателя инфляции в 2019 году.</w:t>
      </w:r>
    </w:p>
    <w:p>
      <w:pPr>
        <w:pStyle w:val="Style27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Рассчитывался коэффициент сложности исполнения бюджетных ассигнований, отражающий уровень сложности исполнения бюджетных ассигнований ГРБС в 2019 году в зависимости от объема бюджетных назначений, предусмотренных ГРБС, и количества муниципальных учреждений, находящихся в ведении ГРБС.</w:t>
      </w:r>
      <w:r>
        <w:rPr>
          <w:color w:val="FF0000"/>
          <w:sz w:val="28"/>
        </w:rPr>
        <w:t xml:space="preserve"> </w:t>
      </w:r>
      <w:r>
        <w:rPr>
          <w:sz w:val="28"/>
        </w:rPr>
        <w:t>При оценке данного показателя использовался отчет об исполнении бюджета по форме 0503127.</w:t>
      </w:r>
      <w:r>
        <w:rPr>
          <w:color w:val="FF0000"/>
          <w:sz w:val="28"/>
        </w:rPr>
        <w:t xml:space="preserve"> </w:t>
      </w:r>
      <w:r>
        <w:rPr>
          <w:sz w:val="28"/>
        </w:rPr>
        <w:t>Высокий уровень сложности исполнения бюджетных ассигнований у Отдела культуры (873%), наименьший уровень – Управления сельского хозяйства (59,8%).</w:t>
      </w:r>
    </w:p>
    <w:p>
      <w:pPr>
        <w:pStyle w:val="Style27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Наилучшие оценки по показателю «учет и отчетность» сложились по Отделу культуры Шарангского муниципального района.</w:t>
      </w:r>
    </w:p>
    <w:p>
      <w:pPr>
        <w:pStyle w:val="Normal"/>
        <w:spacing w:lineRule="auto" w:line="360"/>
        <w:jc w:val="both"/>
        <w:rPr>
          <w:sz w:val="28"/>
        </w:rPr>
      </w:pPr>
      <w:r>
        <w:rPr>
          <w:sz w:val="28"/>
        </w:rPr>
      </w:r>
    </w:p>
    <w:p>
      <w:pPr>
        <w:pStyle w:val="Normal"/>
        <w:spacing w:lineRule="auto" w:line="360"/>
        <w:ind w:firstLine="709"/>
        <w:jc w:val="center"/>
        <w:rPr>
          <w:b/>
          <w:b/>
          <w:sz w:val="28"/>
        </w:rPr>
      </w:pPr>
      <w:r>
        <w:rPr>
          <w:b/>
          <w:sz w:val="28"/>
        </w:rPr>
        <w:t>5. Контроль и аудит</w:t>
      </w:r>
    </w:p>
    <w:p>
      <w:pPr>
        <w:pStyle w:val="Normal"/>
        <w:spacing w:lineRule="auto" w:line="360"/>
        <w:ind w:firstLine="709"/>
        <w:jc w:val="center"/>
        <w:rPr>
          <w:b/>
          <w:b/>
          <w:color w:val="FF0000"/>
          <w:sz w:val="28"/>
        </w:rPr>
      </w:pPr>
      <w:r>
        <w:rPr>
          <w:b/>
          <w:color w:val="FF0000"/>
          <w:sz w:val="28"/>
        </w:rPr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При проведении мониторинга качества осуществления внутреннего контроля и аудита оценивались следующие показатели: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осуществление мероприятий внутреннего контроля;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регулярность проведения ГРБС мероприятий муниципального финансового контроля;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доля недостач и хищений денежных средств и материальных ценностей.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При составлении годового отчета и пояснительной записки бюджетополучатели предоставляют отчетность, в том числе «Сведения о результатах мероприятий внутреннего контроля».</w:t>
      </w:r>
      <w:r>
        <w:rPr>
          <w:color w:val="FF0000"/>
          <w:sz w:val="28"/>
        </w:rPr>
        <w:t xml:space="preserve"> </w:t>
      </w:r>
      <w:r>
        <w:rPr>
          <w:sz w:val="28"/>
        </w:rPr>
        <w:t>Главными администраторами осуществляется контроль за результативностью использования бюджетных средств, обеспечение надежности и точности информации, соблюдение норм законодательства, внутренних правовых актов, выполнение мероприятий планов в соответствии с целями и задачами ГРБС.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Из сведений по форме 0503176 «О недостачах и хищениях» недостач и хищений не выявлено, уровень показателя по всем главным распорядителям бюджетных средств оценен на 5 баллов по 5-бальной шкале.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 xml:space="preserve"> </w:t>
      </w:r>
    </w:p>
    <w:p>
      <w:pPr>
        <w:pStyle w:val="Normal"/>
        <w:spacing w:lineRule="auto" w:line="360"/>
        <w:ind w:firstLine="709"/>
        <w:jc w:val="center"/>
        <w:rPr>
          <w:b/>
          <w:b/>
          <w:sz w:val="28"/>
        </w:rPr>
      </w:pPr>
      <w:r>
        <w:rPr>
          <w:b/>
          <w:sz w:val="28"/>
        </w:rPr>
        <w:t>6. Исполнение судебных актов</w:t>
      </w:r>
    </w:p>
    <w:p>
      <w:pPr>
        <w:pStyle w:val="Normal"/>
        <w:spacing w:lineRule="auto" w:line="360"/>
        <w:ind w:firstLine="709"/>
        <w:jc w:val="center"/>
        <w:rPr>
          <w:b/>
          <w:b/>
          <w:sz w:val="28"/>
        </w:rPr>
      </w:pPr>
      <w:r>
        <w:rPr>
          <w:b/>
          <w:sz w:val="28"/>
        </w:rPr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Качество исполнения бюджетных обязательств характеризует  работу</w:t>
      </w:r>
      <w:r>
        <w:rPr>
          <w:color w:val="FF0000"/>
          <w:sz w:val="28"/>
        </w:rPr>
        <w:t xml:space="preserve"> </w:t>
      </w:r>
      <w:r>
        <w:rPr>
          <w:sz w:val="28"/>
        </w:rPr>
        <w:t>ГРБС в области регулирования кредиторской задолженности. Негативным для оценки данного показателя считается высокий уровень исковых требований.  За 2019 год  исковые требования отсутствовали по всем ГРБС.</w:t>
      </w:r>
    </w:p>
    <w:p>
      <w:pPr>
        <w:pStyle w:val="Normal"/>
        <w:spacing w:lineRule="auto" w:line="360"/>
        <w:ind w:firstLine="709"/>
        <w:jc w:val="center"/>
        <w:rPr>
          <w:b/>
          <w:b/>
          <w:color w:val="FF0000"/>
          <w:sz w:val="28"/>
        </w:rPr>
      </w:pPr>
      <w:r>
        <w:rPr>
          <w:b/>
          <w:color w:val="FF0000"/>
          <w:sz w:val="28"/>
        </w:rPr>
      </w:r>
    </w:p>
    <w:p>
      <w:pPr>
        <w:pStyle w:val="Normal"/>
        <w:spacing w:lineRule="auto" w:line="360"/>
        <w:ind w:firstLine="709"/>
        <w:jc w:val="center"/>
        <w:rPr>
          <w:b/>
          <w:b/>
          <w:sz w:val="28"/>
        </w:rPr>
      </w:pPr>
      <w:r>
        <w:rPr>
          <w:b/>
          <w:sz w:val="28"/>
        </w:rPr>
        <w:t>7. Бюджетные и автономные учреждения</w:t>
      </w:r>
    </w:p>
    <w:p>
      <w:pPr>
        <w:pStyle w:val="Normal"/>
        <w:spacing w:lineRule="auto" w:line="360"/>
        <w:ind w:firstLine="709"/>
        <w:jc w:val="center"/>
        <w:rPr>
          <w:b/>
          <w:b/>
          <w:sz w:val="28"/>
        </w:rPr>
      </w:pPr>
      <w:r>
        <w:rPr>
          <w:b/>
          <w:sz w:val="28"/>
        </w:rPr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Для проведения мониторинга качества работы бюджетных и автономных учреждений оценивались: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исполнение планов финансово-хозяйственной деятельности (далее ФХД) по доходам (по всем видам финансового обеспечения);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равномерность расходов, осуществляемых бюджетными и автономными учреждениями за счет субсидий на выполнение муниципальных заданий;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уровень использования субсидий бюджетными и автономными учреждениями, предоставленных на выполнение муниципальных заданий;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уровень подготовки платежных документов бюджетными и автономными учреждениями;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качество осуществления расходов бюджетными и автономными учреждениями.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Для оценки использовались: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отчет об исполнении учреждениями планов ФХД по форме 0503737;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данные программного комплекса  АЦК-Финансы «Заявки БУ/АУ на выплату средств»;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финансовая отчетность.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По показателю «Исполнение планов финансово-хозяйственной деятельности по доходам (по всем видам финансового обеспечения)»</w:t>
      </w:r>
      <w:r>
        <w:rPr>
          <w:color w:val="FF0000"/>
          <w:sz w:val="28"/>
        </w:rPr>
        <w:t xml:space="preserve"> </w:t>
      </w:r>
      <w:r>
        <w:rPr>
          <w:sz w:val="28"/>
        </w:rPr>
        <w:t>главные администраторы по первой группе оценены на 8 баллов по 10-бальной шкале, так как некачественно спланированы доходы (особенно от приносящей доход деятельности).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По показателю «Равномерность расходов, осуществляемых бюджетными и автономными учреждениями за счет субсидий на выполнение муниципальных заданий»</w:t>
      </w:r>
      <w:r>
        <w:rPr>
          <w:color w:val="FF0000"/>
          <w:sz w:val="28"/>
        </w:rPr>
        <w:t xml:space="preserve"> </w:t>
      </w:r>
      <w:r>
        <w:rPr>
          <w:sz w:val="28"/>
        </w:rPr>
        <w:t>на 10 баллов</w:t>
      </w:r>
      <w:r>
        <w:rPr/>
        <w:t xml:space="preserve"> </w:t>
      </w:r>
      <w:r>
        <w:rPr>
          <w:sz w:val="28"/>
        </w:rPr>
        <w:t>по 10-бальной шкале оценена Администрация Шарангского муниципального района, так как по подведомственным бюджетным и автономным учреждениям кассовые расходы в четвертом квартале достигают менее трети предоставленных субсидий на выполнение муниципальных заданий.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Средний показатель использования субсидий – 98,5% при целевом ориентире – 100%. Максимальный показатель по администрации Шарангского муниципального района (99,8%).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Оценка уровня подготовки платежных документов показала наиболее низкий результат по управлению образования и молодежной политики администрации Шарангского муниципального района (95,6%).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</w:rPr>
        <w:t>При оценке качества осуществления расходов бюджетными и автономными учреждениями рассматривались такие показатели, как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наличие просроченной кредиторской задолженности;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уровень кредиторской задолженности;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уровень дебиторской задолженности.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Использовались: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>отчет о кредиторской задолженности;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 xml:space="preserve">сведения о кредиторской и дебиторской задолженности по форме 0503769. </w:t>
      </w:r>
    </w:p>
    <w:p>
      <w:pPr>
        <w:pStyle w:val="Normal"/>
        <w:spacing w:lineRule="auto" w:line="360"/>
        <w:ind w:firstLine="709"/>
        <w:jc w:val="both"/>
        <w:rPr>
          <w:sz w:val="28"/>
        </w:rPr>
      </w:pPr>
      <w:r>
        <w:rPr>
          <w:sz w:val="28"/>
        </w:rPr>
        <w:t xml:space="preserve">По данному показателю Администрация Шарангского муниципального района и Управление образования и молодежной политики оценены на 7,3 балла по 10-бальной шкале,  Отдел культуры – 8,7 балла по 10-бальной шкале. </w:t>
      </w:r>
    </w:p>
    <w:p>
      <w:pPr>
        <w:pStyle w:val="Normal"/>
        <w:spacing w:lineRule="auto" w:line="360"/>
        <w:ind w:firstLine="709"/>
        <w:jc w:val="both"/>
        <w:rPr>
          <w:color w:val="FF0000"/>
          <w:sz w:val="28"/>
        </w:rPr>
      </w:pPr>
      <w:r>
        <w:rPr>
          <w:color w:val="FF0000"/>
          <w:sz w:val="28"/>
        </w:rPr>
      </w:r>
    </w:p>
    <w:p>
      <w:pPr>
        <w:pStyle w:val="Normal"/>
        <w:spacing w:lineRule="auto" w:line="360"/>
        <w:ind w:firstLine="709"/>
        <w:jc w:val="both"/>
        <w:rPr>
          <w:b/>
          <w:b/>
          <w:color w:val="FF0000"/>
          <w:sz w:val="28"/>
        </w:rPr>
      </w:pPr>
      <w:r>
        <w:rPr>
          <w:b/>
          <w:color w:val="FF0000"/>
          <w:sz w:val="28"/>
        </w:rPr>
      </w:r>
    </w:p>
    <w:p>
      <w:pPr>
        <w:pStyle w:val="23"/>
        <w:ind w:left="0" w:firstLine="706"/>
        <w:rPr>
          <w:color w:val="FF0000"/>
          <w:szCs w:val="28"/>
        </w:rPr>
      </w:pPr>
      <w:r>
        <w:rPr>
          <w:color w:val="FF0000"/>
          <w:szCs w:val="28"/>
        </w:rPr>
        <w:tab/>
      </w:r>
    </w:p>
    <w:sectPr>
      <w:headerReference w:type="default" r:id="rId2"/>
      <w:headerReference w:type="first" r:id="rId3"/>
      <w:footerReference w:type="default" r:id="rId4"/>
      <w:footerReference w:type="first" r:id="rId5"/>
      <w:type w:val="nextPage"/>
      <w:pgSz w:w="11906" w:h="16838"/>
      <w:pgMar w:left="1560" w:right="1133" w:header="708" w:top="1276" w:footer="708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9"/>
      <w:ind w:right="360" w:hanging="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9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12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27635" cy="146685"/>
              <wp:effectExtent l="0" t="0" r="0" b="0"/>
              <wp:wrapSquare wrapText="largest"/>
              <wp:docPr id="1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7635" cy="14668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30"/>
                            <w:rPr>
                              <w:rStyle w:val="Style13"/>
                            </w:rPr>
                          </w:pPr>
                          <w:r>
                            <w:rPr>
                              <w:rStyle w:val="Style13"/>
                            </w:rPr>
                            <w:fldChar w:fldCharType="begin"/>
                          </w:r>
                          <w:r>
                            <w:rPr>
                              <w:rStyle w:val="Style13"/>
                            </w:rPr>
                            <w:instrText> PAGE </w:instrText>
                          </w:r>
                          <w:r>
                            <w:rPr>
                              <w:rStyle w:val="Style13"/>
                            </w:rPr>
                            <w:fldChar w:fldCharType="separate"/>
                          </w:r>
                          <w:r>
                            <w:rPr>
                              <w:rStyle w:val="Style13"/>
                            </w:rPr>
                            <w:t>12</w:t>
                          </w:r>
                          <w:r>
                            <w:rPr>
                              <w:rStyle w:val="Style13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10.05pt;height:11.55pt;mso-wrap-distance-left:0pt;mso-wrap-distance-right:0pt;mso-wrap-distance-top:0pt;mso-wrap-distance-bottom:0pt;margin-top:0.05pt;mso-position-vertical-relative:text;margin-left:225.3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Style30"/>
                      <w:rPr>
                        <w:rStyle w:val="Style13"/>
                      </w:rPr>
                    </w:pPr>
                    <w:r>
                      <w:rPr>
                        <w:rStyle w:val="Style13"/>
                      </w:rPr>
                      <w:fldChar w:fldCharType="begin"/>
                    </w:r>
                    <w:r>
                      <w:rPr>
                        <w:rStyle w:val="Style13"/>
                      </w:rPr>
                      <w:instrText> PAGE </w:instrText>
                    </w:r>
                    <w:r>
                      <w:rPr>
                        <w:rStyle w:val="Style13"/>
                      </w:rPr>
                      <w:fldChar w:fldCharType="separate"/>
                    </w:r>
                    <w:r>
                      <w:rPr>
                        <w:rStyle w:val="Style13"/>
                      </w:rPr>
                      <w:t>12</w:t>
                    </w:r>
                    <w:r>
                      <w:rPr>
                        <w:rStyle w:val="Style13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1069" w:hanging="360"/>
      </w:pPr>
      <w:rPr>
        <w:sz w:val="28"/>
        <w:b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Times New Roman"/>
      <w:b/>
      <w:bCs/>
      <w:kern w:val="2"/>
      <w:sz w:val="32"/>
      <w:szCs w:val="32"/>
    </w:rPr>
  </w:style>
  <w:style w:type="paragraph" w:styleId="2">
    <w:name w:val="Heading 2"/>
    <w:basedOn w:val="1"/>
    <w:next w:val="Normal"/>
    <w:qFormat/>
    <w:pPr>
      <w:keepNext w:val="false"/>
      <w:widowControl w:val="false"/>
      <w:numPr>
        <w:ilvl w:val="1"/>
        <w:numId w:val="1"/>
      </w:numPr>
      <w:autoSpaceDE w:val="false"/>
      <w:spacing w:before="0" w:after="0"/>
      <w:jc w:val="both"/>
      <w:outlineLvl w:val="1"/>
    </w:pPr>
    <w:rPr>
      <w:rFonts w:ascii="Arial" w:hAnsi="Arial" w:eastAsia="Times New Roman" w:cs="Arial"/>
      <w:b w:val="false"/>
      <w:bCs w:val="false"/>
      <w:kern w:val="0"/>
      <w:sz w:val="24"/>
      <w:szCs w:val="24"/>
    </w:rPr>
  </w:style>
  <w:style w:type="character" w:styleId="WW8Num1z0">
    <w:name w:val="WW8Num1z0"/>
    <w:qFormat/>
    <w:rPr>
      <w:rFonts w:ascii="Times New Roman" w:hAnsi="Times New Roman" w:eastAsia="Times New Roman" w:cs="Times New Roman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0">
    <w:name w:val="WW8Num2z0"/>
    <w:qFormat/>
    <w:rPr>
      <w:rFonts w:ascii="Times New Roman" w:hAnsi="Times New Roman" w:eastAsia="Times New Roman" w:cs="Times New Roman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>
      <w:rFonts w:ascii="Times New Roman" w:hAnsi="Times New Roman" w:eastAsia="Times New Roman" w:cs="Times New Roman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3">
    <w:name w:val="WW8Num3z3"/>
    <w:qFormat/>
    <w:rPr>
      <w:rFonts w:ascii="Symbol" w:hAnsi="Symbol" w:cs="Symbol"/>
    </w:rPr>
  </w:style>
  <w:style w:type="character" w:styleId="WW8Num4z0">
    <w:name w:val="WW8Num4z0"/>
    <w:qFormat/>
    <w:rPr>
      <w:rFonts w:ascii="Symbol" w:hAnsi="Symbol" w:cs="Symbol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>
      <w:rFonts w:ascii="Times New Roman" w:hAnsi="Times New Roman" w:eastAsia="Times New Roman" w:cs="Times New Roman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8z0">
    <w:name w:val="WW8Num8z0"/>
    <w:qFormat/>
    <w:rPr>
      <w:rFonts w:ascii="Times New Roman" w:hAnsi="Times New Roman" w:eastAsia="Times New Roman" w:cs="Times New Roman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3">
    <w:name w:val="WW8Num8z3"/>
    <w:qFormat/>
    <w:rPr>
      <w:rFonts w:ascii="Symbol" w:hAnsi="Symbol" w:cs="Symbol"/>
    </w:rPr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>
      <w:rFonts w:ascii="Times New Roman" w:hAnsi="Times New Roman" w:eastAsia="Times New Roman" w:cs="Times New Roman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1z3">
    <w:name w:val="WW8Num11z3"/>
    <w:qFormat/>
    <w:rPr>
      <w:rFonts w:ascii="Symbol" w:hAnsi="Symbol" w:cs="Symbol"/>
    </w:rPr>
  </w:style>
  <w:style w:type="character" w:styleId="WW8Num12z0">
    <w:name w:val="WW8Num12z0"/>
    <w:qFormat/>
    <w:rPr>
      <w:rFonts w:ascii="Times New Roman" w:hAnsi="Times New Roman" w:eastAsia="Times New Roman" w:cs="Times New Roman"/>
    </w:rPr>
  </w:style>
  <w:style w:type="character" w:styleId="WW8Num12z1">
    <w:name w:val="WW8Num12z1"/>
    <w:qFormat/>
    <w:rPr>
      <w:rFonts w:ascii="Courier New" w:hAnsi="Courier New" w:cs="Courier New"/>
    </w:rPr>
  </w:style>
  <w:style w:type="character" w:styleId="WW8Num12z2">
    <w:name w:val="WW8Num12z2"/>
    <w:qFormat/>
    <w:rPr>
      <w:rFonts w:ascii="Wingdings" w:hAnsi="Wingdings" w:cs="Wingdings"/>
    </w:rPr>
  </w:style>
  <w:style w:type="character" w:styleId="WW8Num12z3">
    <w:name w:val="WW8Num12z3"/>
    <w:qFormat/>
    <w:rPr>
      <w:rFonts w:ascii="Symbol" w:hAnsi="Symbol" w:cs="Symbol"/>
    </w:rPr>
  </w:style>
  <w:style w:type="character" w:styleId="WW8Num13z0">
    <w:name w:val="WW8Num13z0"/>
    <w:qFormat/>
    <w:rPr>
      <w:rFonts w:ascii="Times New Roman" w:hAnsi="Times New Roman" w:eastAsia="Times New Roman" w:cs="Times New Roman"/>
    </w:rPr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3z2">
    <w:name w:val="WW8Num13z2"/>
    <w:qFormat/>
    <w:rPr>
      <w:rFonts w:ascii="Wingdings" w:hAnsi="Wingdings" w:cs="Wingdings"/>
    </w:rPr>
  </w:style>
  <w:style w:type="character" w:styleId="WW8Num13z3">
    <w:name w:val="WW8Num13z3"/>
    <w:qFormat/>
    <w:rPr>
      <w:rFonts w:ascii="Symbol" w:hAnsi="Symbol" w:cs="Symbol"/>
    </w:rPr>
  </w:style>
  <w:style w:type="character" w:styleId="WW8Num14z0">
    <w:name w:val="WW8Num14z0"/>
    <w:qFormat/>
    <w:rPr>
      <w:b/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>
      <w:rFonts w:ascii="Times New Roman" w:hAnsi="Times New Roman" w:eastAsia="Times New Roman" w:cs="Times New Roman"/>
    </w:rPr>
  </w:style>
  <w:style w:type="character" w:styleId="WW8Num15z1">
    <w:name w:val="WW8Num15z1"/>
    <w:qFormat/>
    <w:rPr>
      <w:rFonts w:ascii="Courier New" w:hAnsi="Courier New" w:cs="Courier New"/>
    </w:rPr>
  </w:style>
  <w:style w:type="character" w:styleId="WW8Num15z2">
    <w:name w:val="WW8Num15z2"/>
    <w:qFormat/>
    <w:rPr>
      <w:rFonts w:ascii="Wingdings" w:hAnsi="Wingdings" w:cs="Wingdings"/>
    </w:rPr>
  </w:style>
  <w:style w:type="character" w:styleId="WW8Num15z3">
    <w:name w:val="WW8Num15z3"/>
    <w:qFormat/>
    <w:rPr>
      <w:rFonts w:ascii="Symbol" w:hAnsi="Symbol" w:cs="Symbol"/>
    </w:rPr>
  </w:style>
  <w:style w:type="character" w:styleId="WW8Num16z0">
    <w:name w:val="WW8Num16z0"/>
    <w:qFormat/>
    <w:rPr>
      <w:rFonts w:ascii="Times New Roman" w:hAnsi="Times New Roman" w:eastAsia="Times New Roman" w:cs="Times New Roman"/>
    </w:rPr>
  </w:style>
  <w:style w:type="character" w:styleId="WW8Num16z1">
    <w:name w:val="WW8Num16z1"/>
    <w:qFormat/>
    <w:rPr>
      <w:rFonts w:ascii="Courier New" w:hAnsi="Courier New" w:cs="Courier New"/>
    </w:rPr>
  </w:style>
  <w:style w:type="character" w:styleId="WW8Num16z2">
    <w:name w:val="WW8Num16z2"/>
    <w:qFormat/>
    <w:rPr>
      <w:rFonts w:ascii="Wingdings" w:hAnsi="Wingdings" w:cs="Wingdings"/>
    </w:rPr>
  </w:style>
  <w:style w:type="character" w:styleId="WW8Num16z3">
    <w:name w:val="WW8Num16z3"/>
    <w:qFormat/>
    <w:rPr>
      <w:rFonts w:ascii="Symbol" w:hAnsi="Symbol" w:cs="Symbol"/>
    </w:rPr>
  </w:style>
  <w:style w:type="character" w:styleId="WW8Num17z0">
    <w:name w:val="WW8Num17z0"/>
    <w:qFormat/>
    <w:rPr>
      <w:rFonts w:ascii="Times New Roman" w:hAnsi="Times New Roman" w:eastAsia="Times New Roman" w:cs="Times New Roman"/>
    </w:rPr>
  </w:style>
  <w:style w:type="character" w:styleId="WW8Num17z1">
    <w:name w:val="WW8Num17z1"/>
    <w:qFormat/>
    <w:rPr>
      <w:rFonts w:ascii="Courier New" w:hAnsi="Courier New" w:cs="Courier New"/>
    </w:rPr>
  </w:style>
  <w:style w:type="character" w:styleId="WW8Num17z2">
    <w:name w:val="WW8Num17z2"/>
    <w:qFormat/>
    <w:rPr>
      <w:rFonts w:ascii="Wingdings" w:hAnsi="Wingdings" w:cs="Wingdings"/>
    </w:rPr>
  </w:style>
  <w:style w:type="character" w:styleId="WW8Num17z3">
    <w:name w:val="WW8Num17z3"/>
    <w:qFormat/>
    <w:rPr>
      <w:rFonts w:ascii="Symbol" w:hAnsi="Symbol" w:cs="Symbol"/>
    </w:rPr>
  </w:style>
  <w:style w:type="character" w:styleId="Style12">
    <w:name w:val="Основной шрифт абзаца"/>
    <w:qFormat/>
    <w:rPr/>
  </w:style>
  <w:style w:type="character" w:styleId="Style13">
    <w:name w:val="Номер страницы"/>
    <w:basedOn w:val="Style12"/>
    <w:rPr/>
  </w:style>
  <w:style w:type="character" w:styleId="Style14">
    <w:name w:val="Текст выноски Знак"/>
    <w:qFormat/>
    <w:rPr>
      <w:rFonts w:ascii="Tahoma" w:hAnsi="Tahoma" w:cs="Tahoma"/>
      <w:sz w:val="16"/>
      <w:szCs w:val="16"/>
    </w:rPr>
  </w:style>
  <w:style w:type="character" w:styleId="21">
    <w:name w:val="Заголовок 2 Знак"/>
    <w:qFormat/>
    <w:rPr>
      <w:rFonts w:ascii="Arial" w:hAnsi="Arial" w:cs="Arial"/>
      <w:sz w:val="24"/>
      <w:szCs w:val="24"/>
    </w:rPr>
  </w:style>
  <w:style w:type="character" w:styleId="11">
    <w:name w:val="Заголовок 1 Знак"/>
    <w:qFormat/>
    <w:rPr>
      <w:rFonts w:ascii="Cambria" w:hAnsi="Cambria" w:eastAsia="Times New Roman" w:cs="Times New Roman"/>
      <w:b/>
      <w:bCs/>
      <w:kern w:val="2"/>
      <w:sz w:val="32"/>
      <w:szCs w:val="32"/>
    </w:rPr>
  </w:style>
  <w:style w:type="character" w:styleId="Style15">
    <w:name w:val="Знак примечания"/>
    <w:qFormat/>
    <w:rPr>
      <w:sz w:val="16"/>
      <w:szCs w:val="16"/>
    </w:rPr>
  </w:style>
  <w:style w:type="character" w:styleId="Style16">
    <w:name w:val="Текст примечания Знак"/>
    <w:basedOn w:val="Style12"/>
    <w:qFormat/>
    <w:rPr/>
  </w:style>
  <w:style w:type="character" w:styleId="Style17">
    <w:name w:val="Тема примечания Знак"/>
    <w:qFormat/>
    <w:rPr>
      <w:b/>
      <w:bCs/>
    </w:rPr>
  </w:style>
  <w:style w:type="character" w:styleId="Style18">
    <w:name w:val="Текст концевой сноски Знак"/>
    <w:basedOn w:val="Style12"/>
    <w:qFormat/>
    <w:rPr/>
  </w:style>
  <w:style w:type="character" w:styleId="Style19">
    <w:name w:val="Символ концевой сноски"/>
    <w:qFormat/>
    <w:rPr>
      <w:vertAlign w:val="superscript"/>
    </w:rPr>
  </w:style>
  <w:style w:type="character" w:styleId="Style20">
    <w:name w:val="Символ сноски"/>
    <w:qFormat/>
    <w:rPr>
      <w:vertAlign w:val="superscript"/>
    </w:rPr>
  </w:style>
  <w:style w:type="character" w:styleId="22">
    <w:name w:val="Основной текст с отступом 2 Знак"/>
    <w:qFormat/>
    <w:rPr>
      <w:sz w:val="28"/>
    </w:rPr>
  </w:style>
  <w:style w:type="character" w:styleId="Style21">
    <w:name w:val="Выделение"/>
    <w:qFormat/>
    <w:rPr>
      <w:i/>
      <w:iCs/>
    </w:rPr>
  </w:style>
  <w:style w:type="paragraph" w:styleId="Style22">
    <w:name w:val="Заголовок"/>
    <w:basedOn w:val="Normal"/>
    <w:next w:val="Style23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3">
    <w:name w:val="Body Text"/>
    <w:basedOn w:val="Normal"/>
    <w:pPr>
      <w:spacing w:lineRule="auto" w:line="276" w:before="0" w:after="140"/>
    </w:pPr>
    <w:rPr/>
  </w:style>
  <w:style w:type="paragraph" w:styleId="Style24">
    <w:name w:val="List"/>
    <w:basedOn w:val="Style23"/>
    <w:pPr/>
    <w:rPr>
      <w:rFonts w:cs="Mangal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cs="Mangal"/>
    </w:rPr>
  </w:style>
  <w:style w:type="paragraph" w:styleId="3">
    <w:name w:val="Основной текст с отступом 3"/>
    <w:basedOn w:val="Normal"/>
    <w:qFormat/>
    <w:pPr>
      <w:ind w:firstLine="709"/>
      <w:jc w:val="both"/>
    </w:pPr>
    <w:rPr>
      <w:sz w:val="28"/>
    </w:rPr>
  </w:style>
  <w:style w:type="paragraph" w:styleId="23">
    <w:name w:val="Основной текст с отступом 2"/>
    <w:basedOn w:val="Normal"/>
    <w:qFormat/>
    <w:pPr>
      <w:spacing w:lineRule="auto" w:line="360"/>
      <w:ind w:left="-360" w:firstLine="1066"/>
      <w:jc w:val="both"/>
    </w:pPr>
    <w:rPr>
      <w:sz w:val="28"/>
    </w:rPr>
  </w:style>
  <w:style w:type="paragraph" w:styleId="Style27">
    <w:name w:val="Footnote Text"/>
    <w:basedOn w:val="Normal"/>
    <w:pPr/>
    <w:rPr/>
  </w:style>
  <w:style w:type="paragraph" w:styleId="Style28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29">
    <w:name w:val="Footer"/>
    <w:basedOn w:val="Normal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Style30">
    <w:name w:val="Header"/>
    <w:basedOn w:val="Normal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Style31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32">
    <w:name w:val="Прижатый влево"/>
    <w:basedOn w:val="Normal"/>
    <w:next w:val="Normal"/>
    <w:qFormat/>
    <w:pPr>
      <w:widowControl w:val="false"/>
      <w:autoSpaceDE w:val="false"/>
    </w:pPr>
    <w:rPr>
      <w:rFonts w:ascii="Arial" w:hAnsi="Arial" w:eastAsia="Times New Roman" w:cs="Arial"/>
      <w:sz w:val="24"/>
      <w:szCs w:val="24"/>
    </w:rPr>
  </w:style>
  <w:style w:type="paragraph" w:styleId="Style33">
    <w:name w:val="Нормальный (таблица)"/>
    <w:basedOn w:val="Normal"/>
    <w:next w:val="Normal"/>
    <w:qFormat/>
    <w:pPr>
      <w:widowControl w:val="false"/>
      <w:autoSpaceDE w:val="false"/>
      <w:jc w:val="both"/>
    </w:pPr>
    <w:rPr>
      <w:rFonts w:ascii="Arial" w:hAnsi="Arial" w:eastAsia="Times New Roman" w:cs="Arial"/>
      <w:sz w:val="24"/>
      <w:szCs w:val="24"/>
    </w:rPr>
  </w:style>
  <w:style w:type="paragraph" w:styleId="Style34">
    <w:name w:val="Текст примечания"/>
    <w:basedOn w:val="Normal"/>
    <w:qFormat/>
    <w:pPr/>
    <w:rPr/>
  </w:style>
  <w:style w:type="paragraph" w:styleId="Style35">
    <w:name w:val="Тема примечания"/>
    <w:basedOn w:val="Style34"/>
    <w:next w:val="Style34"/>
    <w:qFormat/>
    <w:pPr/>
    <w:rPr>
      <w:b/>
      <w:bCs/>
    </w:rPr>
  </w:style>
  <w:style w:type="paragraph" w:styleId="Style36">
    <w:name w:val="Endnote Text"/>
    <w:basedOn w:val="Normal"/>
    <w:pPr/>
    <w:rPr/>
  </w:style>
  <w:style w:type="paragraph" w:styleId="Style37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597</TotalTime>
  <Application>LibreOffice/6.4.1.2$Windows_x86 LibreOffice_project/4d224e95b98b138af42a64d84056446d09082932</Application>
  <Pages>12</Pages>
  <Words>1900</Words>
  <Characters>14759</Characters>
  <CharactersWithSpaces>16596</CharactersWithSpaces>
  <Paragraphs>129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2019-02-20T11:58:00Z</dcterms:created>
  <dc:creator>Aboldyr@minfin.ru</dc:creator>
  <dc:description/>
  <cp:keywords/>
  <dc:language>ru-RU</dc:language>
  <cp:lastModifiedBy>Администратор</cp:lastModifiedBy>
  <cp:lastPrinted>2020-03-12T15:03:00Z</cp:lastPrinted>
  <dcterms:modified xsi:type="dcterms:W3CDTF">2020-03-12T14:54:00Z</dcterms:modified>
  <cp:revision>99</cp:revision>
  <dc:subject/>
  <dc:title>ПОЯСНИТЕЛЬНАЯ ЗАПИСКА</dc:title>
</cp:coreProperties>
</file>