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  <w:lang w:val="ru-RU" w:eastAsia="ru-RU"/>
        </w:rPr>
        <w:drawing>
          <wp:inline distT="0" distB="0" distL="0" distR="0">
            <wp:extent cx="666115" cy="6375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eastAsia="Arial Unicode MS" w:cs="Arial"/>
          <w:b/>
          <w:b/>
          <w:kern w:val="2"/>
          <w:sz w:val="32"/>
          <w:szCs w:val="32"/>
        </w:rPr>
      </w:pPr>
      <w:r>
        <w:rPr>
          <w:rFonts w:eastAsia="Arial Unicode MS" w:cs="Arial" w:ascii="Arial" w:hAnsi="Arial"/>
          <w:b/>
          <w:sz w:val="32"/>
          <w:szCs w:val="32"/>
        </w:rPr>
        <w:t>АДМИНИСТРАЦИЯ СТАРОРУДКИНСКОГО СЕЛЬСОВЕТА ШАРАНГСКОГО МУНИЦИПАЛЬНОГО РАЙОНА НИЖЕГОРОДСКОЙ ОБЛАСТИ</w:t>
      </w:r>
    </w:p>
    <w:p>
      <w:pPr>
        <w:pStyle w:val="Normal"/>
        <w:ind w:firstLine="567"/>
        <w:jc w:val="center"/>
        <w:rPr>
          <w:rFonts w:ascii="Arial" w:hAnsi="Arial" w:eastAsia="Arial Unicode MS" w:cs="Arial"/>
          <w:kern w:val="2"/>
          <w:szCs w:val="32"/>
        </w:rPr>
      </w:pPr>
      <w:r>
        <w:rPr>
          <w:rFonts w:eastAsia="Arial Unicode MS" w:cs="Arial" w:ascii="Arial" w:hAnsi="Arial"/>
          <w:b/>
          <w:kern w:val="2"/>
          <w:sz w:val="32"/>
          <w:szCs w:val="32"/>
        </w:rPr>
        <w:t>ПОСТАНОВЛЕНИЕ</w:t>
      </w:r>
    </w:p>
    <w:p>
      <w:pPr>
        <w:pStyle w:val="Normal"/>
        <w:rPr>
          <w:rFonts w:ascii="Arial" w:hAnsi="Arial" w:eastAsia="Arial Unicode MS" w:cs="Arial"/>
          <w:kern w:val="2"/>
          <w:szCs w:val="32"/>
        </w:rPr>
      </w:pPr>
      <w:r>
        <w:rPr>
          <w:rFonts w:eastAsia="Arial Unicode MS" w:cs="Arial" w:ascii="Arial" w:hAnsi="Arial"/>
          <w:kern w:val="2"/>
          <w:szCs w:val="32"/>
        </w:rPr>
        <w:t>02.11.2020</w:t>
        <w:tab/>
        <w:tab/>
        <w:tab/>
        <w:tab/>
        <w:tab/>
        <w:tab/>
        <w:tab/>
        <w:tab/>
        <w:tab/>
        <w:t>№50</w:t>
      </w:r>
    </w:p>
    <w:p>
      <w:pPr>
        <w:pStyle w:val="Normal"/>
        <w:ind w:firstLine="567"/>
        <w:jc w:val="center"/>
        <w:rPr/>
      </w:pPr>
      <w:r>
        <w:rPr>
          <w:rFonts w:eastAsia="Arial Unicode MS" w:cs="Arial" w:ascii="Arial" w:hAnsi="Arial"/>
          <w:b/>
          <w:kern w:val="2"/>
          <w:sz w:val="32"/>
          <w:szCs w:val="32"/>
        </w:rPr>
        <w:t>Об утверждении среднесрочного финансового плана Старорудкинского сельсовета на 2021-2023 годы</w:t>
      </w:r>
    </w:p>
    <w:p>
      <w:pPr>
        <w:pStyle w:val="Normal"/>
        <w:ind w:firstLine="567"/>
        <w:jc w:val="both"/>
        <w:rPr>
          <w:rFonts w:ascii="Arial" w:hAnsi="Arial" w:eastAsia="Arial Unicode MS" w:cs="Arial"/>
          <w:b/>
          <w:b/>
          <w:kern w:val="2"/>
          <w:sz w:val="32"/>
          <w:szCs w:val="32"/>
        </w:rPr>
      </w:pPr>
      <w:r>
        <w:rPr>
          <w:rFonts w:eastAsia="Arial Unicode MS" w:cs="Arial" w:ascii="Arial" w:hAnsi="Arial"/>
          <w:b/>
          <w:kern w:val="2"/>
          <w:sz w:val="32"/>
          <w:szCs w:val="32"/>
        </w:rPr>
      </w:r>
    </w:p>
    <w:p>
      <w:pPr>
        <w:pStyle w:val="Normal"/>
        <w:ind w:firstLine="567"/>
        <w:jc w:val="both"/>
        <w:rPr>
          <w:rFonts w:ascii="Arial" w:hAnsi="Arial" w:eastAsia="Arial Unicode MS" w:cs="Arial"/>
          <w:kern w:val="2"/>
          <w:szCs w:val="32"/>
        </w:rPr>
      </w:pPr>
      <w:r>
        <w:rPr>
          <w:rFonts w:eastAsia="Arial Unicode MS" w:cs="Arial" w:ascii="Arial" w:hAnsi="Arial"/>
          <w:kern w:val="2"/>
          <w:szCs w:val="32"/>
        </w:rPr>
        <w:t>В соответствии со статьей 174 Бюджетного кодекса Российской Федерации:</w:t>
      </w:r>
    </w:p>
    <w:p>
      <w:pPr>
        <w:pStyle w:val="Normal"/>
        <w:ind w:firstLine="567"/>
        <w:jc w:val="both"/>
        <w:rPr/>
      </w:pPr>
      <w:r>
        <w:rPr>
          <w:rFonts w:eastAsia="Arial Unicode MS" w:cs="Arial" w:ascii="Arial" w:hAnsi="Arial"/>
          <w:kern w:val="2"/>
          <w:szCs w:val="32"/>
        </w:rPr>
        <w:t>Утвердить прилагаемый среднесрочный финансовый план Старорудкинского сельсовета на 2021-2023 годы.</w:t>
      </w:r>
    </w:p>
    <w:p>
      <w:pPr>
        <w:pStyle w:val="Normal"/>
        <w:ind w:firstLine="567"/>
        <w:jc w:val="both"/>
        <w:rPr>
          <w:rFonts w:ascii="Arial" w:hAnsi="Arial" w:eastAsia="Arial Unicode MS" w:cs="Arial"/>
          <w:kern w:val="2"/>
          <w:szCs w:val="32"/>
        </w:rPr>
      </w:pPr>
      <w:r>
        <w:rPr>
          <w:rFonts w:eastAsia="Arial Unicode MS" w:cs="Arial" w:ascii="Arial" w:hAnsi="Arial"/>
          <w:kern w:val="2"/>
          <w:szCs w:val="32"/>
        </w:rPr>
      </w:r>
    </w:p>
    <w:p>
      <w:pPr>
        <w:pStyle w:val="Normal"/>
        <w:ind w:firstLine="567"/>
        <w:jc w:val="both"/>
        <w:rPr>
          <w:rFonts w:ascii="Arial" w:hAnsi="Arial" w:eastAsia="Arial Unicode MS" w:cs="Arial"/>
          <w:kern w:val="2"/>
          <w:szCs w:val="32"/>
        </w:rPr>
      </w:pPr>
      <w:r>
        <w:rPr>
          <w:rFonts w:eastAsia="Arial Unicode MS" w:cs="Arial" w:ascii="Arial" w:hAnsi="Arial"/>
          <w:kern w:val="2"/>
          <w:szCs w:val="32"/>
        </w:rPr>
      </w:r>
    </w:p>
    <w:p>
      <w:pPr>
        <w:pStyle w:val="Normal"/>
        <w:ind w:firstLine="567"/>
        <w:jc w:val="both"/>
        <w:rPr>
          <w:rFonts w:ascii="Arial" w:hAnsi="Arial" w:eastAsia="Arial Unicode MS" w:cs="Arial"/>
          <w:kern w:val="2"/>
          <w:szCs w:val="32"/>
        </w:rPr>
      </w:pPr>
      <w:r>
        <w:rPr>
          <w:rFonts w:eastAsia="Arial Unicode MS" w:cs="Arial" w:ascii="Arial" w:hAnsi="Arial"/>
          <w:kern w:val="2"/>
          <w:szCs w:val="32"/>
        </w:rPr>
        <w:t>Глава администрации</w:t>
        <w:tab/>
        <w:tab/>
        <w:tab/>
        <w:tab/>
        <w:tab/>
        <w:tab/>
        <w:tab/>
        <w:t>А.В.Лежнина</w:t>
      </w:r>
      <w:r>
        <w:br w:type="page"/>
      </w:r>
    </w:p>
    <w:p>
      <w:pPr>
        <w:pStyle w:val="Normal"/>
        <w:ind w:firstLine="567"/>
        <w:jc w:val="right"/>
        <w:rPr>
          <w:rFonts w:ascii="Arial" w:hAnsi="Arial" w:eastAsia="Arial Unicode MS" w:cs="Arial"/>
          <w:b/>
          <w:b/>
          <w:kern w:val="2"/>
          <w:sz w:val="32"/>
          <w:szCs w:val="32"/>
        </w:rPr>
      </w:pPr>
      <w:r>
        <w:rPr>
          <w:rFonts w:eastAsia="Arial Unicode MS" w:cs="Arial" w:ascii="Arial" w:hAnsi="Arial"/>
          <w:b/>
          <w:kern w:val="2"/>
          <w:sz w:val="32"/>
          <w:szCs w:val="32"/>
        </w:rPr>
        <w:t>Приложение1</w:t>
      </w:r>
    </w:p>
    <w:p>
      <w:pPr>
        <w:pStyle w:val="Normal"/>
        <w:ind w:firstLine="567"/>
        <w:jc w:val="right"/>
        <w:rPr/>
      </w:pPr>
      <w:r>
        <w:rPr>
          <w:rFonts w:eastAsia="Arial Unicode MS" w:cs="Arial" w:ascii="Arial" w:hAnsi="Arial"/>
          <w:kern w:val="2"/>
          <w:szCs w:val="32"/>
        </w:rPr>
        <w:t>к постановлению администрации</w:t>
      </w:r>
    </w:p>
    <w:p>
      <w:pPr>
        <w:pStyle w:val="Normal"/>
        <w:ind w:firstLine="567"/>
        <w:jc w:val="right"/>
        <w:rPr>
          <w:rFonts w:ascii="Arial" w:hAnsi="Arial" w:eastAsia="Arial Unicode MS" w:cs="Arial"/>
          <w:kern w:val="2"/>
          <w:szCs w:val="32"/>
        </w:rPr>
      </w:pPr>
      <w:r>
        <w:rPr>
          <w:rFonts w:eastAsia="Arial Unicode MS" w:cs="Arial" w:ascii="Arial" w:hAnsi="Arial"/>
          <w:kern w:val="2"/>
          <w:szCs w:val="32"/>
        </w:rPr>
        <w:t>Старорудкинского сельсовета</w:t>
      </w:r>
    </w:p>
    <w:p>
      <w:pPr>
        <w:pStyle w:val="Normal"/>
        <w:ind w:firstLine="567"/>
        <w:jc w:val="right"/>
        <w:rPr>
          <w:rFonts w:ascii="Arial" w:hAnsi="Arial" w:eastAsia="Arial Unicode MS" w:cs="Arial"/>
          <w:kern w:val="2"/>
          <w:szCs w:val="32"/>
        </w:rPr>
      </w:pPr>
      <w:r>
        <w:rPr>
          <w:rFonts w:eastAsia="Arial Unicode MS" w:cs="Arial" w:ascii="Arial" w:hAnsi="Arial"/>
          <w:kern w:val="2"/>
          <w:szCs w:val="32"/>
        </w:rPr>
        <w:t>От  02.11.2020г. №50</w:t>
      </w:r>
    </w:p>
    <w:p>
      <w:pPr>
        <w:pStyle w:val="Normal"/>
        <w:ind w:firstLine="567"/>
        <w:jc w:val="right"/>
        <w:rPr>
          <w:rFonts w:ascii="Arial" w:hAnsi="Arial" w:eastAsia="Arial Unicode MS" w:cs="Arial"/>
          <w:kern w:val="2"/>
          <w:szCs w:val="32"/>
        </w:rPr>
      </w:pPr>
      <w:r>
        <w:rPr>
          <w:rFonts w:eastAsia="Arial Unicode MS" w:cs="Arial" w:ascii="Arial" w:hAnsi="Arial"/>
          <w:kern w:val="2"/>
          <w:szCs w:val="32"/>
        </w:rPr>
      </w:r>
    </w:p>
    <w:p>
      <w:pPr>
        <w:pStyle w:val="Normal"/>
        <w:ind w:firstLine="567"/>
        <w:jc w:val="center"/>
        <w:rPr/>
      </w:pPr>
      <w:r>
        <w:rPr>
          <w:rFonts w:eastAsia="Arial Unicode MS" w:cs="Arial" w:ascii="Arial" w:hAnsi="Arial"/>
          <w:b/>
          <w:kern w:val="2"/>
          <w:szCs w:val="32"/>
        </w:rPr>
        <w:t>Среднесрочный финансовый план Шарангского района на 2021-2023годы</w:t>
      </w:r>
    </w:p>
    <w:p>
      <w:pPr>
        <w:pStyle w:val="Normal"/>
        <w:ind w:firstLine="567"/>
        <w:jc w:val="center"/>
        <w:rPr>
          <w:rFonts w:ascii="Arial" w:hAnsi="Arial" w:eastAsia="Arial Unicode MS" w:cs="Arial"/>
          <w:b/>
          <w:b/>
          <w:kern w:val="2"/>
          <w:szCs w:val="32"/>
        </w:rPr>
      </w:pPr>
      <w:r>
        <w:rPr>
          <w:rFonts w:eastAsia="Arial Unicode MS" w:cs="Arial" w:ascii="Arial" w:hAnsi="Arial"/>
          <w:b/>
          <w:kern w:val="2"/>
          <w:szCs w:val="32"/>
        </w:rPr>
      </w:r>
    </w:p>
    <w:p>
      <w:pPr>
        <w:pStyle w:val="Normal"/>
        <w:ind w:firstLine="567"/>
        <w:jc w:val="center"/>
        <w:rPr/>
      </w:pPr>
      <w:r>
        <w:rPr>
          <w:rFonts w:eastAsia="Arial Unicode MS" w:cs="Arial" w:ascii="Arial" w:hAnsi="Arial"/>
          <w:b/>
          <w:kern w:val="2"/>
          <w:szCs w:val="32"/>
        </w:rPr>
        <w:t>Основные параметры состояния бюджетной системы Старорудкинского сельсовета на 2021-2023годы</w:t>
      </w:r>
    </w:p>
    <w:p>
      <w:pPr>
        <w:pStyle w:val="Normal"/>
        <w:ind w:firstLine="567"/>
        <w:jc w:val="center"/>
        <w:rPr>
          <w:rFonts w:ascii="Arial" w:hAnsi="Arial" w:eastAsia="Arial Unicode MS" w:cs="Arial"/>
          <w:b/>
          <w:b/>
          <w:kern w:val="2"/>
          <w:szCs w:val="32"/>
        </w:rPr>
      </w:pPr>
      <w:r>
        <w:rPr>
          <w:rFonts w:eastAsia="Arial Unicode MS" w:cs="Arial" w:ascii="Arial" w:hAnsi="Arial"/>
          <w:b/>
          <w:kern w:val="2"/>
          <w:szCs w:val="32"/>
        </w:rPr>
      </w:r>
    </w:p>
    <w:p>
      <w:pPr>
        <w:pStyle w:val="Normal"/>
        <w:ind w:firstLine="567"/>
        <w:jc w:val="right"/>
        <w:rPr>
          <w:rFonts w:cs="Arial"/>
        </w:rPr>
      </w:pPr>
      <w:r>
        <w:rPr>
          <w:rFonts w:eastAsia="Arial Unicode MS" w:cs="Arial" w:ascii="Arial" w:hAnsi="Arial"/>
          <w:kern w:val="2"/>
          <w:szCs w:val="32"/>
        </w:rPr>
        <w:t>тыс.руб</w:t>
      </w:r>
    </w:p>
    <w:tbl>
      <w:tblPr>
        <w:tblW w:w="9863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1552"/>
        <w:gridCol w:w="1577"/>
        <w:gridCol w:w="1550"/>
        <w:gridCol w:w="1564"/>
        <w:gridCol w:w="7"/>
        <w:gridCol w:w="1560"/>
      </w:tblGrid>
      <w:tr>
        <w:trPr>
          <w:trHeight w:val="300" w:hRule="atLeast"/>
        </w:trPr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Показатели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2019 год</w:t>
            </w:r>
          </w:p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(отчет)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2020 год</w:t>
            </w:r>
          </w:p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(оценка)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2021 год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Плановый период</w:t>
            </w:r>
          </w:p>
        </w:tc>
      </w:tr>
      <w:tr>
        <w:trPr>
          <w:trHeight w:val="255" w:hRule="atLeast"/>
        </w:trPr>
        <w:tc>
          <w:tcPr>
            <w:tcW w:w="2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eastAsia="Arial Unicode MS" w:cs="Arial"/>
                <w:b/>
                <w:b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b/>
                <w:kern w:val="2"/>
                <w:szCs w:val="32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</w:r>
          </w:p>
        </w:tc>
        <w:tc>
          <w:tcPr>
            <w:tcW w:w="1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</w:r>
          </w:p>
        </w:tc>
        <w:tc>
          <w:tcPr>
            <w:tcW w:w="1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2022год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2023 год</w:t>
            </w:r>
          </w:p>
        </w:tc>
      </w:tr>
      <w:tr>
        <w:trPr/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Доходы в том числе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9093,9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8064,4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7752,2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7817,4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7916,4</w:t>
            </w:r>
          </w:p>
        </w:tc>
      </w:tr>
      <w:tr>
        <w:trPr/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Налоговые и неналоговые доходы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1687,4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1249,7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1917,9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1934,0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1958,5</w:t>
            </w:r>
          </w:p>
        </w:tc>
      </w:tr>
      <w:tr>
        <w:trPr/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Безвозмездные поступления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7406,5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6814,7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5834,3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5883,4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5957,9</w:t>
            </w:r>
          </w:p>
        </w:tc>
      </w:tr>
      <w:tr>
        <w:trPr/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Расходы, всего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9232,5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7778,4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7752,2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7817,4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7916,4</w:t>
            </w:r>
          </w:p>
        </w:tc>
      </w:tr>
      <w:tr>
        <w:trPr/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Из них</w:t>
            </w:r>
          </w:p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-расходы на обслуживание муниципального долга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</w:r>
          </w:p>
        </w:tc>
      </w:tr>
      <w:tr>
        <w:trPr/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-межбюджетные трансферты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3658,2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4176,2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2402,4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2422,6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2453,3</w:t>
            </w:r>
          </w:p>
        </w:tc>
      </w:tr>
      <w:tr>
        <w:trPr/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-условно утверждаемые расходы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</w:r>
          </w:p>
        </w:tc>
      </w:tr>
      <w:tr>
        <w:trPr/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b/>
                <w:b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b/>
                <w:kern w:val="2"/>
                <w:szCs w:val="32"/>
              </w:rPr>
              <w:t>Дефицит(-), профицит(+)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-138,6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286,0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0,0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 Unicode MS" w:cs="Arial"/>
                <w:kern w:val="2"/>
                <w:szCs w:val="32"/>
              </w:rPr>
            </w:pPr>
            <w:r>
              <w:rPr>
                <w:rFonts w:eastAsia="Arial Unicode MS" w:cs="Arial" w:ascii="Arial" w:hAnsi="Arial"/>
                <w:kern w:val="2"/>
                <w:szCs w:val="32"/>
              </w:rPr>
              <w:t xml:space="preserve">0,0 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Приложение2</w:t>
      </w:r>
    </w:p>
    <w:p>
      <w:pPr>
        <w:pStyle w:val="Normal"/>
        <w:jc w:val="right"/>
        <w:rPr/>
      </w:pPr>
      <w:r>
        <w:rPr>
          <w:rFonts w:cs="Arial" w:ascii="Arial" w:hAnsi="Arial"/>
        </w:rPr>
        <w:t>к постановлению администрации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Старорудкинского сельсовета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от 02.11.2020г.№50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Распределение бюджетных ассигнований по главным распорядителям средств бюджета Старорудкинского сельсовета на 2021-2023 годы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тыс.руб.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3705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5"/>
        <w:gridCol w:w="1000"/>
        <w:gridCol w:w="1054"/>
        <w:gridCol w:w="1498"/>
        <w:gridCol w:w="1551"/>
        <w:gridCol w:w="1357"/>
        <w:gridCol w:w="1190"/>
        <w:gridCol w:w="1260"/>
        <w:gridCol w:w="1270"/>
      </w:tblGrid>
      <w:tr>
        <w:trPr>
          <w:trHeight w:val="300" w:hRule="atLeast"/>
        </w:trPr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Наименование</w:t>
            </w:r>
          </w:p>
        </w:tc>
        <w:tc>
          <w:tcPr>
            <w:tcW w:w="64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2021 год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Плановый период</w:t>
            </w:r>
          </w:p>
        </w:tc>
      </w:tr>
      <w:tr>
        <w:trPr>
          <w:trHeight w:val="900" w:hRule="atLeast"/>
        </w:trPr>
        <w:tc>
          <w:tcPr>
            <w:tcW w:w="3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Ведом ство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раздел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подраздел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Целевая статья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Вид расходов</w:t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2022 год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5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6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</w:tr>
      <w:tr>
        <w:trPr>
          <w:trHeight w:val="1575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Администрация  Старорудкинского сельсовета Шарангского муниципального района Нижегородской области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487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7752,2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7817,4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7916,4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1422,2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1426,2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1432,1</w:t>
            </w:r>
          </w:p>
        </w:tc>
      </w:tr>
      <w:tr>
        <w:trPr>
          <w:trHeight w:val="252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Функционирование правительства Российской Федерации. высших исполнительных органов государственной власти субъектов Российской Федерации. местных администраций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1321,6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1325,6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1331,5</w:t>
            </w:r>
          </w:p>
        </w:tc>
      </w:tr>
      <w:tr>
        <w:trPr>
          <w:trHeight w:val="315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1321,6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1325,6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1331,5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1321,6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1325,6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1331,5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Содержание аппарата управления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1321,6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1325,6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1331,5</w:t>
            </w:r>
          </w:p>
        </w:tc>
      </w:tr>
      <w:tr>
        <w:trPr>
          <w:trHeight w:val="945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8880120401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710,1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714,1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720,0</w:t>
            </w:r>
          </w:p>
        </w:tc>
      </w:tr>
      <w:tr>
        <w:trPr>
          <w:trHeight w:val="2835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8880120401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511,1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511,1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511,1</w:t>
            </w:r>
          </w:p>
        </w:tc>
      </w:tr>
      <w:tr>
        <w:trPr>
          <w:trHeight w:val="126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8880120401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199,0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208,9</w:t>
            </w:r>
          </w:p>
        </w:tc>
      </w:tr>
      <w:tr>
        <w:trPr>
          <w:trHeight w:val="189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8880120800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611,5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611,5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611,5</w:t>
            </w:r>
          </w:p>
        </w:tc>
      </w:tr>
      <w:tr>
        <w:trPr>
          <w:trHeight w:val="2835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органами. казенными учреждениями.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8880120800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611,5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611,5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611,5</w:t>
            </w:r>
          </w:p>
        </w:tc>
      </w:tr>
      <w:tr>
        <w:trPr>
          <w:trHeight w:val="315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3.0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Содержание аппарата управления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11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8880107005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Иные бюджетные ассигнования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8880107005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97,6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97,6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97,6</w:t>
            </w:r>
          </w:p>
        </w:tc>
      </w:tr>
      <w:tr>
        <w:trPr>
          <w:trHeight w:val="315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Не программные расходы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97,6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97,6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97,6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97,6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97,6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Содержание аппарата управления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8880193990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94,6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94,6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94,6</w:t>
            </w:r>
          </w:p>
        </w:tc>
      </w:tr>
      <w:tr>
        <w:trPr>
          <w:trHeight w:val="2835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органами. казенными учреждениями.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8880193990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94,6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94,6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94,6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Прочие непрограммные расходы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</w:tr>
      <w:tr>
        <w:trPr>
          <w:trHeight w:val="945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8880692035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8880692035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Национальная оборона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02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68,6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69,3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71,9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02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68,6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69,3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71,9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Муниципальная программа «Управление муниципальными финансами Шарангского муниципального района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02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1400000000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68,6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69,3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71,9</w:t>
            </w:r>
          </w:p>
        </w:tc>
      </w:tr>
      <w:tr>
        <w:trPr>
          <w:trHeight w:val="1463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Cs/>
              </w:rPr>
              <w:t>Подпрограмма «Создание условий для эффективного выполения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02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1420000000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68,6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69,3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71,9</w:t>
            </w:r>
          </w:p>
        </w:tc>
      </w:tr>
      <w:tr>
        <w:trPr>
          <w:trHeight w:val="1463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02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1422000000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68,6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69,3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71,9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/>
            </w:pPr>
            <w:r>
              <w:rPr>
                <w:rFonts w:cs="Arial" w:ascii="Arial" w:hAnsi="Arial"/>
                <w:bCs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02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1422051180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68,6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69,3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71,9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02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1422051180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44,0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44,0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44,0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02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1422051180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25,3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27,9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1363,3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1365,1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1367,7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Защита населения  и территории от чрезвычайных ситуаций,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1363,3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1365,1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1367,7</w:t>
            </w:r>
          </w:p>
        </w:tc>
      </w:tr>
      <w:tr>
        <w:trPr>
          <w:trHeight w:val="276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Муниципальная программа «Защита населения и территорий от чрезвычайных ситуаций,обеспечение пожарной безопасности и безопасности людей на водных объектах Шарангского муниципального района 2021-2025 годы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03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0800000000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1363,3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1365,1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1367,7</w:t>
            </w:r>
          </w:p>
        </w:tc>
      </w:tr>
      <w:tr>
        <w:trPr>
          <w:trHeight w:val="276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03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000000"/>
              </w:rPr>
              <w:t>0820000000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1363,3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1365,1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1367,7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Развитие и совершенствование системы противопожарной защиты территорий и объектов,в том числе поддержание высокой готовности и дооснащение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03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0820200000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1363,3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1365,1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1367,7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Мероприятия по пожарной безопасности объектов и населенных пунктов  Шарангского муниципального района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03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0820203000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15,0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15,0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15,0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Закупка товаров, работ и услуг для обеспечения  государственных и (муниципальных )нужд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03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0820203000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200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15,0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15,0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15,0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Содержание подразделений муниципальной пожарной охраны поселений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03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0820203990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1348,3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1350,1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1352,7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03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0820203990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1260,4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1260,4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1260,4</w:t>
            </w:r>
          </w:p>
        </w:tc>
      </w:tr>
      <w:tr>
        <w:trPr>
          <w:trHeight w:val="985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Содержание подразделений муниципальной пожарной охраны поселений(закупка товаров,работ и услуг для обеспечения государственных(муниципальных)нужд)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03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0820203990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200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87,9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89,7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92,3</w:t>
            </w:r>
          </w:p>
        </w:tc>
      </w:tr>
      <w:tr>
        <w:trPr>
          <w:trHeight w:val="7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 xml:space="preserve">00 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867,1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884,3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909,9</w:t>
            </w:r>
          </w:p>
        </w:tc>
      </w:tr>
      <w:tr>
        <w:trPr>
          <w:trHeight w:val="7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867,1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884,3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909,9</w:t>
            </w:r>
          </w:p>
        </w:tc>
      </w:tr>
      <w:tr>
        <w:trPr>
          <w:trHeight w:val="683" w:hRule="atLeast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на 2021-2025 годы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04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0600000000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867,1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884,3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909,9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04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0620000000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867,1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884,3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909,9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04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0620207080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867,1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884,3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909,9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04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0620207080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200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867,1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884,3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909,9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750,4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765,3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787,4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Жилищное хозяйство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67,6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</w:rPr>
              <w:t xml:space="preserve">    </w:t>
            </w:r>
            <w:r>
              <w:rPr>
                <w:rFonts w:cs="Arial" w:ascii="Arial" w:hAnsi="Arial"/>
                <w:b/>
                <w:bCs/>
                <w:color w:val="000000"/>
              </w:rPr>
              <w:t>68,9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</w:rPr>
              <w:t xml:space="preserve">    </w:t>
            </w:r>
            <w:r>
              <w:rPr>
                <w:rFonts w:cs="Arial" w:ascii="Arial" w:hAnsi="Arial"/>
                <w:b/>
                <w:bCs/>
                <w:color w:val="000000"/>
              </w:rPr>
              <w:t>70,9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Непрограммные расходы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8800000000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67,6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</w:rPr>
              <w:t xml:space="preserve">    </w:t>
            </w:r>
            <w:r>
              <w:rPr>
                <w:rFonts w:cs="Arial" w:ascii="Arial" w:hAnsi="Arial"/>
                <w:b/>
                <w:bCs/>
                <w:color w:val="000000"/>
              </w:rPr>
              <w:t>68,9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</w:rPr>
              <w:t xml:space="preserve">    </w:t>
            </w:r>
            <w:r>
              <w:rPr>
                <w:rFonts w:cs="Arial" w:ascii="Arial" w:hAnsi="Arial"/>
                <w:b/>
                <w:bCs/>
                <w:color w:val="000000"/>
              </w:rPr>
              <w:t>70,9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8880000000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67,6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Cs/>
                <w:color w:val="000000"/>
              </w:rPr>
              <w:t xml:space="preserve">    </w:t>
            </w:r>
            <w:r>
              <w:rPr>
                <w:rFonts w:cs="Arial" w:ascii="Arial" w:hAnsi="Arial"/>
                <w:bCs/>
                <w:color w:val="000000"/>
              </w:rPr>
              <w:t>68,9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Cs/>
                <w:color w:val="000000"/>
              </w:rPr>
              <w:t xml:space="preserve">    </w:t>
            </w:r>
            <w:r>
              <w:rPr>
                <w:rFonts w:cs="Arial" w:ascii="Arial" w:hAnsi="Arial"/>
                <w:bCs/>
                <w:color w:val="000000"/>
              </w:rPr>
              <w:t>70,9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Прочие непрограммные расходы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8880600000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67,6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Cs/>
                <w:color w:val="000000"/>
              </w:rPr>
              <w:t xml:space="preserve">    </w:t>
            </w:r>
            <w:r>
              <w:rPr>
                <w:rFonts w:cs="Arial" w:ascii="Arial" w:hAnsi="Arial"/>
                <w:bCs/>
                <w:color w:val="000000"/>
              </w:rPr>
              <w:t>68,9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Cs/>
                <w:color w:val="000000"/>
              </w:rPr>
              <w:t xml:space="preserve">    </w:t>
            </w:r>
            <w:r>
              <w:rPr>
                <w:rFonts w:cs="Arial" w:ascii="Arial" w:hAnsi="Arial"/>
                <w:bCs/>
                <w:color w:val="000000"/>
              </w:rPr>
              <w:t>70,9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8880603503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67,6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Cs/>
                <w:color w:val="000000"/>
              </w:rPr>
              <w:t xml:space="preserve">    </w:t>
            </w:r>
            <w:r>
              <w:rPr>
                <w:rFonts w:cs="Arial" w:ascii="Arial" w:hAnsi="Arial"/>
                <w:bCs/>
                <w:color w:val="000000"/>
              </w:rPr>
              <w:t>68,9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Cs/>
                <w:color w:val="000000"/>
              </w:rPr>
              <w:t xml:space="preserve">    </w:t>
            </w:r>
            <w:r>
              <w:rPr>
                <w:rFonts w:cs="Arial" w:ascii="Arial" w:hAnsi="Arial"/>
                <w:bCs/>
                <w:color w:val="000000"/>
              </w:rPr>
              <w:t>70,9</w:t>
            </w:r>
          </w:p>
        </w:tc>
      </w:tr>
      <w:tr>
        <w:trPr>
          <w:trHeight w:val="630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8880603503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200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67,6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Cs/>
                <w:color w:val="000000"/>
              </w:rPr>
              <w:t xml:space="preserve">  </w:t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Cs/>
                <w:color w:val="000000"/>
              </w:rPr>
              <w:t xml:space="preserve">   </w:t>
            </w:r>
            <w:r>
              <w:rPr>
                <w:rFonts w:cs="Arial" w:ascii="Arial" w:hAnsi="Arial"/>
                <w:bCs/>
                <w:color w:val="000000"/>
              </w:rPr>
              <w:t>68,9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Cs/>
                <w:color w:val="000000"/>
              </w:rPr>
              <w:t xml:space="preserve">   </w:t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Cs/>
                <w:color w:val="000000"/>
              </w:rPr>
              <w:t xml:space="preserve">   </w:t>
            </w:r>
            <w:r>
              <w:rPr>
                <w:rFonts w:cs="Arial" w:ascii="Arial" w:hAnsi="Arial"/>
                <w:bCs/>
                <w:color w:val="000000"/>
              </w:rPr>
              <w:t>70,9</w:t>
            </w:r>
          </w:p>
        </w:tc>
      </w:tr>
      <w:tr>
        <w:trPr>
          <w:trHeight w:val="356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Благоустройство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682,8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696,4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716,5</w:t>
            </w:r>
          </w:p>
        </w:tc>
      </w:tr>
      <w:tr>
        <w:trPr>
          <w:trHeight w:val="78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Непрограммные расходы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8800000000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682,8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696,4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716,5</w:t>
            </w:r>
          </w:p>
        </w:tc>
      </w:tr>
      <w:tr>
        <w:trPr>
          <w:trHeight w:val="78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682,8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696,4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716,5</w:t>
            </w:r>
          </w:p>
        </w:tc>
      </w:tr>
      <w:tr>
        <w:trPr>
          <w:trHeight w:val="78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Прочие непрограммные расходы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682,8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696,4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716,5</w:t>
            </w:r>
          </w:p>
        </w:tc>
      </w:tr>
      <w:tr>
        <w:trPr>
          <w:trHeight w:val="78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Уличное освещение за счет средств местного бюджета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8880660102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354,0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361,0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371,4</w:t>
            </w:r>
          </w:p>
        </w:tc>
      </w:tr>
      <w:tr>
        <w:trPr>
          <w:trHeight w:val="78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8880660102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354,0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361,0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371,4</w:t>
            </w:r>
          </w:p>
        </w:tc>
      </w:tr>
      <w:tr>
        <w:trPr>
          <w:trHeight w:val="563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8880660503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328,8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335,4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345,1</w:t>
            </w:r>
          </w:p>
        </w:tc>
      </w:tr>
      <w:tr>
        <w:trPr>
          <w:trHeight w:val="563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8880660503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328,8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335,4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345,1</w:t>
            </w:r>
          </w:p>
        </w:tc>
      </w:tr>
      <w:tr>
        <w:trPr>
          <w:trHeight w:val="563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КУЛЬТУРА, КИНЕМАТОГРАФИЯ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08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2402,4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2422,6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2453,3</w:t>
            </w:r>
          </w:p>
        </w:tc>
      </w:tr>
      <w:tr>
        <w:trPr>
          <w:trHeight w:val="563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Культура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08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2402,4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2422,6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2453,3</w:t>
            </w:r>
          </w:p>
        </w:tc>
      </w:tr>
      <w:tr>
        <w:trPr>
          <w:trHeight w:val="563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Непрограммные расходы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08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8800000000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2402,4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2422,6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2453,3</w:t>
            </w:r>
          </w:p>
        </w:tc>
      </w:tr>
      <w:tr>
        <w:trPr>
          <w:trHeight w:val="563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08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2402,4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2422,6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2453,3</w:t>
            </w:r>
          </w:p>
        </w:tc>
      </w:tr>
      <w:tr>
        <w:trPr>
          <w:trHeight w:val="563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Межбюджетные трансферты из бюджетов поселений бюджету муниципального  района и из бюджета муниципального района  бюджетам поселений в соответствии с заключенными  соглашениями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08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8880300000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2402,4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2422,6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2453,3</w:t>
            </w:r>
          </w:p>
        </w:tc>
      </w:tr>
      <w:tr>
        <w:trPr>
          <w:trHeight w:val="2603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08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8880302106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2402,4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2422,6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2453,3</w:t>
            </w:r>
          </w:p>
        </w:tc>
      </w:tr>
      <w:tr>
        <w:trPr>
          <w:trHeight w:val="1064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Межбюджетные трансферты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08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8880302106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2402,4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2422,6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2453,3</w:t>
            </w:r>
          </w:p>
        </w:tc>
      </w:tr>
      <w:tr>
        <w:trPr>
          <w:trHeight w:val="639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СОЦИАЛЬНАЯ ПОЛИТИКА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10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6,0</w:t>
            </w:r>
          </w:p>
        </w:tc>
      </w:tr>
      <w:tr>
        <w:trPr>
          <w:trHeight w:val="639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10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06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6,0</w:t>
            </w:r>
          </w:p>
        </w:tc>
      </w:tr>
      <w:tr>
        <w:trPr>
          <w:trHeight w:val="639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Непрограммные расходы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10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06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8800000000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6,0</w:t>
            </w:r>
          </w:p>
        </w:tc>
      </w:tr>
      <w:tr>
        <w:trPr>
          <w:trHeight w:val="639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Непрограммное направление  деятельности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06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6,0</w:t>
            </w:r>
          </w:p>
        </w:tc>
      </w:tr>
      <w:tr>
        <w:trPr>
          <w:trHeight w:val="639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Прочие непрограммные расходы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06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6,0</w:t>
            </w:r>
          </w:p>
        </w:tc>
      </w:tr>
      <w:tr>
        <w:trPr>
          <w:trHeight w:val="639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06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8880614010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6,0</w:t>
            </w:r>
          </w:p>
        </w:tc>
      </w:tr>
      <w:tr>
        <w:trPr>
          <w:trHeight w:val="639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06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8880614010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6,0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6,0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6,0</w:t>
            </w:r>
          </w:p>
        </w:tc>
      </w:tr>
      <w:tr>
        <w:trPr>
          <w:trHeight w:val="639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872,2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878,6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888,1</w:t>
            </w:r>
          </w:p>
        </w:tc>
      </w:tr>
      <w:tr>
        <w:trPr>
          <w:trHeight w:val="639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Массовый спорт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02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872,2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878,6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888,1</w:t>
            </w:r>
          </w:p>
        </w:tc>
      </w:tr>
      <w:tr>
        <w:trPr>
          <w:trHeight w:val="639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000000"/>
              </w:rPr>
              <w:t>Муниципальная программа «Развитие физической культуры и спорта Шарангского муниципального района на 2020-2024 годы»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02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1500000000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872,2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878,6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888,1</w:t>
            </w:r>
          </w:p>
        </w:tc>
      </w:tr>
      <w:tr>
        <w:trPr>
          <w:trHeight w:val="639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Программа «Развитие физической культуры и массового спорта»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02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1510000000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872,2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878,6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888,1</w:t>
            </w:r>
          </w:p>
        </w:tc>
      </w:tr>
      <w:tr>
        <w:trPr>
          <w:trHeight w:val="639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02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1510200000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872,2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878,6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888,1</w:t>
            </w:r>
          </w:p>
        </w:tc>
      </w:tr>
      <w:tr>
        <w:trPr>
          <w:trHeight w:val="639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02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1510248799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872,2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878,6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888,1</w:t>
            </w:r>
          </w:p>
        </w:tc>
      </w:tr>
      <w:tr>
        <w:trPr>
          <w:trHeight w:val="2633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02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1510248799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551,6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551,6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551,6</w:t>
            </w:r>
          </w:p>
        </w:tc>
      </w:tr>
      <w:tr>
        <w:trPr>
          <w:trHeight w:val="1260" w:hRule="atLeast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1510248799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320,6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327,0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336,5</w:t>
            </w:r>
          </w:p>
        </w:tc>
      </w:tr>
      <w:tr>
        <w:trPr>
          <w:trHeight w:val="557" w:hRule="atLeast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7752,2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7817,4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7916,4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sectPr>
      <w:type w:val="nextPage"/>
      <w:pgSz w:orient="landscape" w:w="16838" w:h="11906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styleId="WW8Num1z0">
    <w:name w:val="WW8Num1z0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jc w:val="center"/>
    </w:pPr>
    <w:rPr>
      <w:b/>
      <w:bCs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Normal">
    <w:name w:val="ConsNormal"/>
    <w:qFormat/>
    <w:pPr>
      <w:widowControl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130</TotalTime>
  <Application>LibreOffice/7.0.3.1$Windows_X86_64 LibreOffice_project/d7547858d014d4cf69878db179d326fc3483e082</Application>
  <Pages>7</Pages>
  <Words>1428</Words>
  <Characters>9577</Characters>
  <CharactersWithSpaces>10336</CharactersWithSpaces>
  <Paragraphs>819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2019-12-03T11:57:00Z</dcterms:created>
  <dc:creator>User</dc:creator>
  <dc:description/>
  <cp:keywords> </cp:keywords>
  <dc:language>ru-RU</dc:language>
  <cp:lastModifiedBy>Специалист</cp:lastModifiedBy>
  <cp:lastPrinted>2016-12-23T11:47:00Z</cp:lastPrinted>
  <dcterms:modified xsi:type="dcterms:W3CDTF">2020-10-06T15:25:00Z</dcterms:modified>
  <cp:revision>13</cp:revision>
  <dc:subject/>
  <dc:title>Таблица 2</dc:title>
</cp:coreProperties>
</file>