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hd w:val="clear" w:color="auto" w:fill="FFFFFF"/>
        <w:bidi w:val="0"/>
        <w:spacing w:lineRule="auto" w:line="240" w:before="0" w:after="0"/>
        <w:ind w:left="0" w:right="0" w:hanging="0"/>
        <w:jc w:val="center"/>
        <w:rPr>
          <w:b/>
          <w:b/>
          <w:bCs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32"/>
          <w:szCs w:val="32"/>
          <w:lang w:eastAsia="ru-RU"/>
        </w:rPr>
        <w:t>Пояснительная записка к проекту бюджета поселения на 2022 год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sz w:val="28"/>
          <w:szCs w:val="28"/>
        </w:rPr>
        <w:t xml:space="preserve">       </w:t>
      </w:r>
      <w:r>
        <w:rPr>
          <w:rFonts w:cs="Times New Roman" w:ascii="Times New Roman" w:hAnsi="Times New Roman"/>
          <w:sz w:val="28"/>
          <w:szCs w:val="28"/>
        </w:rPr>
        <w:t>Формирование проекта бюджета поселения на 2022 год осуществлялось в соответствии с Основными направлениями бюджетной и налоговой политики Роженцовского сельсовета Шарангского муниципального района на 2022 год и на плановый период 2023 и 2024 годов, утвержденными постановлением администрации Роженцовского сельсовета от 29 октября 2021 года № 42.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8"/>
          <w:szCs w:val="28"/>
        </w:rPr>
        <w:t xml:space="preserve">      </w:t>
      </w:r>
      <w:r>
        <w:rPr>
          <w:rFonts w:cs="Times New Roman" w:ascii="Times New Roman" w:hAnsi="Times New Roman"/>
          <w:sz w:val="28"/>
          <w:szCs w:val="28"/>
        </w:rPr>
        <w:t xml:space="preserve">Проект решения сельского совета Роженцовского сельсовета «О бюджете поселения на 2022 год» сформирован </w:t>
      </w:r>
      <w:bookmarkStart w:id="0" w:name="_GoBack"/>
      <w:bookmarkEnd w:id="0"/>
      <w:r>
        <w:rPr>
          <w:rFonts w:cs="Times New Roman" w:ascii="Times New Roman" w:hAnsi="Times New Roman"/>
          <w:sz w:val="28"/>
          <w:szCs w:val="28"/>
        </w:rPr>
        <w:t>в полном соответствии с требованиями Бюджетного кодекса Российской Федерации.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Главной идеологией бюджетной политики традиционно остается улучшение условий жизни населения Роженцовского сельсовета, выполнение социальных обязательств перед гражданами, предоставление качественных государственных услуг.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При формировании бюджета поселения на 2022 год основные приоритеты ставились на сохранение сбалансированности и устойчивости бюджетной системы, безусловное исполнение принятых обязательств, повышение эффективности и результативности бюджетных расходов.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Общий объем доходов бюджета поселения на 2022 год сформирован в объеме 11076,8тыс.руб., расходы на будущий год составят – 11076,8тыс.руб.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Сохраняется социальная направленность бюджета. Формирование расходов осуществлялось на основе пяти муниципальных программ и непрограммных расходов. 34,6% от общего объема расходов составят программные расходы (3833,4тыс.руб.), 65,4% - непрограммные расходы (7243,4тыс.руб.).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  <w:t>ПРОГНОЗИРУЕМЫЕ ДОХОДЫ БЮДЖЕТА ПОСЕЛЕНИЯ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  <w:t>на 2022 год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Доходы бюджета поселения на 2022 год рассчитывались с учетом налогового законодательства, действующего на момент составления проекта бюджета, а также планируемых изменений в федеральное и региональное законодательство по вопросам налогообложения.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Согласно проекта бюджета поселения на 2022 год доходы составят в сумме 11076,8тыс.руб., в целом с увеличением относительно первоначальных параметров на 2021 год на 1408,2тыс.руб. или на 14,6%.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8"/>
          <w:szCs w:val="28"/>
        </w:rPr>
        <w:t xml:space="preserve">Основными доходными источниками являются собственные налоговые и неналоговые доходы, их доля составит 31,4% в общих доходах бюджета поселения. В 2022 году поступление собственных доходов запланировано в сумме 3483,3тыс.руб. с уменьшением на 3,4% к первоначальному бюджету 2021 года. Прогноз </w:t>
      </w:r>
      <w:r>
        <w:rPr>
          <w:rFonts w:cs="Times New Roman" w:ascii="Times New Roman" w:hAnsi="Times New Roman"/>
          <w:bCs/>
          <w:sz w:val="28"/>
          <w:szCs w:val="28"/>
        </w:rPr>
        <w:t>налоговых доходов бюджета поселения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 на 2021 год</w:t>
      </w:r>
      <w:r>
        <w:rPr>
          <w:rFonts w:cs="Times New Roman" w:ascii="Times New Roman" w:hAnsi="Times New Roman"/>
          <w:sz w:val="28"/>
          <w:szCs w:val="28"/>
        </w:rPr>
        <w:t xml:space="preserve"> составил </w:t>
      </w:r>
      <w:r>
        <w:rPr>
          <w:rFonts w:cs="Times New Roman" w:ascii="Times New Roman" w:hAnsi="Times New Roman"/>
          <w:b/>
          <w:sz w:val="28"/>
          <w:szCs w:val="28"/>
        </w:rPr>
        <w:t>3298,1</w:t>
      </w:r>
      <w:r>
        <w:rPr>
          <w:rFonts w:cs="Times New Roman" w:ascii="Times New Roman" w:hAnsi="Times New Roman"/>
          <w:sz w:val="28"/>
          <w:szCs w:val="28"/>
        </w:rPr>
        <w:t xml:space="preserve">тыс.руб. (94,7% к первоначальному плану на 2021 год). Прогноз </w:t>
      </w:r>
      <w:r>
        <w:rPr>
          <w:rFonts w:cs="Times New Roman" w:ascii="Times New Roman" w:hAnsi="Times New Roman"/>
          <w:bCs/>
          <w:sz w:val="28"/>
          <w:szCs w:val="28"/>
        </w:rPr>
        <w:t>неналоговых доходов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cs="Times New Roman" w:ascii="Times New Roman" w:hAnsi="Times New Roman"/>
          <w:bCs/>
          <w:sz w:val="28"/>
          <w:szCs w:val="28"/>
        </w:rPr>
        <w:t xml:space="preserve">бюджета поселения </w:t>
      </w:r>
      <w:r>
        <w:rPr>
          <w:rFonts w:cs="Times New Roman" w:ascii="Times New Roman" w:hAnsi="Times New Roman"/>
          <w:sz w:val="28"/>
          <w:szCs w:val="28"/>
        </w:rPr>
        <w:t xml:space="preserve">составил </w:t>
      </w:r>
      <w:r>
        <w:rPr>
          <w:rFonts w:cs="Times New Roman" w:ascii="Times New Roman" w:hAnsi="Times New Roman"/>
          <w:b/>
          <w:sz w:val="28"/>
          <w:szCs w:val="28"/>
        </w:rPr>
        <w:t>185,2</w:t>
      </w:r>
      <w:r>
        <w:rPr>
          <w:rFonts w:cs="Times New Roman" w:ascii="Times New Roman" w:hAnsi="Times New Roman"/>
          <w:sz w:val="28"/>
          <w:szCs w:val="28"/>
        </w:rPr>
        <w:t>тыс. руб. (146,5%  к первоначальному плану на 2021 год).</w:t>
      </w:r>
    </w:p>
    <w:p>
      <w:pPr>
        <w:pStyle w:val="P6"/>
        <w:shd w:val="clear" w:color="auto" w:fill="FFFFFF"/>
        <w:spacing w:beforeAutospacing="0" w:before="0" w:afterAutospacing="0" w:after="0"/>
        <w:ind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Налоговые поступления в бюджет будут зачисляться по следующим нормативам, а именно:</w:t>
      </w:r>
    </w:p>
    <w:p>
      <w:pPr>
        <w:pStyle w:val="P2"/>
        <w:shd w:val="clear" w:color="auto" w:fill="FFFFFF"/>
        <w:spacing w:beforeAutospacing="0" w:before="0" w:afterAutospacing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земельный налог - 100 %</w:t>
      </w:r>
    </w:p>
    <w:p>
      <w:pPr>
        <w:pStyle w:val="P2"/>
        <w:shd w:val="clear" w:color="auto" w:fill="FFFFFF"/>
        <w:spacing w:beforeAutospacing="0" w:before="0" w:afterAutospacing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налог на имущество физических лиц - 100 %</w:t>
      </w:r>
    </w:p>
    <w:p>
      <w:pPr>
        <w:pStyle w:val="P2"/>
        <w:shd w:val="clear" w:color="auto" w:fill="FFFFFF"/>
        <w:spacing w:beforeAutospacing="0" w:before="0" w:afterAutospacing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налог на доходы физических лиц - 10 %</w:t>
      </w:r>
    </w:p>
    <w:p>
      <w:pPr>
        <w:pStyle w:val="P2"/>
        <w:shd w:val="clear" w:color="auto" w:fill="FFFFFF"/>
        <w:spacing w:beforeAutospacing="0" w:before="0" w:afterAutospacing="0" w:after="0"/>
        <w:ind w:firstLine="708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Прогноз </w:t>
      </w:r>
      <w:r>
        <w:rPr>
          <w:b/>
          <w:i/>
          <w:sz w:val="28"/>
          <w:szCs w:val="28"/>
        </w:rPr>
        <w:t>налога на доходы физических лиц на 2022 год</w:t>
      </w:r>
      <w:r>
        <w:rPr>
          <w:sz w:val="28"/>
          <w:szCs w:val="28"/>
        </w:rPr>
        <w:t xml:space="preserve"> просчитан в соответствии с главой 23 «Налог на доходы физических лиц» части второй Налогового кодекса Российской Федерации с учетом внесенных изменений на дату формирования бюджета на 2022 год. При расчете прогноза налога учитывалось фактическое поступление налога на доходы физических лиц за истекший период 2021 года. Прогноз</w:t>
      </w:r>
      <w:r>
        <w:rPr>
          <w:color w:val="000000"/>
          <w:sz w:val="28"/>
          <w:szCs w:val="28"/>
        </w:rPr>
        <w:t xml:space="preserve"> </w:t>
      </w:r>
      <w:r>
        <w:rPr>
          <w:b/>
          <w:i/>
          <w:color w:val="000000"/>
          <w:sz w:val="28"/>
          <w:szCs w:val="28"/>
        </w:rPr>
        <w:t>налога на доходы физических лиц</w:t>
      </w:r>
      <w:r>
        <w:rPr>
          <w:color w:val="000000"/>
          <w:sz w:val="28"/>
          <w:szCs w:val="28"/>
        </w:rPr>
        <w:t xml:space="preserve"> на 2022 год просчитан в сумме 670,2тыс.руб., что на 14,0тыс.руб. или на 2,1% выше уровня 2021 года. </w:t>
      </w:r>
    </w:p>
    <w:p>
      <w:pPr>
        <w:pStyle w:val="Normal"/>
        <w:spacing w:lineRule="auto" w:line="240" w:before="0" w:after="0"/>
        <w:ind w:firstLine="70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В бюджет поселения для формирования муниципального дорожного фонда, исходя из протяженности автомобильных дорог местного значения, находящихся в собственности муниципального образования зачисляются акцизы на нефтепродукты</w:t>
      </w:r>
      <w:r>
        <w:rPr>
          <w:sz w:val="28"/>
          <w:szCs w:val="28"/>
        </w:rPr>
        <w:t xml:space="preserve">. </w:t>
      </w:r>
      <w:r>
        <w:rPr>
          <w:rFonts w:cs="Times New Roman" w:ascii="Times New Roman" w:hAnsi="Times New Roman"/>
          <w:b/>
          <w:sz w:val="28"/>
          <w:szCs w:val="28"/>
        </w:rPr>
        <w:t>В 2022 году</w:t>
      </w:r>
      <w:r>
        <w:rPr>
          <w:rFonts w:cs="Times New Roman" w:ascii="Times New Roman" w:hAnsi="Times New Roman"/>
          <w:sz w:val="28"/>
          <w:szCs w:val="28"/>
        </w:rPr>
        <w:t xml:space="preserve"> подлежат зачислению в бюджет поселения </w:t>
      </w:r>
      <w:r>
        <w:rPr>
          <w:rFonts w:cs="Times New Roman" w:ascii="Times New Roman" w:hAnsi="Times New Roman"/>
          <w:b/>
          <w:i/>
          <w:sz w:val="28"/>
          <w:szCs w:val="28"/>
        </w:rPr>
        <w:t>доходы от уплаты акцизов на нефтепродукты</w:t>
      </w:r>
      <w:r>
        <w:rPr>
          <w:rFonts w:cs="Times New Roman" w:ascii="Times New Roman" w:hAnsi="Times New Roman"/>
          <w:sz w:val="28"/>
          <w:szCs w:val="28"/>
        </w:rPr>
        <w:t xml:space="preserve"> в сумме </w:t>
      </w:r>
      <w:r>
        <w:rPr>
          <w:rFonts w:cs="Times New Roman" w:ascii="Times New Roman" w:hAnsi="Times New Roman"/>
          <w:b/>
          <w:sz w:val="28"/>
          <w:szCs w:val="28"/>
        </w:rPr>
        <w:t>1794,3</w:t>
      </w:r>
      <w:r>
        <w:rPr>
          <w:rFonts w:cs="Times New Roman" w:ascii="Times New Roman" w:hAnsi="Times New Roman"/>
          <w:sz w:val="28"/>
          <w:szCs w:val="28"/>
        </w:rPr>
        <w:t>тыс.руб., выше первоначального показателя текущего года на 22,0тыс.руб. или на 1,2%.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b/>
          <w:sz w:val="28"/>
          <w:szCs w:val="28"/>
        </w:rPr>
        <w:t>Прогноз налога на имущество физических лиц</w:t>
      </w:r>
      <w:r>
        <w:rPr>
          <w:rFonts w:eastAsia="Calibri" w:cs="Times New Roman" w:ascii="Times New Roman" w:hAnsi="Times New Roman"/>
          <w:sz w:val="28"/>
          <w:szCs w:val="28"/>
        </w:rPr>
        <w:t xml:space="preserve"> сформирован в соответствии с главой 32 "Налог на имущество физических лиц" части второй Налогового кодекса Российской Федерации. </w:t>
      </w:r>
    </w:p>
    <w:p>
      <w:pPr>
        <w:pStyle w:val="P9"/>
        <w:shd w:val="clear" w:color="auto" w:fill="FFFFFF"/>
        <w:spacing w:beforeAutospacing="0" w:before="0" w:afterAutospacing="0" w:after="0"/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Сумма налога на имущество физических лиц </w:t>
      </w:r>
      <w:r>
        <w:rPr>
          <w:rFonts w:eastAsia="Calibri"/>
          <w:b/>
          <w:sz w:val="28"/>
          <w:szCs w:val="28"/>
          <w:lang w:eastAsia="en-US"/>
        </w:rPr>
        <w:t>на 2022 год</w:t>
      </w:r>
      <w:r>
        <w:rPr>
          <w:rFonts w:eastAsia="Calibri"/>
          <w:sz w:val="28"/>
          <w:szCs w:val="28"/>
          <w:lang w:eastAsia="en-US"/>
        </w:rPr>
        <w:t xml:space="preserve"> рассчитана в размере </w:t>
      </w:r>
      <w:r>
        <w:rPr>
          <w:rFonts w:eastAsia="Calibri"/>
          <w:b/>
          <w:sz w:val="28"/>
          <w:szCs w:val="28"/>
          <w:lang w:eastAsia="en-US"/>
        </w:rPr>
        <w:t>37,5</w:t>
      </w:r>
      <w:r>
        <w:rPr>
          <w:rFonts w:eastAsia="Calibri"/>
          <w:sz w:val="28"/>
          <w:szCs w:val="28"/>
          <w:lang w:eastAsia="en-US"/>
        </w:rPr>
        <w:t xml:space="preserve"> тыс. руб. с уменьшением к 2021 году на 24,2% или на 12,0тыс.руб. </w:t>
      </w:r>
    </w:p>
    <w:p>
      <w:pPr>
        <w:pStyle w:val="Normal"/>
        <w:tabs>
          <w:tab w:val="clear" w:pos="708"/>
          <w:tab w:val="left" w:pos="720" w:leader="none"/>
        </w:tabs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8"/>
          <w:szCs w:val="28"/>
        </w:rPr>
        <w:tab/>
        <w:t xml:space="preserve">Расчет </w:t>
      </w:r>
      <w:r>
        <w:rPr>
          <w:rFonts w:cs="Times New Roman" w:ascii="Times New Roman" w:hAnsi="Times New Roman"/>
          <w:b/>
          <w:sz w:val="28"/>
          <w:szCs w:val="28"/>
        </w:rPr>
        <w:t>земельного налога на 2022 год</w:t>
      </w:r>
      <w:r>
        <w:rPr>
          <w:rFonts w:cs="Times New Roman" w:ascii="Times New Roman" w:hAnsi="Times New Roman"/>
          <w:sz w:val="28"/>
          <w:szCs w:val="28"/>
        </w:rPr>
        <w:t xml:space="preserve"> произведен в соответствии с главой 31 части второй Налогового кодекса Российской Федерации «Земельный налог».</w:t>
      </w:r>
    </w:p>
    <w:p>
      <w:pPr>
        <w:pStyle w:val="Normal"/>
        <w:tabs>
          <w:tab w:val="clear" w:pos="708"/>
          <w:tab w:val="left" w:pos="709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</w:r>
      <w:r>
        <w:rPr>
          <w:rFonts w:cs="Times New Roman" w:ascii="Times New Roman" w:hAnsi="Times New Roman"/>
          <w:b/>
          <w:sz w:val="28"/>
          <w:szCs w:val="28"/>
        </w:rPr>
        <w:t>П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рогноз поступления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>земельного налога</w:t>
      </w:r>
      <w:r>
        <w:rPr>
          <w:rFonts w:eastAsia="Calibri" w:cs="Times New Roman" w:ascii="Times New Roman" w:hAnsi="Times New Roman"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на 2022 год </w:t>
      </w:r>
      <w:r>
        <w:rPr>
          <w:rFonts w:eastAsia="Calibri" w:cs="Times New Roman" w:ascii="Times New Roman" w:hAnsi="Times New Roman"/>
          <w:sz w:val="28"/>
          <w:szCs w:val="28"/>
        </w:rPr>
        <w:t xml:space="preserve">составил </w:t>
      </w:r>
      <w:r>
        <w:rPr>
          <w:rFonts w:eastAsia="Calibri" w:cs="Times New Roman" w:ascii="Times New Roman" w:hAnsi="Times New Roman"/>
          <w:b/>
          <w:sz w:val="28"/>
          <w:szCs w:val="28"/>
        </w:rPr>
        <w:t>790,2</w:t>
      </w:r>
      <w:r>
        <w:rPr>
          <w:rFonts w:eastAsia="Calibri" w:cs="Times New Roman" w:ascii="Times New Roman" w:hAnsi="Times New Roman"/>
          <w:bCs/>
          <w:sz w:val="28"/>
          <w:szCs w:val="28"/>
        </w:rPr>
        <w:t xml:space="preserve">тыс.руб., снижение к уровню 2021 года </w:t>
      </w:r>
      <w:r>
        <w:rPr>
          <w:rFonts w:cs="Times New Roman" w:ascii="Times New Roman" w:hAnsi="Times New Roman"/>
          <w:color w:val="000000"/>
          <w:sz w:val="28"/>
          <w:szCs w:val="28"/>
        </w:rPr>
        <w:t>на 202,0тыс.руб. или на 20,4%, в том числе:</w:t>
      </w:r>
    </w:p>
    <w:p>
      <w:pPr>
        <w:pStyle w:val="P9"/>
        <w:shd w:val="clear" w:color="auto" w:fill="FFFFFF"/>
        <w:spacing w:beforeAutospacing="0" w:before="0" w:afterAutospacing="0" w:after="0"/>
        <w:ind w:firstLine="708"/>
        <w:jc w:val="both"/>
        <w:rPr>
          <w:sz w:val="28"/>
          <w:szCs w:val="28"/>
        </w:rPr>
      </w:pPr>
      <w:r>
        <w:rPr/>
        <w:t xml:space="preserve">- </w:t>
      </w:r>
      <w:r>
        <w:rPr>
          <w:sz w:val="28"/>
          <w:szCs w:val="28"/>
        </w:rPr>
        <w:t>земельный налог с организаций – 389,9тыс.руб., снижение к уровню текущего года на 103,8тыс.руб. или на 21,0%;</w:t>
      </w:r>
    </w:p>
    <w:p>
      <w:pPr>
        <w:pStyle w:val="P1"/>
        <w:spacing w:beforeAutospacing="0" w:before="0" w:afterAutospacing="0" w:after="0"/>
        <w:ind w:firstLine="708"/>
        <w:jc w:val="both"/>
        <w:rPr/>
      </w:pPr>
      <w:r>
        <w:rPr>
          <w:sz w:val="28"/>
          <w:szCs w:val="28"/>
        </w:rPr>
        <w:t>- земельный налог с физических лиц – 400,3тыс.руб., с уменьшением к уровню текущего года на 98,2тыс.руб. или на 19,7%.</w:t>
      </w:r>
    </w:p>
    <w:p>
      <w:pPr>
        <w:pStyle w:val="P9"/>
        <w:shd w:val="clear" w:color="auto" w:fill="FFFFFF"/>
        <w:spacing w:beforeAutospacing="0" w:before="0" w:afterAutospacing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Имущественные налоги в полном объеме будут зачисляться в бюджет поселения. Кроме того, учтено поступление дополнительных доходов в связи с погашением части недоимки.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Прогноз государственной пошлины на 2022 год</w:t>
      </w:r>
      <w:r>
        <w:rPr>
          <w:rFonts w:cs="Times New Roman" w:ascii="Times New Roman" w:hAnsi="Times New Roman"/>
          <w:sz w:val="28"/>
          <w:szCs w:val="28"/>
        </w:rPr>
        <w:t xml:space="preserve"> исчислен в соответствии с главой 25.3 «Государственная пошлина» части второй Налогового кодекса Российской Федерации. Прогноз поступления  государственной пошлины рассчитывался с учетом: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8"/>
          <w:szCs w:val="28"/>
        </w:rPr>
        <w:t>- ожидаемого поступления государственной пошлины до конца 2021 года;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динамики поступления за предыдущие отчетные периоды.</w:t>
      </w:r>
    </w:p>
    <w:p>
      <w:pPr>
        <w:pStyle w:val="Normal"/>
        <w:spacing w:lineRule="auto" w:line="240" w:before="0" w:after="0"/>
        <w:ind w:firstLine="70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 xml:space="preserve">Прогнозируемая сумма государственной пошлины </w:t>
      </w:r>
      <w:r>
        <w:rPr>
          <w:rFonts w:cs="Times New Roman" w:ascii="Times New Roman" w:hAnsi="Times New Roman"/>
          <w:b/>
          <w:bCs/>
          <w:sz w:val="28"/>
          <w:szCs w:val="28"/>
        </w:rPr>
        <w:t>на 2022 год</w:t>
      </w:r>
      <w:r>
        <w:rPr>
          <w:rFonts w:cs="Times New Roman" w:ascii="Times New Roman" w:hAnsi="Times New Roman"/>
          <w:sz w:val="28"/>
          <w:szCs w:val="28"/>
        </w:rPr>
        <w:t>, подлежащая зачислению в бюджет поселения просчитана в сумме 5,9</w:t>
      </w:r>
      <w:r>
        <w:rPr>
          <w:rFonts w:cs="Times New Roman" w:ascii="Times New Roman" w:hAnsi="Times New Roman"/>
          <w:bCs/>
          <w:sz w:val="28"/>
          <w:szCs w:val="28"/>
        </w:rPr>
        <w:t>тыс.руб., с уменьшением к уровню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текущего года на 4,9тыс.руб. или на 45,4%.</w:t>
      </w:r>
    </w:p>
    <w:p>
      <w:pPr>
        <w:pStyle w:val="Normal"/>
        <w:spacing w:lineRule="auto" w:line="240" w:before="0" w:after="0"/>
        <w:ind w:firstLine="70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В состав 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неналоговых доходов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входят прочие неналоговые доходы (средства самообложения), доходы от оказания платных услуг (выручка от услуг за содержание и найм жилых помещений), д</w:t>
      </w:r>
      <w:r>
        <w:rPr>
          <w:rFonts w:cs="Times New Roman" w:ascii="Times New Roman" w:hAnsi="Times New Roman"/>
          <w:sz w:val="28"/>
          <w:szCs w:val="28"/>
        </w:rPr>
        <w:t>оходы от использования имущества, находящегося в государственной и муниципальной собственности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и доходы от компенсации затрат государства (возмещение за коммунальные услуги).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</w:t>
      </w:r>
      <w:r>
        <w:rPr>
          <w:rFonts w:cs="Times New Roman" w:ascii="Times New Roman" w:hAnsi="Times New Roman"/>
          <w:sz w:val="28"/>
          <w:szCs w:val="28"/>
        </w:rPr>
        <w:t xml:space="preserve">Прогноз </w:t>
      </w:r>
      <w:r>
        <w:rPr>
          <w:rFonts w:cs="Times New Roman" w:ascii="Times New Roman" w:hAnsi="Times New Roman"/>
          <w:b/>
          <w:sz w:val="28"/>
          <w:szCs w:val="28"/>
        </w:rPr>
        <w:t>по прочим неналоговым доходам</w:t>
      </w:r>
      <w:r>
        <w:rPr>
          <w:rFonts w:cs="Times New Roman" w:ascii="Times New Roman" w:hAnsi="Times New Roman"/>
          <w:sz w:val="28"/>
          <w:szCs w:val="28"/>
        </w:rPr>
        <w:t xml:space="preserve"> определен </w:t>
      </w:r>
      <w:r>
        <w:rPr>
          <w:rFonts w:cs="Times New Roman" w:ascii="Times New Roman" w:hAnsi="Times New Roman"/>
          <w:b/>
          <w:sz w:val="28"/>
          <w:szCs w:val="28"/>
        </w:rPr>
        <w:t>на 2022 год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фактических поступлений в 2021 году по самообложению граждан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в объеме 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34,0тыс.руб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. на уровне текущего года.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Прогноз </w:t>
      </w:r>
      <w:r>
        <w:rPr>
          <w:rFonts w:eastAsia="Calibri" w:cs="Times New Roman" w:ascii="Times New Roman" w:hAnsi="Times New Roman"/>
          <w:b/>
          <w:sz w:val="28"/>
          <w:szCs w:val="28"/>
        </w:rPr>
        <w:t>прочих доходов от оказания платных услуг (работ</w:t>
      </w:r>
      <w:r>
        <w:rPr>
          <w:rFonts w:eastAsia="Calibri" w:cs="Times New Roman" w:ascii="Times New Roman" w:hAnsi="Times New Roman"/>
          <w:sz w:val="28"/>
          <w:szCs w:val="28"/>
        </w:rPr>
        <w:t xml:space="preserve">) определен на основании информации о планируемых поступлениях от оказания платных услуг.  </w:t>
      </w:r>
    </w:p>
    <w:p>
      <w:pPr>
        <w:pStyle w:val="Normal"/>
        <w:spacing w:lineRule="auto" w:line="240" w:before="0" w:after="0"/>
        <w:ind w:firstLine="70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Прогноз доходов от оказания платных услуг </w:t>
      </w:r>
      <w:r>
        <w:rPr>
          <w:rFonts w:eastAsia="Calibri" w:cs="Times New Roman" w:ascii="Times New Roman" w:hAnsi="Times New Roman"/>
          <w:b/>
          <w:sz w:val="28"/>
          <w:szCs w:val="28"/>
        </w:rPr>
        <w:t>на 2022 год</w:t>
      </w:r>
      <w:r>
        <w:rPr>
          <w:rFonts w:eastAsia="Calibri" w:cs="Times New Roman" w:ascii="Times New Roman" w:hAnsi="Times New Roman"/>
          <w:sz w:val="28"/>
          <w:szCs w:val="28"/>
        </w:rPr>
        <w:t xml:space="preserve"> определен в сумме 89,4тыс.руб.</w:t>
      </w:r>
      <w:r>
        <w:rPr>
          <w:rFonts w:cs="Times New Roman" w:ascii="Times New Roman" w:hAnsi="Times New Roman"/>
          <w:color w:val="000000"/>
          <w:sz w:val="28"/>
          <w:szCs w:val="28"/>
        </w:rPr>
        <w:t>, увеличение к уровню 2021 года на 4,3тыс.руб. или на 5,0%.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Прогноз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 прочих доходов от компенсации затрат</w:t>
      </w:r>
      <w:r>
        <w:rPr>
          <w:rFonts w:eastAsia="Calibri" w:cs="Times New Roman" w:ascii="Times New Roman" w:hAnsi="Times New Roman"/>
          <w:sz w:val="28"/>
          <w:szCs w:val="28"/>
        </w:rPr>
        <w:t xml:space="preserve"> определен с учетом фактических поступлений.  Прогноз доходов от компенсации затрат </w:t>
      </w:r>
      <w:r>
        <w:rPr>
          <w:rFonts w:eastAsia="Calibri" w:cs="Times New Roman" w:ascii="Times New Roman" w:hAnsi="Times New Roman"/>
          <w:b/>
          <w:sz w:val="28"/>
          <w:szCs w:val="28"/>
        </w:rPr>
        <w:t>на 2022 год</w:t>
      </w:r>
      <w:r>
        <w:rPr>
          <w:rFonts w:eastAsia="Calibri" w:cs="Times New Roman" w:ascii="Times New Roman" w:hAnsi="Times New Roman"/>
          <w:sz w:val="28"/>
          <w:szCs w:val="28"/>
        </w:rPr>
        <w:t xml:space="preserve"> определен в сумме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8,2 </w:t>
      </w:r>
      <w:r>
        <w:rPr>
          <w:rFonts w:eastAsia="Calibri" w:cs="Times New Roman" w:ascii="Times New Roman" w:hAnsi="Times New Roman"/>
          <w:sz w:val="28"/>
          <w:szCs w:val="28"/>
        </w:rPr>
        <w:t>тыс. руб</w:t>
      </w:r>
      <w:r>
        <w:rPr>
          <w:rFonts w:cs="Times New Roman" w:ascii="Times New Roman" w:hAnsi="Times New Roman"/>
          <w:color w:val="000000"/>
          <w:sz w:val="28"/>
          <w:szCs w:val="28"/>
        </w:rPr>
        <w:t>., с увеличением на 0,9тыс.руб. или на 12,3%.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Прогноз 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по д</w:t>
      </w:r>
      <w:r>
        <w:rPr>
          <w:rFonts w:cs="Times New Roman" w:ascii="Times New Roman" w:hAnsi="Times New Roman"/>
          <w:b/>
          <w:sz w:val="28"/>
          <w:szCs w:val="28"/>
        </w:rPr>
        <w:t xml:space="preserve">оходам, получаемым в виде арендной платы, а также средства от продажи права на заключение договоров аренды за земли, находящиеся в собственности сельских поселений </w:t>
      </w:r>
      <w:r>
        <w:rPr>
          <w:rFonts w:cs="Times New Roman" w:ascii="Times New Roman" w:hAnsi="Times New Roman"/>
          <w:sz w:val="28"/>
          <w:szCs w:val="28"/>
        </w:rPr>
        <w:t xml:space="preserve">определен на основании информации о планируемых поступлениях </w:t>
      </w:r>
      <w:r>
        <w:rPr>
          <w:rFonts w:cs="Times New Roman" w:ascii="Times New Roman" w:hAnsi="Times New Roman"/>
          <w:b/>
          <w:sz w:val="28"/>
          <w:szCs w:val="28"/>
        </w:rPr>
        <w:t>на 2022 год</w:t>
      </w:r>
      <w:r>
        <w:rPr>
          <w:rFonts w:cs="Times New Roman" w:ascii="Times New Roman" w:hAnsi="Times New Roman"/>
          <w:sz w:val="28"/>
          <w:szCs w:val="28"/>
        </w:rPr>
        <w:t xml:space="preserve"> в сумме 14,0тыс.руб.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Прогноз</w:t>
      </w:r>
      <w:r>
        <w:rPr>
          <w:rFonts w:cs="Times New Roman" w:ascii="Times New Roman" w:hAnsi="Times New Roman"/>
          <w:b/>
          <w:sz w:val="28"/>
          <w:szCs w:val="28"/>
        </w:rPr>
        <w:t xml:space="preserve"> по доходам от сдачи в аренду имущества, находящегося в оперативном управлении органов управления сельских поселений и созданных ими учреждений</w:t>
      </w:r>
      <w:r>
        <w:rPr>
          <w:rFonts w:cs="Times New Roman" w:ascii="Times New Roman" w:hAnsi="Times New Roman"/>
          <w:sz w:val="28"/>
          <w:szCs w:val="28"/>
        </w:rPr>
        <w:t xml:space="preserve"> определен также на основании информации о планируемых поступлениях </w:t>
      </w:r>
      <w:r>
        <w:rPr>
          <w:rFonts w:cs="Times New Roman" w:ascii="Times New Roman" w:hAnsi="Times New Roman"/>
          <w:b/>
          <w:sz w:val="28"/>
          <w:szCs w:val="28"/>
        </w:rPr>
        <w:t>на 2022 год</w:t>
      </w:r>
      <w:r>
        <w:rPr>
          <w:rFonts w:cs="Times New Roman" w:ascii="Times New Roman" w:hAnsi="Times New Roman"/>
          <w:sz w:val="28"/>
          <w:szCs w:val="28"/>
        </w:rPr>
        <w:t xml:space="preserve"> в сумме 39,6тыс.руб.</w:t>
      </w:r>
    </w:p>
    <w:p>
      <w:pPr>
        <w:pStyle w:val="P4"/>
        <w:shd w:val="clear" w:color="auto" w:fill="FFFFFF"/>
        <w:spacing w:beforeAutospacing="0" w:before="0" w:afterAutospacing="0" w:after="0"/>
        <w:ind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Параметры налоговых и неналоговых доходов бюджета поселения на 2022 год приведены в таблице 1.</w:t>
      </w:r>
    </w:p>
    <w:p>
      <w:pPr>
        <w:pStyle w:val="P4"/>
        <w:shd w:val="clear" w:color="auto" w:fill="FFFFFF"/>
        <w:spacing w:beforeAutospacing="0" w:before="0" w:afterAutospacing="0" w:after="0"/>
        <w:ind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P10"/>
        <w:shd w:val="clear" w:color="auto" w:fill="FFFFFF"/>
        <w:spacing w:beforeAutospacing="0" w:before="0" w:afterAutospacing="0" w:after="0"/>
        <w:jc w:val="center"/>
        <w:rPr>
          <w:rStyle w:val="S1"/>
          <w:b/>
          <w:b/>
          <w:bCs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Налоговые и неналоговые доходы бюджета поселения </w:t>
      </w:r>
    </w:p>
    <w:p>
      <w:pPr>
        <w:pStyle w:val="P10"/>
        <w:shd w:val="clear" w:color="auto" w:fill="FFFFFF"/>
        <w:spacing w:beforeAutospacing="0" w:before="0" w:afterAutospacing="0" w:after="0"/>
        <w:jc w:val="center"/>
        <w:rPr>
          <w:rStyle w:val="S1"/>
          <w:bCs/>
          <w:color w:val="000000"/>
        </w:rPr>
      </w:pPr>
      <w:r>
        <w:rPr>
          <w:rStyle w:val="S1"/>
          <w:b/>
          <w:bCs/>
          <w:color w:val="000000"/>
        </w:rPr>
        <w:tab/>
        <w:tab/>
        <w:tab/>
        <w:tab/>
        <w:tab/>
        <w:tab/>
        <w:tab/>
        <w:tab/>
        <w:tab/>
      </w:r>
      <w:r>
        <w:rPr>
          <w:rStyle w:val="S1"/>
          <w:bCs/>
          <w:color w:val="000000"/>
        </w:rPr>
        <w:t>тыс.руб.</w:t>
      </w:r>
    </w:p>
    <w:tbl>
      <w:tblPr>
        <w:tblStyle w:val="a3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360"/>
        <w:gridCol w:w="1559"/>
        <w:gridCol w:w="1844"/>
        <w:gridCol w:w="1807"/>
      </w:tblGrid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Наименование доходов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2021 год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2022 год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увеличение, уменьшение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Налоговые и неналоговые доходы, всего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3607,4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3483,3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-124,1</w:t>
            </w:r>
          </w:p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3,4%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Налоговые доходы, в т.ч.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3481,0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3298,1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-182,9</w:t>
            </w:r>
          </w:p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5,3%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Налог на доходы физических лиц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656,2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670,2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+14,0</w:t>
            </w:r>
          </w:p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2,1%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 xml:space="preserve">Акцизы по подакцизным товарам 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1772,3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1794,3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+22,0</w:t>
            </w:r>
          </w:p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1,2%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Налог на имущество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49,5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37,5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-12,0</w:t>
            </w:r>
          </w:p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24,2%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  <w:kern w:val="0"/>
                <w:lang w:val="ru-RU" w:bidi="ar-SA"/>
              </w:rPr>
              <w:t>Земельный налог, всего, в.т.ч.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  <w:kern w:val="0"/>
                <w:lang w:val="ru-RU" w:bidi="ar-SA"/>
              </w:rPr>
              <w:t>992,2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  <w:kern w:val="0"/>
                <w:lang w:val="ru-RU" w:bidi="ar-SA"/>
              </w:rPr>
              <w:t>790,2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  <w:kern w:val="0"/>
                <w:lang w:val="ru-RU" w:bidi="ar-SA"/>
              </w:rPr>
              <w:t>-202,0</w:t>
            </w:r>
          </w:p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  <w:kern w:val="0"/>
                <w:lang w:val="ru-RU" w:bidi="ar-SA"/>
              </w:rPr>
              <w:t>20,4%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земельный налог с организаций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493,7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389,9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-103,8</w:t>
            </w:r>
          </w:p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21,0%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земельный налог с физ.лиц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498,5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400,3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-98,2</w:t>
            </w:r>
          </w:p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19,7%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Госпошлина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10,8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5,9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-4,9</w:t>
            </w:r>
          </w:p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45,4%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Неналоговые доходы, в т.ч.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126,4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185,2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+58,8</w:t>
            </w:r>
          </w:p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b/>
                <w:b/>
              </w:rPr>
            </w:pPr>
            <w:r>
              <w:rPr>
                <w:b/>
                <w:kern w:val="0"/>
                <w:lang w:val="ru-RU" w:bidi="ar-SA"/>
              </w:rPr>
              <w:t>46,5%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-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53,6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+53,6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Доходы от оказания платных услуг (работ) и компенсации затрат государства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92,4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97,6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+5,2</w:t>
            </w:r>
          </w:p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5,6%</w:t>
            </w:r>
          </w:p>
        </w:tc>
      </w:tr>
      <w:tr>
        <w:trPr/>
        <w:tc>
          <w:tcPr>
            <w:tcW w:w="4360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Прочие неналоговые доходы</w:t>
            </w:r>
          </w:p>
        </w:tc>
        <w:tc>
          <w:tcPr>
            <w:tcW w:w="1559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34,0</w:t>
            </w:r>
          </w:p>
        </w:tc>
        <w:tc>
          <w:tcPr>
            <w:tcW w:w="1844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34,0</w:t>
            </w:r>
          </w:p>
        </w:tc>
        <w:tc>
          <w:tcPr>
            <w:tcW w:w="1807" w:type="dxa"/>
            <w:tcBorders/>
          </w:tcPr>
          <w:p>
            <w:pPr>
              <w:pStyle w:val="P1"/>
              <w:widowControl/>
              <w:spacing w:beforeAutospacing="0" w:before="0" w:afterAutospacing="0" w:after="0"/>
              <w:jc w:val="center"/>
              <w:rPr>
                <w:kern w:val="0"/>
                <w:lang w:val="ru-RU" w:bidi="ar-SA"/>
              </w:rPr>
            </w:pPr>
            <w:r>
              <w:rPr>
                <w:kern w:val="0"/>
                <w:lang w:val="ru-RU" w:bidi="ar-SA"/>
              </w:rPr>
              <w:t>-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БЕЗВОЗМЕЗДНЫЕ ПОСТУПЛЕНИЯ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</w:rPr>
        <w:t xml:space="preserve">Прогноз безвозмездных поступлений </w:t>
      </w:r>
      <w:r>
        <w:rPr>
          <w:rFonts w:cs="Times New Roman" w:ascii="Times New Roman" w:hAnsi="Times New Roman"/>
          <w:b/>
          <w:sz w:val="28"/>
          <w:szCs w:val="28"/>
        </w:rPr>
        <w:t>на 2022 год</w:t>
      </w:r>
      <w:r>
        <w:rPr>
          <w:rFonts w:cs="Times New Roman" w:ascii="Times New Roman" w:hAnsi="Times New Roman"/>
          <w:sz w:val="28"/>
          <w:szCs w:val="28"/>
        </w:rPr>
        <w:t xml:space="preserve"> определен в сумме 7593,5</w:t>
      </w: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>тыс.руб., что на 1532,3тыс.руб. или на 25,3% выше показателей 2021 года.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>В общем объеме безвозмездных поступлений на 2022 год предусмотрены: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ab/>
        <w:t>1.Дотации бюджетам сельских поселений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 н</w:t>
      </w:r>
      <w:r>
        <w:rPr>
          <w:rFonts w:cs="Times New Roman" w:ascii="Times New Roman" w:hAnsi="Times New Roman"/>
          <w:sz w:val="28"/>
          <w:szCs w:val="28"/>
        </w:rPr>
        <w:t>а выравнивание бюджетной обеспеченности –  6739,8 тыс. руб.;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Cs/>
          <w:kern w:val="2"/>
          <w:sz w:val="28"/>
          <w:szCs w:val="28"/>
        </w:rPr>
        <w:tab/>
        <w:t>2.Субвенции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 – 105,5 тыс. руб.;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ab/>
        <w:t>3.Иные межбюджетные трансферты в сумме – 748,2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Cs/>
          <w:sz w:val="28"/>
          <w:szCs w:val="28"/>
        </w:rPr>
        <w:t>тыс. руб</w:t>
      </w:r>
      <w:r>
        <w:rPr>
          <w:b/>
          <w:bCs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center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  <w:t xml:space="preserve">СТРУКТУРА РАСХОДОВ БЮДЖЕТА ПОСЕЛЕНИЯ 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center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  <w:t>на 2022 год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center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Принципы и подходы к формированию расходов бюджета поселения на 2022 год определены в соответствии с Основными направлениями бюджетной и налоговой политики Роженцовского сельсовета Шарангского муниципального района на 2022 год и на плановый период 2023 и 2024 годов, утвержденными постановлением администрации Роженцовского сельсовета от 29 октября 2021 года № 42.</w:t>
      </w:r>
    </w:p>
    <w:p>
      <w:pPr>
        <w:pStyle w:val="Normal"/>
        <w:spacing w:lineRule="auto" w:line="240" w:before="0" w:after="0"/>
        <w:ind w:firstLine="142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142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Основные подходы к формированию бюджета поселения</w:t>
      </w:r>
    </w:p>
    <w:p>
      <w:pPr>
        <w:pStyle w:val="Normal"/>
        <w:spacing w:lineRule="auto" w:line="240" w:before="0" w:after="0"/>
        <w:ind w:firstLine="142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Расчет бюджетных ассигнований на 2022 год производился с учетом определенных приоритетов бюджетных расходов: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реализация муниципальных программ, направленных на содействие устойчивому развитию экономики поселения.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Фонд оплаты труда работникам бюджетной сферы рассчитан исходя из существующей штатной численности работников муниципальных учреждений с учетом: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положений по оплате труда, утвержденных постановлениями администрации Роженцовского сельсовета;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дополнительной потребности на доведение заработной платы низкооплачиваемых категорий работников до минимального размера оплаты труда;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экономии в связи с выплатой пособий по временной нетрудоспособности и наличия вакантных должностей в размере 7,5%;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 страховых взносов в государственные внебюджетные фонды в размере 30,2 %.</w:t>
      </w:r>
    </w:p>
    <w:p>
      <w:pPr>
        <w:pStyle w:val="ConsPlusNormal"/>
        <w:numPr>
          <w:ilvl w:val="0"/>
          <w:numId w:val="0"/>
        </w:numPr>
        <w:ind w:hanging="0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1. Программная структура расходов </w:t>
      </w:r>
    </w:p>
    <w:p>
      <w:pPr>
        <w:pStyle w:val="ConsPlusNormal"/>
        <w:numPr>
          <w:ilvl w:val="0"/>
          <w:numId w:val="0"/>
        </w:numPr>
        <w:ind w:hanging="0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tabs>
          <w:tab w:val="clear" w:pos="708"/>
          <w:tab w:val="left" w:pos="7265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Бюджет поселения на 2022 год сформирован на основе пяти муниципальных программ, на реализацию которых в бюджете поселения предусмотрено в 2022 году 3833,4тыс.руб. или 34,6% от общего объема расходов. Разработанные муниципальные программы будут направлены на содержание и ремонт автомобильных дорог общего пользования – 1794,3тыс.руб., на р</w:t>
      </w:r>
      <w:r>
        <w:rPr>
          <w:rFonts w:cs="Times New Roman" w:ascii="Times New Roman" w:hAnsi="Times New Roman"/>
          <w:bCs/>
          <w:color w:val="000000"/>
          <w:sz w:val="28"/>
          <w:szCs w:val="28"/>
        </w:rPr>
        <w:t>азвитие и совершенствование системы противопожарной защиты территорий и объектов, в том числе поддержание высокой готовности и дооснащение</w:t>
      </w:r>
      <w:r>
        <w:rPr>
          <w:rFonts w:cs="Times New Roman" w:ascii="Times New Roman" w:hAnsi="Times New Roman"/>
          <w:sz w:val="28"/>
          <w:szCs w:val="28"/>
        </w:rPr>
        <w:t xml:space="preserve"> – 1311,8тыс.руб., на осуществление государственных полномочий Российской Федерации по первичному воинскому учету на территориях, где отсутствуют военные комиссариаты – 105,5тыс.руб., на технические и технологические мероприятия по энергосбережению и повышению энергетической эффективности по уличному освещению – 620,8тыс.руб., на мероприятия первичной профилактики наркомании – 1,0тыс.руб.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Муниципальная программа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«Развитие транспортной системы в Шарангском муниципальном районе Нижегородской области в 2021-2025 годы»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Утверждена постановлением администрации Шарангского муниципального района от 07.09.2020 № 349 «Об утверждении муниципальной программы «Развитие транспортной системы в Шарангском муниципальном районе Нижегородской области в 2021-2025 годы»».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Основная цель программы – предупреждение дорожно-транспортных происшествий, сокращение смертности от дорожно-транспортных происшествий, сохранение и восстановление существующей дорожной сети автомобильных дорог.</w:t>
      </w:r>
    </w:p>
    <w:p>
      <w:pPr>
        <w:pStyle w:val="P2"/>
        <w:spacing w:beforeAutospacing="0" w:before="0" w:afterAutospacing="0"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Бюджетные ассигнования в рамках</w:t>
      </w:r>
      <w:r>
        <w:rPr>
          <w:rStyle w:val="S1"/>
          <w:sz w:val="28"/>
          <w:szCs w:val="28"/>
        </w:rPr>
        <w:t xml:space="preserve"> данной программы</w:t>
      </w:r>
      <w:r>
        <w:rPr>
          <w:sz w:val="28"/>
          <w:szCs w:val="28"/>
        </w:rPr>
        <w:t xml:space="preserve"> предусмотрены в сумме 1794,3тыс.руб., увеличение к уровню 2021 года на 1,2% или на 22,0тыс.руб. </w:t>
        <w:tab/>
        <w:t xml:space="preserve">Доля в общем объеме расходов составляет 16,2% (в 2021 году – 18,3%). 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center"/>
        <w:outlineLvl w:val="0"/>
        <w:rPr>
          <w:rFonts w:ascii="Times New Roman" w:hAnsi="Times New Roman" w:cs="Times New Roman"/>
          <w:b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center"/>
        <w:outlineLvl w:val="0"/>
        <w:rPr>
          <w:rFonts w:ascii="Times New Roman" w:hAnsi="Times New Roman" w:cs="Times New Roman"/>
          <w:b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center"/>
        <w:outlineLvl w:val="0"/>
        <w:rPr>
          <w:rFonts w:ascii="Times New Roman" w:hAnsi="Times New Roman" w:cs="Times New Roman"/>
          <w:b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на 2021 – 2025 годы"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Утверждена постановлением администрации Шарангского муниципального района от 11.11.2020 № 462 «Об утверждении муниципальной программы </w:t>
      </w:r>
      <w:r>
        <w:rPr>
          <w:rFonts w:eastAsia="Calibri" w:cs="Times New Roman" w:ascii="Times New Roman" w:hAnsi="Times New Roman"/>
          <w:sz w:val="28"/>
          <w:szCs w:val="28"/>
        </w:rPr>
        <w:t>«Защита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годы».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Основная цель программы – забота о жизни и здоровье граждан, сохранности имущества, обеспечение пожарной безопасности на территории Шарангского муниципального района.</w:t>
      </w:r>
    </w:p>
    <w:p>
      <w:pPr>
        <w:pStyle w:val="Normal"/>
        <w:widowControl w:val="false"/>
        <w:spacing w:lineRule="auto" w:line="240" w:before="0" w:after="0"/>
        <w:ind w:firstLine="540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В проекте бюджета поселения на 2022 год по данной программе предусмотрены бюджетные ассигнования в объеме 1311,8тыс.руб., по сравнению с объемами 2021 года увеличение на 134,4тыс.руб. или на 11,4%. </w:t>
      </w:r>
    </w:p>
    <w:p>
      <w:pPr>
        <w:pStyle w:val="Normal"/>
        <w:widowControl w:val="false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Доля в общем объеме расходов составляет 11,8% (в 2021 году – 12,2%). </w:t>
      </w:r>
    </w:p>
    <w:p>
      <w:pPr>
        <w:pStyle w:val="Normal"/>
        <w:widowControl w:val="false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Бюджетные ассигнования в рамках программы будут направлены на: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3"/>
        <w:tblW w:w="1003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344"/>
        <w:gridCol w:w="1276"/>
        <w:gridCol w:w="1135"/>
        <w:gridCol w:w="1275"/>
      </w:tblGrid>
      <w:tr>
        <w:trPr/>
        <w:tc>
          <w:tcPr>
            <w:tcW w:w="634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наименование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2021г.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2022г.</w:t>
            </w:r>
          </w:p>
        </w:tc>
        <w:tc>
          <w:tcPr>
            <w:tcW w:w="12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% к 2021</w:t>
            </w:r>
          </w:p>
        </w:tc>
      </w:tr>
      <w:tr>
        <w:trPr/>
        <w:tc>
          <w:tcPr>
            <w:tcW w:w="634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18,0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25,8</w:t>
            </w:r>
          </w:p>
        </w:tc>
        <w:tc>
          <w:tcPr>
            <w:tcW w:w="12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143,3%</w:t>
            </w:r>
          </w:p>
        </w:tc>
      </w:tr>
      <w:tr>
        <w:trPr/>
        <w:tc>
          <w:tcPr>
            <w:tcW w:w="634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lang w:val="ru-RU" w:eastAsia="en-US" w:bidi="ar-SA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1159,4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1286,0</w:t>
            </w:r>
          </w:p>
        </w:tc>
        <w:tc>
          <w:tcPr>
            <w:tcW w:w="12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110,9%</w:t>
            </w:r>
          </w:p>
        </w:tc>
      </w:tr>
      <w:tr>
        <w:trPr/>
        <w:tc>
          <w:tcPr>
            <w:tcW w:w="634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итого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1177,4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1311,8</w:t>
            </w:r>
          </w:p>
        </w:tc>
        <w:tc>
          <w:tcPr>
            <w:tcW w:w="12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111,4%</w:t>
            </w:r>
          </w:p>
        </w:tc>
      </w:tr>
    </w:tbl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Муниципальная программа                                                                    «Управление муниципальными финансами                                              Шарангского муниципального района»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Утверждена постановлением администрации Шарангского муниципального района от 21.09.2018 № 444 «Об утверждении муниципальной программы «Управление муниципальными финансами Шарангского муниципального района»».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Цель программы – обеспечение сбалансированности и устойчивости бюджета Шарангского муниципального района, повышение эффективности и качества управления муниципальными финансами Шарангского муниципального района.</w:t>
      </w:r>
    </w:p>
    <w:p>
      <w:pPr>
        <w:pStyle w:val="P2"/>
        <w:spacing w:beforeAutospacing="0" w:before="0" w:afterAutospacing="0"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Бюджетные ассигнования в рамках программы будут направлены на расходы, осуществляемые за счет субвенции из федерального бюджета на осуществление государственных полномочий Российской Федерации по первичному воинскому учету на территориях, где отсутствуют военные комиссариаты в объеме 105,5тыс.руб., увеличение к уровню 2021 года на 2,6тыс.руб. или на 2,5%.</w:t>
      </w:r>
    </w:p>
    <w:p>
      <w:pPr>
        <w:pStyle w:val="Normal"/>
        <w:widowControl w:val="false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Доля в общем объеме расходов составляет 1,0%. </w:t>
      </w:r>
    </w:p>
    <w:p>
      <w:pPr>
        <w:pStyle w:val="P2"/>
        <w:spacing w:beforeAutospacing="0" w:before="0" w:afterAutospacing="0"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P2"/>
        <w:spacing w:beforeAutospacing="0" w:before="0" w:afterAutospacing="0" w:after="0"/>
        <w:ind w:firstLine="708"/>
        <w:jc w:val="center"/>
        <w:rPr>
          <w:sz w:val="28"/>
          <w:szCs w:val="28"/>
        </w:rPr>
      </w:pPr>
      <w:r>
        <w:rPr>
          <w:b/>
          <w:sz w:val="28"/>
          <w:szCs w:val="28"/>
        </w:rPr>
        <w:t>Муниципальная программа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«Энергосбережение и повышение энергетической эффективности на территории Роженцовского сельсовета Шарангского муниципального района Нижегородской области»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>Утверждена постановлением администрации Роженцовского сельсовета от 28.10.2021 № 50 «Об утверждении муниципальной программы «Энергосбережение и повышение энергетической эффективности на территории Роженцовского сельсовета Шарангского муниципального района Нижегородской области»».</w:t>
      </w:r>
    </w:p>
    <w:p>
      <w:pPr>
        <w:pStyle w:val="Consplusnonformat"/>
        <w:spacing w:beforeAutospacing="0" w:before="0" w:afterAutospacing="0" w:after="0"/>
        <w:jc w:val="both"/>
        <w:rPr>
          <w:sz w:val="28"/>
          <w:szCs w:val="28"/>
        </w:rPr>
      </w:pPr>
      <w:r>
        <w:rPr>
          <w:sz w:val="28"/>
          <w:szCs w:val="28"/>
        </w:rPr>
        <w:tab/>
        <w:t>Цель программы - 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эффективности.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ab/>
      </w:r>
      <w:r>
        <w:rPr>
          <w:rFonts w:eastAsia="Calibri" w:cs="Times New Roman" w:ascii="Times New Roman" w:hAnsi="Times New Roman"/>
          <w:sz w:val="28"/>
          <w:szCs w:val="28"/>
        </w:rPr>
        <w:t>В проекте бюджета поселения на 2022 год по данной программе предусмотрены бюджетные ассигнования в объеме 620,8тыс.руб., в т.ч. на уличное освещение  - 413,1тыс.руб., закупку и установку энергосберегающих ламп и светильников для уличного освещения – 57,7тыс.руб., обслуживание сетей уличного освещения – 150,0тыс.руб.</w:t>
      </w:r>
    </w:p>
    <w:p>
      <w:pPr>
        <w:pStyle w:val="Normal"/>
        <w:widowControl w:val="false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Доля в общем объеме расходов составляет 5,6%. 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</w:r>
    </w:p>
    <w:p>
      <w:pPr>
        <w:pStyle w:val="P2"/>
        <w:spacing w:beforeAutospacing="0" w:before="0" w:afterAutospacing="0" w:after="0"/>
        <w:ind w:firstLine="708"/>
        <w:jc w:val="center"/>
        <w:rPr>
          <w:sz w:val="28"/>
          <w:szCs w:val="28"/>
        </w:rPr>
      </w:pPr>
      <w:r>
        <w:rPr>
          <w:b/>
          <w:sz w:val="28"/>
          <w:szCs w:val="28"/>
        </w:rPr>
        <w:t>Муниципальная программа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«Профилактика наркомании и токсикомании на территории Роженцовского сельсовета Шарангского муниципального района Нижегородской области»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Web"/>
        <w:shd w:val="clear" w:color="auto" w:fill="FFFFFF"/>
        <w:spacing w:beforeAutospacing="0" w:before="0" w:afterAutospacing="0" w:after="0"/>
        <w:ind w:firstLine="540"/>
        <w:jc w:val="both"/>
        <w:rPr>
          <w:bCs/>
          <w:sz w:val="28"/>
          <w:szCs w:val="28"/>
        </w:rPr>
      </w:pPr>
      <w:r>
        <w:rPr>
          <w:sz w:val="28"/>
          <w:szCs w:val="28"/>
        </w:rPr>
        <w:tab/>
        <w:t>Утверждена постановлением администрации Роженцовского сельсовета от 28.02.2020 № 12 «Об утверждении муниципальной программы «Профилактика  наркомании и токсикомании   на территории Роженцовского сельсовета Шарангского муниципального района Нижегородской области на 2020 - 2022 годы»»</w:t>
      </w:r>
      <w:r>
        <w:rPr>
          <w:sz w:val="28"/>
          <w:szCs w:val="28"/>
          <w:shd w:fill="FFFFFF" w:val="clear"/>
        </w:rPr>
        <w:t>.</w:t>
      </w:r>
    </w:p>
    <w:p>
      <w:pPr>
        <w:pStyle w:val="Normal"/>
        <w:spacing w:lineRule="atLeast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Цель программы - противодействие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веществ.</w:t>
      </w:r>
    </w:p>
    <w:p>
      <w:pPr>
        <w:pStyle w:val="Normal"/>
        <w:spacing w:lineRule="atLeast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проекте бюджета поселения на 2022 год по данной программе предусмотрены бюджетные ассигнования в объеме 1,0тыс.руб. на мероприятия первичной профилактики наркомании.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numPr>
          <w:ilvl w:val="0"/>
          <w:numId w:val="0"/>
        </w:numPr>
        <w:ind w:hanging="0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2. Непрограммные расходы бюджета поселения</w:t>
      </w:r>
    </w:p>
    <w:p>
      <w:pPr>
        <w:pStyle w:val="ConsPlusNormal"/>
        <w:numPr>
          <w:ilvl w:val="0"/>
          <w:numId w:val="0"/>
        </w:numPr>
        <w:ind w:hanging="0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8"/>
          <w:szCs w:val="28"/>
        </w:rPr>
        <w:t>Непрограммные расходы бюджета поселения на 2022 год сформированы в объеме</w:t>
      </w:r>
      <w:r>
        <w:rPr>
          <w:rFonts w:cs="Times New Roman" w:ascii="Times New Roman" w:hAnsi="Times New Roman"/>
          <w:color w:val="FF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7243,4тыс.руб., что составляет</w:t>
      </w:r>
      <w:r>
        <w:rPr>
          <w:rFonts w:cs="Times New Roman" w:ascii="Times New Roman" w:hAnsi="Times New Roman"/>
          <w:color w:val="FF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109,5% к уровню 2021 года. Удельный вес непрограммных расходов в общем объеме расходов в 2022 году составляет</w:t>
      </w:r>
      <w:r>
        <w:rPr>
          <w:rFonts w:cs="Times New Roman" w:ascii="Times New Roman" w:hAnsi="Times New Roman"/>
          <w:color w:val="FF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65,4%.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 непрограммным направлениям деятельности отражаются следующие основные расходы. 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center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  <w:t>Раздел 0100 «Общегосударственные вопросы»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center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Всего по разделу «Общегосударственные вопросы» предусмотрены расходы на 2022 год в сумме 2148,7тыс. руб., выше ожидаемого расхода 2021 года на 147,2тыс.руб. или на 7,4%, в том числе: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- функционирование Правительства РФ, высших исполнительных органов государственной власти субъектов РФ, местных администраций – 1922,8тыс.руб.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- обеспечение деятельности финансовых, налоговых и таможенных органов и органов финансового (финансово-бюджетного) надзора – 66,5тыс.руб.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- резервные фонды – 3,0тыс.руб. Расходование средств резервного фонда осуществляется в соответствии с Порядком использования бюджетных ассигнований резервного фонда администрации Роженцовского сельсовета, утвержденным постановлением от 09.04.2010 № 5.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- другие общегосударственные вопросы – 156,4тыс.руб. Указанные средства будут израсходованы на выплаты персоналу в целях обеспечения выполнения функций государственными органами в сумме 115,2тыс.руб., прочие выплаты по обязательствам муниципального образования – 8,0тыс.руб., межбюджетные трансферты из бюджетов поселений бюджету муниципального района в соответствии с заключенными соглашениями – 33,2тыс.руб.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Доля в общем объеме расходов бюджета поселения составляет 19,4%.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center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  <w:t>Раздел 0500 «Жилищно-коммунальное хозяйство»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center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В проекте бюджета на 2022 год по разделу «Жилищно-коммунальное хозяйство» предусмотрены бюджетные ассигнования в объеме 810,9тыс.руб., по сравнению с ожидаемыми расходами текущего года увеличены на 206,1тыс.руб. или на 34,1%.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Бюджетные ассигнования по разделу «Жилищно-коммунальное хозяйство» характеризуются следующими данными: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3"/>
        <w:tblW w:w="1003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344"/>
        <w:gridCol w:w="1135"/>
        <w:gridCol w:w="1133"/>
        <w:gridCol w:w="1418"/>
      </w:tblGrid>
      <w:tr>
        <w:trPr/>
        <w:tc>
          <w:tcPr>
            <w:tcW w:w="634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наименование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2020г.</w:t>
            </w:r>
          </w:p>
        </w:tc>
        <w:tc>
          <w:tcPr>
            <w:tcW w:w="113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2021г.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% к 2021г.</w:t>
            </w:r>
          </w:p>
        </w:tc>
      </w:tr>
      <w:tr>
        <w:trPr/>
        <w:tc>
          <w:tcPr>
            <w:tcW w:w="634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Жилищное хозяйство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85,1</w:t>
            </w:r>
          </w:p>
        </w:tc>
        <w:tc>
          <w:tcPr>
            <w:tcW w:w="113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89,4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105,1%</w:t>
            </w:r>
          </w:p>
        </w:tc>
      </w:tr>
      <w:tr>
        <w:trPr/>
        <w:tc>
          <w:tcPr>
            <w:tcW w:w="634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Благоустройство, в т.ч.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1173,5</w:t>
            </w:r>
          </w:p>
        </w:tc>
        <w:tc>
          <w:tcPr>
            <w:tcW w:w="113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721,5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634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/>
                <w:kern w:val="0"/>
                <w:sz w:val="24"/>
                <w:szCs w:val="24"/>
                <w:lang w:val="ru-RU" w:eastAsia="en-US" w:bidi="ar-SA"/>
              </w:rPr>
              <w:t>Уличное освещение за счет средств местного бюджета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/>
                <w:kern w:val="0"/>
                <w:sz w:val="24"/>
                <w:szCs w:val="24"/>
                <w:lang w:val="ru-RU" w:eastAsia="en-US" w:bidi="ar-SA"/>
              </w:rPr>
              <w:t>654,5</w:t>
            </w:r>
          </w:p>
        </w:tc>
        <w:tc>
          <w:tcPr>
            <w:tcW w:w="113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/>
                <w:kern w:val="0"/>
                <w:sz w:val="24"/>
                <w:szCs w:val="24"/>
                <w:lang w:val="ru-RU" w:eastAsia="en-US" w:bidi="ar-SA"/>
              </w:rPr>
              <w:t>-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/>
                <w:kern w:val="0"/>
                <w:sz w:val="24"/>
                <w:szCs w:val="24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6344" w:type="dxa"/>
            <w:tcBorders/>
            <w:vAlign w:val="center"/>
          </w:tcPr>
          <w:p>
            <w:pPr>
              <w:pStyle w:val="Normal"/>
              <w:widowControl/>
              <w:numPr>
                <w:ilvl w:val="0"/>
                <w:numId w:val="0"/>
              </w:numPr>
              <w:spacing w:lineRule="auto" w:line="240" w:before="0" w:after="0"/>
              <w:jc w:val="left"/>
              <w:outlineLvl w:val="2"/>
              <w:rPr>
                <w:rFonts w:ascii="Times New Roman" w:hAnsi="Times New Roman" w:eastAsia="Times New Roman" w:cs="Times New Roman"/>
                <w:bCs/>
                <w:i/>
                <w:i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i/>
                <w:kern w:val="0"/>
                <w:sz w:val="24"/>
                <w:szCs w:val="24"/>
                <w:lang w:val="ru-RU" w:eastAsia="en-US" w:bidi="ar-SA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/>
                <w:kern w:val="0"/>
                <w:sz w:val="24"/>
                <w:szCs w:val="24"/>
                <w:lang w:val="ru-RU" w:eastAsia="en-US" w:bidi="ar-SA"/>
              </w:rPr>
              <w:t>519,0</w:t>
            </w:r>
          </w:p>
        </w:tc>
        <w:tc>
          <w:tcPr>
            <w:tcW w:w="113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/>
                <w:kern w:val="0"/>
                <w:sz w:val="24"/>
                <w:szCs w:val="24"/>
                <w:lang w:val="ru-RU" w:eastAsia="en-US" w:bidi="ar-SA"/>
              </w:rPr>
              <w:t>721,5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/>
                <w:kern w:val="0"/>
                <w:sz w:val="24"/>
                <w:szCs w:val="24"/>
                <w:lang w:val="ru-RU" w:eastAsia="en-US" w:bidi="ar-SA"/>
              </w:rPr>
              <w:t>139,0</w:t>
            </w:r>
          </w:p>
        </w:tc>
      </w:tr>
      <w:tr>
        <w:trPr/>
        <w:tc>
          <w:tcPr>
            <w:tcW w:w="634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итого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1258,6</w:t>
            </w:r>
          </w:p>
        </w:tc>
        <w:tc>
          <w:tcPr>
            <w:tcW w:w="113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810,9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-</w:t>
            </w:r>
          </w:p>
        </w:tc>
      </w:tr>
    </w:tbl>
    <w:p>
      <w:pPr>
        <w:pStyle w:val="P4"/>
        <w:spacing w:beforeAutospacing="0" w:before="0" w:afterAutospacing="0" w:after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Style w:val="S1"/>
          <w:sz w:val="28"/>
          <w:szCs w:val="28"/>
        </w:rPr>
        <w:t>Бюджетные ассигнования</w:t>
      </w:r>
      <w:r>
        <w:rPr>
          <w:sz w:val="28"/>
          <w:szCs w:val="28"/>
        </w:rPr>
        <w:t xml:space="preserve">, предусмотренные по подразделу «Жилищное хозяйство», предполагается направить на ремонт и содержание муниципального жилищного фонда. </w:t>
      </w:r>
      <w:r>
        <w:rPr>
          <w:rStyle w:val="S1"/>
          <w:sz w:val="28"/>
          <w:szCs w:val="28"/>
        </w:rPr>
        <w:t>Бюджетные ассигнования</w:t>
      </w:r>
      <w:r>
        <w:rPr>
          <w:sz w:val="28"/>
          <w:szCs w:val="28"/>
        </w:rPr>
        <w:t xml:space="preserve">, предусмотренные по подразделу «Благоустройство», предполагается направить на организацию благоустройства и озеленения территории поселения. </w:t>
      </w:r>
    </w:p>
    <w:p>
      <w:pPr>
        <w:pStyle w:val="P4"/>
        <w:spacing w:beforeAutospacing="0" w:before="0" w:afterAutospacing="0" w:after="0"/>
        <w:jc w:val="both"/>
        <w:rPr>
          <w:sz w:val="28"/>
          <w:szCs w:val="28"/>
        </w:rPr>
      </w:pPr>
      <w:r>
        <w:rPr>
          <w:sz w:val="28"/>
          <w:szCs w:val="28"/>
        </w:rPr>
        <w:tab/>
        <w:t>Доля в общем объеме расходов бюджета поселения составляет 7,3% (в 2021г-13,0%).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center"/>
        <w:outlineLvl w:val="0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center"/>
        <w:outlineLvl w:val="0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  <w:t>Раздел 0800 «Культура, кинематография»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В проекте бюджета поселения на 2022 год по разделу «Культура, кинематография» предусмотрены бюджетные ассигнования – 4275,8тыс.руб. 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Доля в общем объеме расходов бюджета поселения по разделу составляет 38,6% (в 2021 году – 35,9%).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Бюджетные ассигнования по разделу «Культура, кинематография», по сравнению с объемами 2021 года увеличены на 804,7тыс.руб. 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</w:t>
      </w:r>
      <w:r>
        <w:rPr>
          <w:rFonts w:eastAsia="Calibri" w:cs="Times New Roman" w:ascii="Times New Roman" w:hAnsi="Times New Roman"/>
          <w:sz w:val="28"/>
          <w:szCs w:val="28"/>
        </w:rPr>
        <w:t>ежбюджетные трансферты предоставляются из бюджета поселения бюджету муниципального района в соответствии с заключенным соглашением.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center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8"/>
          <w:lang w:eastAsia="ru-RU"/>
        </w:rPr>
        <w:t>Раздел 1000 «Социальная политика»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709"/>
        <w:jc w:val="both"/>
        <w:outlineLvl w:val="0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проекте бюджета поселения на 2022 год по разделу «Социальная политика» предусмотрены бюджетные ассигнования на проведение мероприятий на территории поселения (9 мая, праздники сел, деревень, месячник пожилых людей, декада инвалидов) в сумме 8,0 тыс.руб., на уровне расходов текущего года.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Доля в общем объеме расходов бюджета поселения по данному разделу составляет 0,1%.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Наибольший объем расходов бюджета поселения на 2022 год составляют расходы по следующим разделам: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-</w:t>
      </w:r>
      <w:r>
        <w:rPr>
          <w:rFonts w:cs="Times New Roman" w:ascii="Times New Roman" w:hAnsi="Times New Roman"/>
          <w:bCs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bCs/>
          <w:sz w:val="28"/>
          <w:szCs w:val="28"/>
        </w:rPr>
        <w:t>культура и кинематография – 38,6%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- общегосударственные вопросы – 19,4%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 xml:space="preserve">- национальная экономика – 16,2% 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- жилищно-коммунальное хозяйство – 12,9%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- национальная безопасность и правоохранительная деятельность – 11,8%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Источники финансирования дефицита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ab/>
        <w:t>Бюджет поселения на 2022 год сформирован с дефицитом 0 тыс.руб.</w:t>
      </w:r>
      <w:r>
        <w:rPr>
          <w:rFonts w:cs="Times New Roman" w:ascii="Times New Roman" w:hAnsi="Times New Roman"/>
          <w:color w:val="FF0000"/>
          <w:sz w:val="28"/>
          <w:szCs w:val="28"/>
        </w:rPr>
        <w:t xml:space="preserve">  </w:t>
      </w:r>
    </w:p>
    <w:sectPr>
      <w:type w:val="nextPage"/>
      <w:pgSz w:w="11906" w:h="16838"/>
      <w:pgMar w:left="1134" w:right="851" w:gutter="0" w:header="0" w:top="567" w:footer="0" w:bottom="56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rmal (Web)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a4d7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6">
    <w:name w:val="Heading 6"/>
    <w:basedOn w:val="Normal"/>
    <w:next w:val="Normal"/>
    <w:link w:val="60"/>
    <w:qFormat/>
    <w:rsid w:val="00f80649"/>
    <w:pPr>
      <w:spacing w:lineRule="auto" w:line="240" w:before="240" w:after="60"/>
      <w:outlineLvl w:val="5"/>
    </w:pPr>
    <w:rPr>
      <w:rFonts w:ascii="Times New Roman" w:hAnsi="Times New Roman" w:eastAsia="Times New Roman" w:cs="Times New Roman"/>
      <w:b/>
      <w:bCs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3" w:customStyle="1">
    <w:name w:val="s3"/>
    <w:basedOn w:val="DefaultParagraphFont"/>
    <w:qFormat/>
    <w:rsid w:val="002665b8"/>
    <w:rPr/>
  </w:style>
  <w:style w:type="character" w:styleId="S1" w:customStyle="1">
    <w:name w:val="s1"/>
    <w:basedOn w:val="DefaultParagraphFont"/>
    <w:qFormat/>
    <w:rsid w:val="002665b8"/>
    <w:rPr/>
  </w:style>
  <w:style w:type="character" w:styleId="S4" w:customStyle="1">
    <w:name w:val="s4"/>
    <w:basedOn w:val="DefaultParagraphFont"/>
    <w:qFormat/>
    <w:rsid w:val="00943abf"/>
    <w:rPr/>
  </w:style>
  <w:style w:type="character" w:styleId="Style13" w:customStyle="1">
    <w:name w:val="Верхний колонтитул Знак"/>
    <w:basedOn w:val="DefaultParagraphFont"/>
    <w:link w:val="a4"/>
    <w:uiPriority w:val="99"/>
    <w:semiHidden/>
    <w:qFormat/>
    <w:rsid w:val="00ed55e8"/>
    <w:rPr/>
  </w:style>
  <w:style w:type="character" w:styleId="Style14" w:customStyle="1">
    <w:name w:val="Нижний колонтитул Знак"/>
    <w:basedOn w:val="DefaultParagraphFont"/>
    <w:link w:val="a6"/>
    <w:uiPriority w:val="99"/>
    <w:semiHidden/>
    <w:qFormat/>
    <w:rsid w:val="00ed55e8"/>
    <w:rPr/>
  </w:style>
  <w:style w:type="character" w:styleId="61" w:customStyle="1">
    <w:name w:val="Заголовок 6 Знак"/>
    <w:basedOn w:val="DefaultParagraphFont"/>
    <w:link w:val="6"/>
    <w:qFormat/>
    <w:rsid w:val="00f80649"/>
    <w:rPr>
      <w:rFonts w:ascii="Times New Roman" w:hAnsi="Times New Roman" w:eastAsia="Times New Roman" w:cs="Times New Roman"/>
      <w:b/>
      <w:bCs/>
      <w:lang w:eastAsia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P6" w:customStyle="1">
    <w:name w:val="p6"/>
    <w:basedOn w:val="Normal"/>
    <w:qFormat/>
    <w:rsid w:val="002665b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P2" w:customStyle="1">
    <w:name w:val="p2"/>
    <w:basedOn w:val="Normal"/>
    <w:qFormat/>
    <w:rsid w:val="002665b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P8" w:customStyle="1">
    <w:name w:val="p8"/>
    <w:basedOn w:val="Normal"/>
    <w:qFormat/>
    <w:rsid w:val="002665b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P9" w:customStyle="1">
    <w:name w:val="p9"/>
    <w:basedOn w:val="Normal"/>
    <w:qFormat/>
    <w:rsid w:val="002665b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P4" w:customStyle="1">
    <w:name w:val="p4"/>
    <w:basedOn w:val="Normal"/>
    <w:qFormat/>
    <w:rsid w:val="002665b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P10" w:customStyle="1">
    <w:name w:val="p10"/>
    <w:basedOn w:val="Normal"/>
    <w:qFormat/>
    <w:rsid w:val="002665b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P1" w:customStyle="1">
    <w:name w:val="p1"/>
    <w:basedOn w:val="Normal"/>
    <w:qFormat/>
    <w:rsid w:val="002665b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P18" w:customStyle="1">
    <w:name w:val="p18"/>
    <w:basedOn w:val="Normal"/>
    <w:qFormat/>
    <w:rsid w:val="00943abf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P3" w:customStyle="1">
    <w:name w:val="p3"/>
    <w:basedOn w:val="Normal"/>
    <w:qFormat/>
    <w:rsid w:val="00943abf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0">
    <w:name w:val="Колонтитул"/>
    <w:basedOn w:val="Normal"/>
    <w:qFormat/>
    <w:pPr/>
    <w:rPr/>
  </w:style>
  <w:style w:type="paragraph" w:styleId="Style21">
    <w:name w:val="Header"/>
    <w:basedOn w:val="Normal"/>
    <w:link w:val="a5"/>
    <w:uiPriority w:val="99"/>
    <w:semiHidden/>
    <w:unhideWhenUsed/>
    <w:rsid w:val="00ed55e8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2">
    <w:name w:val="Footer"/>
    <w:basedOn w:val="Normal"/>
    <w:link w:val="a7"/>
    <w:uiPriority w:val="99"/>
    <w:semiHidden/>
    <w:unhideWhenUsed/>
    <w:rsid w:val="00ed55e8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ConsPlusNormal" w:customStyle="1">
    <w:name w:val="ConsPlusNormal"/>
    <w:qFormat/>
    <w:rsid w:val="002d34af"/>
    <w:pPr>
      <w:widowControl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Style23" w:customStyle="1">
    <w:name w:val="Нормальный"/>
    <w:qFormat/>
    <w:rsid w:val="002a6ae1"/>
    <w:pPr>
      <w:widowControl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eastAsia="ru-RU" w:val="ru-RU" w:bidi="ar-SA"/>
    </w:rPr>
  </w:style>
  <w:style w:type="paragraph" w:styleId="ListParagraph">
    <w:name w:val="List Paragraph"/>
    <w:basedOn w:val="Normal"/>
    <w:uiPriority w:val="34"/>
    <w:qFormat/>
    <w:rsid w:val="00d20d62"/>
    <w:pPr>
      <w:spacing w:before="0" w:after="200"/>
      <w:ind w:left="720" w:hanging="0"/>
      <w:contextualSpacing/>
    </w:pPr>
    <w:rPr/>
  </w:style>
  <w:style w:type="paragraph" w:styleId="Consplusnonformat" w:customStyle="1">
    <w:name w:val="consplusnonformat"/>
    <w:basedOn w:val="Normal"/>
    <w:qFormat/>
    <w:rsid w:val="00ef403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qFormat/>
    <w:rsid w:val="00077901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e270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CAE9E6-5D09-4FC9-980A-62A64644C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Application>LibreOffice/7.2.2.2$Windows_X86_64 LibreOffice_project/02b2acce88a210515b4a5bb2e46cbfb63fe97d56</Application>
  <AppVersion>15.0000</AppVersion>
  <Pages>8</Pages>
  <Words>2395</Words>
  <Characters>16836</Characters>
  <CharactersWithSpaces>19244</CharactersWithSpaces>
  <Paragraphs>227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2021-11-21T13:17:00Z</dcterms:created>
  <dc:creator>Администратор</dc:creator>
  <dc:description/>
  <dc:language>ru-RU</dc:language>
  <cp:lastModifiedBy/>
  <cp:lastPrinted>2021-11-26T06:30:00Z</cp:lastPrinted>
  <dcterms:modified xsi:type="dcterms:W3CDTF">2021-11-29T08:40:20Z</dcterms:modified>
  <cp:revision>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