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РОЖЕНЦОВСКОГО СЕЛЬСОВЕТА ШАРАНГСКОГО МУНИЦИПАЛЬНОГО РАЙОНА НИЖЕГОРОДСКОЙ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>
      <w:pPr>
        <w:pStyle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ind w:firstLine="708"/>
        <w:rPr>
          <w:b w:val="false"/>
          <w:b w:val="false"/>
          <w:bCs/>
          <w:szCs w:val="28"/>
          <w:u w:val="single"/>
        </w:rPr>
      </w:pPr>
      <w:r>
        <w:rPr>
          <w:b w:val="false"/>
          <w:bCs/>
          <w:szCs w:val="28"/>
        </w:rPr>
        <w:t>от 28.12.2020</w:t>
        <w:tab/>
        <w:tab/>
        <w:tab/>
        <w:tab/>
        <w:tab/>
        <w:tab/>
        <w:tab/>
        <w:tab/>
        <w:t>№ 12</w:t>
      </w:r>
    </w:p>
    <w:p>
      <w:pPr>
        <w:pStyle w:val="Style20"/>
        <w:rPr>
          <w:b w:val="false"/>
          <w:b w:val="false"/>
          <w:bCs/>
          <w:szCs w:val="28"/>
          <w:u w:val="single"/>
        </w:rPr>
      </w:pPr>
      <w:r>
        <w:rPr>
          <w:b w:val="false"/>
          <w:bCs/>
          <w:szCs w:val="28"/>
          <w:u w:val="single"/>
        </w:rPr>
      </w:r>
    </w:p>
    <w:p>
      <w:pPr>
        <w:pStyle w:val="Style25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применения кодов целевых статей</w:t>
      </w:r>
    </w:p>
    <w:p>
      <w:pPr>
        <w:pStyle w:val="Style25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расходов классификации расходов бюджета и о применении вида</w:t>
      </w:r>
    </w:p>
    <w:p>
      <w:pPr>
        <w:pStyle w:val="Style25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расходов 242 при формировании бюджета поселения на 2021 год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2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статьей 21 Бюджетного кодекса Российской Федерации, статьей 20 решения сельского Совета Роженцовского сельсовета от 25.11.2015 № 17 «Об утверждении Положения о бюджетном процессе в Роженцовском сельсовете» и для составления проекта решения сельского Совета Роженцовского сельсовета «О бюджете поселения на 2021 год»:</w:t>
      </w:r>
    </w:p>
    <w:p>
      <w:pPr>
        <w:pStyle w:val="Style25"/>
        <w:ind w:left="360" w:firstLine="34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1.Утвердить прилагаемый Порядок применения кодов целевых статей 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расходов классификации расходов бюджета при формировании бюджета поселения на 2021 год.</w:t>
      </w:r>
    </w:p>
    <w:p>
      <w:pPr>
        <w:pStyle w:val="Style25"/>
        <w:ind w:left="360" w:firstLine="34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2.Установить, что расходы бюджета поселения, направляемые на 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закупки в сфере информационно-коммуникационных технологий, отражаются по виду расходов 242 «Закупка товаров, работ, услуг в сфере информационно-коммуникационных технологий».</w:t>
      </w:r>
    </w:p>
    <w:p>
      <w:pPr>
        <w:pStyle w:val="Style20"/>
        <w:ind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3.Контроль за исполнением настоящего распоряжения возложить на главу администрации Л.А.Козлову.</w:t>
      </w:r>
    </w:p>
    <w:p>
      <w:pPr>
        <w:pStyle w:val="Style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И.о.главы администрации</w:t>
        <w:tab/>
        <w:tab/>
        <w:tab/>
        <w:tab/>
        <w:tab/>
        <w:tab/>
        <w:t>Е.Л.Поздеева</w:t>
      </w:r>
    </w:p>
    <w:p>
      <w:pPr>
        <w:pStyle w:val="Style20"/>
        <w:ind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ind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ind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ind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ind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spacing w:lineRule="exact" w:line="320" w:before="0" w:after="480"/>
        <w:ind w:right="40" w:hanging="0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exact" w:line="320" w:before="0" w:after="480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exact" w:line="320" w:before="0" w:after="480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exact" w:line="320" w:before="0" w:after="480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right="40" w:hanging="0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УТВЕРЖДЕН </w:t>
      </w:r>
    </w:p>
    <w:p>
      <w:pPr>
        <w:pStyle w:val="Normal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распоряжением администрации </w:t>
      </w:r>
    </w:p>
    <w:p>
      <w:pPr>
        <w:pStyle w:val="Normal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Роженцовского сельсовета </w:t>
      </w:r>
    </w:p>
    <w:p>
      <w:pPr>
        <w:pStyle w:val="Normal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28.12.2020  № 12</w:t>
      </w:r>
    </w:p>
    <w:p>
      <w:pPr>
        <w:pStyle w:val="Normal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keepNext w:val="true"/>
        <w:keepLines/>
        <w:jc w:val="center"/>
        <w:rPr>
          <w:b/>
          <w:b/>
          <w:sz w:val="28"/>
          <w:szCs w:val="28"/>
          <w:lang w:eastAsia="en-US"/>
        </w:rPr>
      </w:pPr>
      <w:bookmarkStart w:id="0" w:name="bookmark0"/>
      <w:r>
        <w:rPr>
          <w:b/>
          <w:sz w:val="28"/>
          <w:szCs w:val="28"/>
          <w:lang w:eastAsia="en-US"/>
        </w:rPr>
        <w:t xml:space="preserve">Порядок </w:t>
      </w:r>
    </w:p>
    <w:p>
      <w:pPr>
        <w:pStyle w:val="Normal"/>
        <w:keepNext w:val="true"/>
        <w:keepLines/>
        <w:jc w:val="center"/>
        <w:rPr/>
      </w:pPr>
      <w:bookmarkStart w:id="1" w:name="bookmark0"/>
      <w:r>
        <w:rPr>
          <w:b/>
          <w:sz w:val="28"/>
          <w:szCs w:val="28"/>
          <w:lang w:eastAsia="en-US"/>
        </w:rPr>
        <w:t>применения кодов целевых статей расходов классификации расходов бюджета при формировании бюджета поселения на 2021 год</w:t>
      </w:r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>
      <w:pPr>
        <w:pStyle w:val="Normal"/>
        <w:keepNext w:val="true"/>
        <w:keepLines/>
        <w:jc w:val="center"/>
        <w:rPr>
          <w:b/>
          <w:b/>
          <w:sz w:val="36"/>
          <w:szCs w:val="28"/>
          <w:lang w:eastAsia="en-US"/>
        </w:rPr>
      </w:pPr>
      <w:r>
        <w:rPr>
          <w:b/>
          <w:sz w:val="36"/>
          <w:szCs w:val="28"/>
          <w:lang w:eastAsia="en-US"/>
        </w:rPr>
      </w:r>
      <w:bookmarkStart w:id="2" w:name="bookmark1"/>
      <w:bookmarkStart w:id="3" w:name="bookmark1"/>
    </w:p>
    <w:p>
      <w:pPr>
        <w:pStyle w:val="Normal"/>
        <w:keepNext w:val="true"/>
        <w:keepLines/>
        <w:jc w:val="center"/>
        <w:rPr>
          <w:b/>
          <w:b/>
          <w:sz w:val="28"/>
          <w:szCs w:val="28"/>
          <w:lang w:eastAsia="en-US"/>
        </w:rPr>
      </w:pPr>
      <w:bookmarkStart w:id="4" w:name="bookmark1"/>
      <w:r>
        <w:rPr>
          <w:b/>
          <w:sz w:val="28"/>
          <w:szCs w:val="28"/>
          <w:lang w:eastAsia="en-US"/>
        </w:rPr>
        <w:t>Общие положения</w:t>
      </w:r>
      <w:bookmarkEnd w:id="4"/>
    </w:p>
    <w:p>
      <w:pPr>
        <w:pStyle w:val="Normal"/>
        <w:spacing w:lineRule="exact" w:line="320"/>
        <w:ind w:right="40"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Настоящий Порядок разработан в целях установления правил отнесения расходов бюджета поселения к целевым статьям расходов, а также перечня и кодов целевых статей расходов бюджета поселения. </w:t>
      </w:r>
    </w:p>
    <w:p>
      <w:pPr>
        <w:pStyle w:val="Normal"/>
        <w:spacing w:lineRule="exact" w:line="32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поселения обеспечивают привязку бюджетных ассигнований бюджета поселения к муниципальным программам, и (или)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поселения, и (или) к расходным обязательствам, подлежащим исполнению за счет средств бюджета поселения. </w:t>
      </w:r>
    </w:p>
    <w:p>
      <w:pPr>
        <w:pStyle w:val="Normal"/>
        <w:ind w:right="40" w:firstLine="708"/>
        <w:jc w:val="both"/>
        <w:rPr/>
      </w:pPr>
      <w:r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части: </w:t>
      </w:r>
    </w:p>
    <w:p>
      <w:pPr>
        <w:pStyle w:val="Normal"/>
        <w:ind w:right="40" w:firstLine="708"/>
        <w:jc w:val="both"/>
        <w:rPr/>
      </w:pPr>
      <w:r>
        <w:rPr>
          <w:color w:val="000000"/>
          <w:sz w:val="28"/>
          <w:szCs w:val="28"/>
        </w:rPr>
        <w:t xml:space="preserve">- код главного распорядителя бюджетных средств (1-3 разряды); </w:t>
      </w:r>
    </w:p>
    <w:p>
      <w:pPr>
        <w:pStyle w:val="Normal"/>
        <w:ind w:right="40" w:firstLine="708"/>
        <w:jc w:val="both"/>
        <w:rPr/>
      </w:pPr>
      <w:r>
        <w:rPr>
          <w:color w:val="000000"/>
          <w:sz w:val="28"/>
          <w:szCs w:val="28"/>
        </w:rPr>
        <w:t xml:space="preserve">- код раздела (4-5 разряды); </w:t>
      </w:r>
    </w:p>
    <w:p>
      <w:pPr>
        <w:pStyle w:val="Normal"/>
        <w:ind w:right="40" w:firstLine="708"/>
        <w:jc w:val="both"/>
        <w:rPr/>
      </w:pPr>
      <w:r>
        <w:rPr>
          <w:color w:val="000000"/>
          <w:sz w:val="28"/>
          <w:szCs w:val="28"/>
        </w:rPr>
        <w:t xml:space="preserve">- код подраздела (6-7 разряды); </w:t>
      </w:r>
    </w:p>
    <w:p>
      <w:pPr>
        <w:pStyle w:val="Normal"/>
        <w:ind w:right="40" w:firstLine="708"/>
        <w:jc w:val="both"/>
        <w:rPr/>
      </w:pPr>
      <w:r>
        <w:rPr>
          <w:color w:val="000000"/>
          <w:sz w:val="28"/>
          <w:szCs w:val="28"/>
        </w:rPr>
        <w:t xml:space="preserve">- код целевой статьи (8-17 разряды); </w:t>
      </w:r>
    </w:p>
    <w:p>
      <w:pPr>
        <w:pStyle w:val="Normal"/>
        <w:ind w:right="40" w:firstLine="708"/>
        <w:jc w:val="both"/>
        <w:rPr/>
      </w:pPr>
      <w:r>
        <w:rPr>
          <w:color w:val="000000"/>
          <w:sz w:val="28"/>
          <w:szCs w:val="28"/>
        </w:rPr>
        <w:t xml:space="preserve">- код вида расходов (18-20 разряды). </w:t>
      </w:r>
    </w:p>
    <w:p>
      <w:pPr>
        <w:pStyle w:val="Normal"/>
        <w:spacing w:lineRule="exact" w:line="32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целевой статьи расходов бюджета поселения состоит из десяти разрядов и составляет 8 - 17 разряды двадцатизначного кода классификации расходов. </w:t>
      </w:r>
    </w:p>
    <w:p>
      <w:pPr>
        <w:pStyle w:val="Normal"/>
        <w:spacing w:lineRule="exact" w:line="320"/>
        <w:ind w:left="708" w:right="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кода целевой статьи расходов бюджета поселения включает: - код программной (непрограммной) статьи (8 - 12 разряды кода </w:t>
      </w:r>
    </w:p>
    <w:p>
      <w:pPr>
        <w:pStyle w:val="Normal"/>
        <w:spacing w:lineRule="exact" w:line="320"/>
        <w:ind w:right="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классификации расходов бюджета поселения); </w:t>
      </w:r>
    </w:p>
    <w:p>
      <w:pPr>
        <w:pStyle w:val="Normal"/>
        <w:spacing w:lineRule="exact" w:line="320"/>
        <w:ind w:right="40" w:firstLine="708"/>
        <w:jc w:val="both"/>
        <w:rPr/>
      </w:pPr>
      <w:r>
        <w:rPr>
          <w:sz w:val="28"/>
          <w:szCs w:val="28"/>
        </w:rPr>
        <w:t xml:space="preserve">- код направления расходов (13 - 17 разряды кода классификации расходов бюджета поселения). </w:t>
      </w:r>
    </w:p>
    <w:p>
      <w:pPr>
        <w:pStyle w:val="Normal"/>
        <w:spacing w:lineRule="exact" w:line="320"/>
        <w:ind w:right="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кода целевой статьи расходов бюджета поселения </w:t>
      </w:r>
    </w:p>
    <w:p>
      <w:pPr>
        <w:pStyle w:val="Normal"/>
        <w:ind w:right="40" w:firstLine="708"/>
        <w:jc w:val="right"/>
        <w:rPr>
          <w:sz w:val="32"/>
          <w:szCs w:val="28"/>
          <w:lang w:eastAsia="en-US"/>
        </w:rPr>
      </w:pPr>
      <w:r>
        <w:rPr>
          <w:sz w:val="32"/>
          <w:szCs w:val="28"/>
          <w:lang w:eastAsia="en-US"/>
        </w:rPr>
      </w:r>
    </w:p>
    <w:tbl>
      <w:tblPr>
        <w:tblW w:w="965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994"/>
        <w:gridCol w:w="1134"/>
        <w:gridCol w:w="992"/>
        <w:gridCol w:w="992"/>
        <w:gridCol w:w="857"/>
        <w:gridCol w:w="851"/>
        <w:gridCol w:w="850"/>
        <w:gridCol w:w="850"/>
        <w:gridCol w:w="1002"/>
      </w:tblGrid>
      <w:tr>
        <w:trPr>
          <w:trHeight w:val="351" w:hRule="atLeast"/>
        </w:trPr>
        <w:tc>
          <w:tcPr>
            <w:tcW w:w="9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</w:tr>
      <w:tr>
        <w:trPr>
          <w:trHeight w:val="1351" w:hRule="atLeast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6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6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Под-програм-ма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</w:tr>
      <w:tr>
        <w:trPr>
          <w:trHeight w:val="29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bookmarkStart w:id="5" w:name="Par675"/>
      <w:bookmarkEnd w:id="5"/>
      <w:r>
        <w:rPr>
          <w:sz w:val="28"/>
          <w:szCs w:val="28"/>
        </w:rPr>
        <w:t xml:space="preserve">Разряды с 8 по 9 кода классификации расходов бюджета поселения предназначены для кодирования бюджетных ассигнований по муниципальным программам или непрограммным направлениям деятельности органов местного самоуправления.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структурного подразделения органа местного самоуправления осуществляется вне реализации муниципальных программ и в рамках 8 разряда кода классификации расходов бюджета формируется с применением числового ряда: 7, 8, 9. В рамках 10 разряда кода классификации расходов бюджета кодируются бюджетные ассигнования по подпрограммам (основным программным мероприятиям муниципальных программ, не вошедшим в состав подпрограмм) в рамках муниципальной программы или детализируются непрограммные направления деятельности органов местного самоуправления.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программы, не включенное в подпрограмму муниципальной программы, в рамках 10 разряда кодируется буквенным значением Я.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и основных программных мероприятий, не вошедших в подпрограммы муниципальных программ.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Разряды с 13 по 17 кода классификации расходов бюджета предназначены для кодирования бюджетных ассигнований по направлениям расходования средств, конкретизирующих (при необходимости) отдельные мероприятия. В целях обособления расходных обязательств, источником финансового обеспечения которых является единая субвенция, предоставляемая из федерального бюджета, детализация осуществляется по кодам направлений расходов (в составе 15 разряда кода классификации расходов) в соответствии с перечнем субвенций, формирующих единую субвенцию из федерального бюджета, утвержденным Правительством Российской Федерации.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Б, Г, Д, Ж, И, Л, П, Ф, Ц, Ч, Ш, Э, Ю, Я.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Правила применения целевых статей расходов бюджета поселения установлены в разделе настоящего Порядка «Перечень и правила отнесения расходов бюджета поселения на соответствующие целевые статьи классификации расходов бюджета».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Увязка направлений расходов с основным мероприятием подпрограммы муниципальной программы (основным программным мероприятием программы, не вошедшим в подпрограмму) устанавливается по следующей структуре кода целевой статьи: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ХХ 0 00 00000 Муниципальная программа;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ХХ Х 00 00000 Подпрограмма муниципальной программы (основное программное мероприятие программы, не вошедшее в подпрограмму);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ХХ Х ХХ 00000 Основное мероприятие подпрограммы муниципальной программы (основного программного мероприятия программы, не вошедшего в подпрограмму);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/>
      </w:pPr>
      <w:r>
        <w:rPr>
          <w:sz w:val="28"/>
          <w:szCs w:val="28"/>
        </w:rPr>
        <w:t xml:space="preserve">ХХ Х ХХ ХХХХХ Направление расходов на реализацию основного мероприятия подпрограммы муниципальной программы (основного программного мероприятия программы, не вошедшего в подпрограмму). 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/>
      </w:pPr>
      <w:r>
        <w:rPr>
          <w:sz w:val="28"/>
          <w:szCs w:val="28"/>
        </w:rPr>
        <w:t xml:space="preserve">Увязка направлений расходов с непрограммными направлениями деятельности органов местного самоуправления устанавливается в рамках решения о бюджете поселения по следующей структуре кода целевой статьи: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ХХ 0 00 00000 Непрограммное направление деятельности;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ХХ Х 00 00000 Непрограммное направление расходов;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/>
      </w:pPr>
      <w:r>
        <w:rPr>
          <w:sz w:val="28"/>
          <w:szCs w:val="28"/>
        </w:rPr>
        <w:t xml:space="preserve">ХХ Х 00 ХХХХХ Направления реализации непрограммных расходов.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Коды целевых статей расходов бюджета, содержащие в 13 – 17 разрядах кода классификации расходов бюджета значение 30000– 39990 и 50000 – 59990, а также R0000-R9990 (коды направления расходов), используются для отражения расходов в соответствии с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Федерации»: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30000 - 39990 и 50000 - 59990 - для отражения расходов, источником финансового обеспечения которых являются межбюджетные трансферты, предоставляемые из федерального бюджета;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/>
      </w:pPr>
      <w:r>
        <w:rPr>
          <w:sz w:val="28"/>
          <w:szCs w:val="28"/>
        </w:rPr>
        <w:t xml:space="preserve">R0000 - R9990 - для отражения расходов областного бюджета, которые предоставляются бюджету поселения, в целях софинансирования расходов;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00000 – 29990, 60000 – 69990, 70000 – 79990 – для отражения расходов бюджета поселения.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внесения изменений в государственные программы Нижегородской области допускается внесение изменений в наименование кодов программного направления расходов, подпрограммы и основного мероприятия программной части целевой статьи расходов бюджета. </w:t>
      </w:r>
    </w:p>
    <w:p>
      <w:pPr>
        <w:pStyle w:val="Normal"/>
        <w:keepNext w:val="true"/>
        <w:keepLines/>
        <w:jc w:val="center"/>
        <w:rPr>
          <w:rFonts w:eastAsia="Calibri"/>
          <w:b/>
          <w:b/>
          <w:bCs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</w:r>
    </w:p>
    <w:p>
      <w:pPr>
        <w:pStyle w:val="Normal"/>
        <w:keepNext w:val="true"/>
        <w:keepLines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Перечень и правила </w:t>
      </w:r>
    </w:p>
    <w:p>
      <w:pPr>
        <w:pStyle w:val="Normal"/>
        <w:keepNext w:val="true"/>
        <w:keepLines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отнесения расходов бюджета поселения на соответствующие целевые статьи классификации расходов бюджета</w:t>
      </w:r>
    </w:p>
    <w:p>
      <w:pPr>
        <w:pStyle w:val="Normal"/>
        <w:widowControl w:val="false"/>
        <w:autoSpaceDE w:val="false"/>
        <w:rPr>
          <w:rFonts w:eastAsia="Calibri"/>
          <w:b/>
          <w:b/>
          <w:bCs/>
          <w:sz w:val="22"/>
          <w:szCs w:val="28"/>
          <w:lang w:eastAsia="en-US"/>
        </w:rPr>
      </w:pPr>
      <w:r>
        <w:rPr>
          <w:rFonts w:eastAsia="Calibri"/>
          <w:b/>
          <w:bCs/>
          <w:sz w:val="22"/>
          <w:szCs w:val="28"/>
          <w:lang w:eastAsia="en-US"/>
        </w:rPr>
      </w:r>
    </w:p>
    <w:p>
      <w:pPr>
        <w:pStyle w:val="Normal"/>
        <w:autoSpaceDE w:val="false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06 0 00 00000 Муниципальная программа «Развитие транспортной системы в Шарангском муниципальном районе Нижегородской области в 2021 – 2025 годы»</w:t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</w:t>
      </w:r>
      <w:hyperlink r:id="rId3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«Развитие транспортной системы в Шарангском муниципальном районе Нижегородской области в 2021-2025 годы», утвержденной постановлением администрации Шарангского муниципального района от 07 сентября 2020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349, осуществляемые по соответствующим основным мероприятиям.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06 2 02 0</w:t>
      </w:r>
      <w:r>
        <w:rPr>
          <w:sz w:val="28"/>
          <w:szCs w:val="28"/>
        </w:rPr>
        <w:t>7080 Содержание автомобильных дорог общего пользования</w:t>
      </w:r>
    </w:p>
    <w:p>
      <w:pPr>
        <w:pStyle w:val="Normal"/>
        <w:widowControl w:val="false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color w:val="000000"/>
          <w:sz w:val="28"/>
          <w:szCs w:val="28"/>
        </w:rPr>
        <w:t>По данной целевой статье отражаются расходы бюджета поселения на</w:t>
      </w:r>
      <w:r>
        <w:rPr>
          <w:sz w:val="28"/>
          <w:szCs w:val="28"/>
        </w:rPr>
        <w:t xml:space="preserve"> содержание и ремонт автомобильных дорог общего пользования.</w:t>
      </w:r>
    </w:p>
    <w:p>
      <w:pPr>
        <w:pStyle w:val="Normal"/>
        <w:widowControl w:val="false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08 0 00 00000 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годы»</w:t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поселения на реализацию муниципальной </w:t>
      </w:r>
      <w:hyperlink r:id="rId4">
        <w:r>
          <w:rPr>
            <w:rFonts w:eastAsia="Calibri"/>
            <w:sz w:val="28"/>
            <w:szCs w:val="28"/>
            <w:lang w:eastAsia="en-US"/>
          </w:rPr>
          <w:t>программы</w:t>
        </w:r>
      </w:hyperlink>
      <w:r>
        <w:rPr>
          <w:rFonts w:eastAsia="Calibri"/>
          <w:sz w:val="28"/>
          <w:szCs w:val="28"/>
          <w:lang w:eastAsia="en-US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годы», утвержденной постановлением администрации Шарангского муниципального района от 11 ноября 2020 года №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462, осуществляемые по соответствующим направлениям расходов.</w:t>
      </w:r>
    </w:p>
    <w:p>
      <w:pPr>
        <w:pStyle w:val="Normal"/>
        <w:autoSpaceDE w:val="false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jc w:val="center"/>
        <w:rPr/>
      </w:pPr>
      <w:r>
        <w:rPr>
          <w:rFonts w:eastAsia="Calibri"/>
          <w:sz w:val="28"/>
          <w:szCs w:val="28"/>
          <w:lang w:eastAsia="en-US"/>
        </w:rPr>
        <w:t>08 2 02 03000 Мероприятия по пожарной безопасности объектов и населенных пунктов Шарангского муниципального района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создание необходимых предпосылок для укрепления пожарной безопасности населенных пунктов Роженцовского сельсовета.</w:t>
      </w:r>
    </w:p>
    <w:p>
      <w:pPr>
        <w:pStyle w:val="Normal"/>
        <w:autoSpaceDE w:val="false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08 2 02 03990 Содержание подразделений муниципальной пожарной охраны поселения</w:t>
      </w:r>
    </w:p>
    <w:p>
      <w:pPr>
        <w:pStyle w:val="Normal"/>
        <w:autoSpaceDE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содержание подразделения муниципальной пожарной охраны на территории Роженцовского сельсовета.</w:t>
      </w:r>
    </w:p>
    <w:p>
      <w:pPr>
        <w:pStyle w:val="Normal"/>
        <w:autoSpaceDE w:val="false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 0 00 00000 Муниципальная программа</w:t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«Управление муниципальными финансами Шарангского муниципального района» </w:t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реализацию муниципальной программы «Управление муниципальными финансами Шарангского муниципального района», утвержденной постановлением администрации Шарангского муниципального района от 21 сентября 2018 года № 444, осуществляемые по следующим подпрограммам муниципальной программы.</w:t>
      </w:r>
    </w:p>
    <w:p>
      <w:pPr>
        <w:pStyle w:val="Normal"/>
        <w:autoSpaceDE w:val="false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 2 00 00000 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</w:r>
    </w:p>
    <w:p>
      <w:pPr>
        <w:pStyle w:val="Normal"/>
        <w:autoSpaceDE w:val="false"/>
        <w:jc w:val="center"/>
        <w:rPr>
          <w:rFonts w:eastAsia="Calibri"/>
          <w:sz w:val="4"/>
          <w:szCs w:val="28"/>
          <w:lang w:eastAsia="en-US"/>
        </w:rPr>
      </w:pPr>
      <w:r>
        <w:rPr>
          <w:rFonts w:eastAsia="Calibri"/>
          <w:sz w:val="4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реализацию подпрограммы по соответствующим основным мероприятиям.</w:t>
      </w:r>
    </w:p>
    <w:p>
      <w:pPr>
        <w:pStyle w:val="Normal"/>
        <w:autoSpaceDE w:val="false"/>
        <w:jc w:val="center"/>
        <w:rPr/>
      </w:pPr>
      <w:r>
        <w:rPr>
          <w:rFonts w:eastAsia="Calibri"/>
          <w:sz w:val="28"/>
          <w:szCs w:val="28"/>
          <w:lang w:eastAsia="en-US"/>
        </w:rPr>
        <w:t>14 2 20 51180 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поселения, осуществляемые за счет субвенции из федерального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</w:r>
    </w:p>
    <w:p>
      <w:pPr>
        <w:pStyle w:val="Normal"/>
        <w:autoSpaceDE w:val="false"/>
        <w:jc w:val="both"/>
        <w:rPr>
          <w:rFonts w:eastAsia="Calibri"/>
          <w:bCs/>
          <w:sz w:val="2"/>
          <w:szCs w:val="28"/>
          <w:lang w:eastAsia="en-US"/>
        </w:rPr>
      </w:pPr>
      <w:r>
        <w:rPr>
          <w:rFonts w:eastAsia="Calibri"/>
          <w:bCs/>
          <w:sz w:val="2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bCs/>
          <w:sz w:val="22"/>
          <w:szCs w:val="28"/>
          <w:lang w:eastAsia="en-US"/>
        </w:rPr>
      </w:pPr>
      <w:r>
        <w:rPr>
          <w:rFonts w:eastAsia="Calibri"/>
          <w:bCs/>
          <w:sz w:val="22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88 0 00 00000 Непрограммные расходы</w:t>
      </w:r>
    </w:p>
    <w:p>
      <w:pPr>
        <w:pStyle w:val="Normal"/>
        <w:autoSpaceDE w:val="false"/>
        <w:jc w:val="center"/>
        <w:rPr>
          <w:rFonts w:eastAsia="Calibri"/>
          <w:b/>
          <w:b/>
          <w:bCs/>
          <w:sz w:val="22"/>
          <w:szCs w:val="28"/>
          <w:lang w:eastAsia="en-US"/>
        </w:rPr>
      </w:pPr>
      <w:r>
        <w:rPr>
          <w:rFonts w:eastAsia="Calibri"/>
          <w:b/>
          <w:bCs/>
          <w:sz w:val="22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bCs/>
          <w:sz w:val="28"/>
          <w:szCs w:val="28"/>
          <w:lang w:eastAsia="en-US"/>
        </w:rPr>
        <w:t>По данной целевой статье отражаются расходы бюджета поселения на реализацию мероприятий, не включенных в муниципальные программы.</w:t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2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 </w:t>
      </w:r>
    </w:p>
    <w:p>
      <w:pPr>
        <w:pStyle w:val="Normal"/>
        <w:autoSpaceDE w:val="false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88 8 00 00000 Непрограммное направление деятельности</w:t>
      </w:r>
    </w:p>
    <w:p>
      <w:pPr>
        <w:pStyle w:val="Normal"/>
        <w:autoSpaceDE w:val="false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bCs/>
          <w:sz w:val="28"/>
          <w:szCs w:val="28"/>
          <w:lang w:eastAsia="en-US"/>
        </w:rPr>
        <w:t>По данной целевой статье отражаются расходы бюджета поселения на реализацию непрограммных расходов по соответствующим мероприятиям.</w:t>
      </w:r>
    </w:p>
    <w:p>
      <w:pPr>
        <w:pStyle w:val="Normal"/>
        <w:autoSpaceDE w:val="false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88 8 01 00000 Содержание аппарата управления</w:t>
      </w:r>
    </w:p>
    <w:p>
      <w:pPr>
        <w:pStyle w:val="Normal"/>
        <w:autoSpaceDE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реализацию мероприятия по соответствующим направлениям расходов.</w:t>
      </w:r>
    </w:p>
    <w:p>
      <w:pPr>
        <w:pStyle w:val="Normal"/>
        <w:autoSpaceDE w:val="false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 8 01 07005 Резервные фонды местных администраций 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данной целевой статье планируются ассигнования на образование резервного фонда администрации сельсовета и осуществляется расходование средств в соответствии с постановлением Роженцовской сельской администрации от 09.04.2010 № 5 «Об утверждении порядка использования бюджетных ассигнований резервного фонда Роженцовской сельской администрации».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 8 01 20401 Расходы на обеспечение функций 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органов местного самоуправления</w:t>
      </w:r>
    </w:p>
    <w:p>
      <w:pPr>
        <w:pStyle w:val="Normal"/>
        <w:autoSpaceDE w:val="false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 обеспечение выполнения функций органов местного самоуправления.</w:t>
      </w:r>
    </w:p>
    <w:p>
      <w:pPr>
        <w:pStyle w:val="Normal"/>
        <w:autoSpaceDE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данной целевой статье не учитываются расходы на строительство административных зданий и жилищное строительство.</w:t>
      </w:r>
    </w:p>
    <w:p>
      <w:pPr>
        <w:pStyle w:val="Normal"/>
        <w:autoSpaceDE w:val="false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88 8 01 20800 Глава местной администрации (исполнительно-распорядительного органа муниципального образования)</w:t>
      </w:r>
    </w:p>
    <w:p>
      <w:pPr>
        <w:pStyle w:val="Normal"/>
        <w:autoSpaceDE w:val="false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оплату труда, с учетом начислений, главы местной администрации.</w:t>
      </w:r>
    </w:p>
    <w:p>
      <w:pPr>
        <w:pStyle w:val="Normal"/>
        <w:autoSpaceDE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88 8 01 93990 Учреждения по обеспечению хозяйственного обслуживания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поселения на содержание отдела, занимающегося хозяйственным и техническим обеспечением администрации сельсовета.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88 8 03 00000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бюджета поселения на реализацию непрограммных расходов по соответствующим направлениям расходов.  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88 8 03 02106 Межбюджетные трансферты из бюджетов поселений бюджету муниципального района в соответствии с заключенными соглашениями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поселения по предоставлению иных межбюджетных трансфертов бюджетам поселений на поддержку мер по обеспечению сбалансированности бюджетов поселений.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88 8 06 00000 Прочие непрограммные расходы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По данной целевой статье отражаются расходы бюджета поселения на реализацию прочих непрограммных расходов по соответствующим направлениям расходов. 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88 8 06 03503 Мероприятия в области жилищного хозяйства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данной целевой статье отражаются расходы бюджета поселения на проведение текущего ремонта муниципального жилищного фонда.</w:t>
      </w:r>
    </w:p>
    <w:p>
      <w:pPr>
        <w:pStyle w:val="Normal"/>
        <w:autoSpaceDE w:val="false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>
        <w:rPr>
          <w:rFonts w:eastAsia="Calibri"/>
          <w:bCs/>
          <w:color w:val="000000"/>
          <w:sz w:val="24"/>
          <w:szCs w:val="28"/>
          <w:lang w:eastAsia="en-US"/>
        </w:rPr>
      </w:r>
    </w:p>
    <w:p>
      <w:pPr>
        <w:pStyle w:val="Normal"/>
        <w:autoSpaceDE w:val="false"/>
        <w:jc w:val="center"/>
        <w:rPr/>
      </w:pPr>
      <w:r>
        <w:rPr>
          <w:rFonts w:eastAsia="Calibri"/>
          <w:bCs/>
          <w:sz w:val="28"/>
          <w:szCs w:val="28"/>
          <w:lang w:eastAsia="en-US"/>
        </w:rPr>
        <w:t>88 8 06 14010 Мероприятия в области социальной политики</w:t>
      </w:r>
    </w:p>
    <w:p>
      <w:pPr>
        <w:pStyle w:val="Normal"/>
        <w:autoSpaceDE w:val="false"/>
        <w:jc w:val="center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данной целевой статье отражаются расходы бюджета поселения на проведение мероприятий в области социальной политики.</w:t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88 8 06 60102 Уличное освещение за счет средств местного бюджета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бюджета поселения на уличное освещение.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88 8 06 60503 Прочие мероприятия по благоустройству городских округов и поселений за счет средств местного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бюджета поселения на прочие мероприятия по благоустройству населенных пунктов поселения.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88 8 06 92035 Прочие выплаты по обязательствам </w:t>
      </w:r>
    </w:p>
    <w:p>
      <w:pPr>
        <w:pStyle w:val="Normal"/>
        <w:autoSpaceDE w:val="false"/>
        <w:jc w:val="center"/>
        <w:rPr/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данной целевой статье отражаются расходы бюджета поселения на иные выплаты по обязательствам муниципального образования, не отнесенные к другим целевым статьям, в том числе на представительские расходы.</w:t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autoSpaceDE w:val="false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3"/>
        <w:gridCol w:w="7791"/>
      </w:tblGrid>
      <w:tr>
        <w:trPr>
          <w:trHeight w:val="23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ind w:firstLine="709"/>
              <w:jc w:val="center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Перечень кодов целевых статей расходов бюджета поселения на 2021 год</w:t>
            </w:r>
          </w:p>
          <w:p>
            <w:pPr>
              <w:pStyle w:val="Normal"/>
              <w:autoSpaceDE w:val="false"/>
              <w:ind w:firstLine="709"/>
              <w:jc w:val="center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554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КЦСР</w:t>
            </w:r>
          </w:p>
          <w:p>
            <w:pPr>
              <w:pStyle w:val="Normal"/>
              <w:autoSpaceDE w:val="false"/>
              <w:ind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ind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КЦСР </w:t>
            </w:r>
          </w:p>
          <w:p>
            <w:pPr>
              <w:pStyle w:val="Normal"/>
              <w:autoSpaceDE w:val="false"/>
              <w:ind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06 0 00 00000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«Развитие транспортной системы в Шарангском муниципальном районе Нижегородской области в 2021 – 2025 годы»  </w:t>
            </w:r>
          </w:p>
          <w:p>
            <w:pPr>
              <w:pStyle w:val="Normal"/>
              <w:autoSpaceDE w:val="false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06 2 02 0</w:t>
            </w:r>
            <w:r>
              <w:rPr>
                <w:sz w:val="24"/>
                <w:szCs w:val="24"/>
              </w:rPr>
              <w:t>7080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08 0 00 00000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08 2 02 03000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пожарной безопасности объектов и населенных пунктов Шарангского муниципального района </w:t>
            </w:r>
          </w:p>
        </w:tc>
      </w:tr>
      <w:tr>
        <w:trPr>
          <w:trHeight w:val="410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08 2 02 03990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Содержание подразделений муниципальной пожарной охраны поселения 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14 2 00 00000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Межбюджетные трансферты за счет 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Непрограммные расходы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88 8 03 00000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Мероприятия в области жилищного хозяйства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88 8 06 60102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exact" w:line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за счет средств местного бюджета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88 8 06 60503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exact" w:line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</w:tr>
      <w:tr>
        <w:trPr>
          <w:trHeight w:val="23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88 8 06 92035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exact" w:line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Style20"/>
        <w:ind w:firstLine="708"/>
        <w:jc w:val="both"/>
        <w:rPr>
          <w:rFonts w:ascii="Calibri" w:hAnsi="Calibri" w:eastAsia="Calibri" w:cs="Calibri"/>
          <w:b w:val="false"/>
          <w:b w:val="false"/>
          <w:sz w:val="22"/>
          <w:szCs w:val="28"/>
          <w:lang w:eastAsia="en-US"/>
        </w:rPr>
      </w:pPr>
      <w:r>
        <w:rPr>
          <w:rFonts w:eastAsia="Calibri" w:cs="Calibri" w:ascii="Calibri" w:hAnsi="Calibri"/>
          <w:b w:val="false"/>
          <w:sz w:val="22"/>
          <w:szCs w:val="28"/>
          <w:lang w:eastAsia="en-US"/>
        </w:rPr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Основной текст_"/>
    <w:qFormat/>
    <w:rPr>
      <w:sz w:val="27"/>
      <w:szCs w:val="27"/>
      <w:shd w:fill="FFFFFF" w:val="clear"/>
    </w:rPr>
  </w:style>
  <w:style w:type="character" w:styleId="11">
    <w:name w:val="Заголовок №1_"/>
    <w:qFormat/>
    <w:rPr>
      <w:sz w:val="26"/>
      <w:szCs w:val="26"/>
      <w:shd w:fill="FFFFFF" w:val="clear"/>
    </w:rPr>
  </w:style>
  <w:style w:type="character" w:styleId="2pt">
    <w:name w:val="Основной текст + Интервал 2 pt"/>
    <w:qFormat/>
    <w:rPr>
      <w:rFonts w:ascii="Times New Roman" w:hAnsi="Times New Roman" w:eastAsia="Times New Roman" w:cs="Times New Roman"/>
      <w:spacing w:val="40"/>
      <w:sz w:val="27"/>
      <w:szCs w:val="27"/>
      <w:shd w:fill="FFFFFF" w:val="clear"/>
    </w:rPr>
  </w:style>
  <w:style w:type="character" w:styleId="12">
    <w:name w:val="Гиперссылка1"/>
    <w:qFormat/>
    <w:rPr>
      <w:color w:val="0000FF"/>
      <w:u w:val="single"/>
    </w:rPr>
  </w:style>
  <w:style w:type="character" w:styleId="Style16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7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8">
    <w:name w:val="Интернет-ссылка"/>
    <w:rPr>
      <w:color w:val="0563C1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/>
    <w:rPr>
      <w:b/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 Знак14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5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13">
    <w:name w:val="Основной текст1"/>
    <w:basedOn w:val="Normal"/>
    <w:qFormat/>
    <w:pPr>
      <w:shd w:fill="FFFFFF" w:val="clear"/>
      <w:spacing w:lineRule="exact" w:line="320" w:before="0" w:after="600"/>
      <w:jc w:val="right"/>
    </w:pPr>
    <w:rPr>
      <w:sz w:val="27"/>
      <w:szCs w:val="27"/>
      <w:lang w:val="ru-RU"/>
    </w:rPr>
  </w:style>
  <w:style w:type="paragraph" w:styleId="15">
    <w:name w:val="Заголовок №1"/>
    <w:basedOn w:val="Normal"/>
    <w:qFormat/>
    <w:pPr>
      <w:shd w:fill="FFFFFF" w:val="clear"/>
      <w:spacing w:lineRule="exact" w:line="324" w:before="600" w:after="240"/>
      <w:outlineLvl w:val="0"/>
    </w:pPr>
    <w:rPr>
      <w:sz w:val="26"/>
      <w:szCs w:val="26"/>
      <w:lang w:val="ru-RU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7B8C86BA7067AF69D758874688CA9084382903ABCFA20944C22387CDED081BF5A31A42FA6E9085DRFw8L" TargetMode="External"/><Relationship Id="rId4" Type="http://schemas.openxmlformats.org/officeDocument/2006/relationships/hyperlink" Target="consultantplus://offline/ref=B7B8C86BA7067AF69D758874688CA9084382903ABCFA20944C22387CDED081BF5A31A42FA6E9085DRFw8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642</TotalTime>
  <Application>LibreOffice/7.0.3.1$Windows_X86_64 LibreOffice_project/d7547858d014d4cf69878db179d326fc3483e082</Application>
  <Pages>13</Pages>
  <Words>2072</Words>
  <Characters>14659</Characters>
  <CharactersWithSpaces>16689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2013-11-20T10:48:00Z</dcterms:created>
  <dc:creator>Домрачева</dc:creator>
  <dc:description/>
  <cp:keywords> </cp:keywords>
  <dc:language>ru-RU</dc:language>
  <cp:lastModifiedBy>Пользователь Windows</cp:lastModifiedBy>
  <cp:lastPrinted>2020-01-08T13:00:00Z</cp:lastPrinted>
  <dcterms:modified xsi:type="dcterms:W3CDTF">2020-12-29T17:59:00Z</dcterms:modified>
  <cp:revision>133</cp:revision>
  <dc:subject/>
  <dc:title>Администрация Шарангского района</dc:title>
</cp:coreProperties>
</file>