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sz w:val="28"/>
          <w:szCs w:val="28"/>
          <w:lang w:val="ru-RU" w:eastAsia="ru-RU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635000" cy="6350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АДМИНИСТРАЦИЯ РОЖЕНЦОВСКОГО СЕЛЬСОВЕТА ШАРАНГСКОГО МУНИЦИПАЛЬНОГО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А С П О Р Я Ж Е Н И Е</w:t>
      </w:r>
    </w:p>
    <w:p>
      <w:pPr>
        <w:pStyle w:val="1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</w:r>
    </w:p>
    <w:p>
      <w:pPr>
        <w:pStyle w:val="Style17"/>
        <w:ind w:firstLine="708"/>
        <w:rPr/>
      </w:pPr>
      <w:r>
        <w:rPr>
          <w:rFonts w:cs="Arial" w:ascii="Arial" w:hAnsi="Arial"/>
          <w:b w:val="false"/>
          <w:bCs/>
          <w:szCs w:val="28"/>
        </w:rPr>
        <w:t>24.12.2018</w:t>
        <w:tab/>
        <w:tab/>
        <w:tab/>
        <w:tab/>
        <w:tab/>
        <w:tab/>
        <w:tab/>
        <w:tab/>
        <w:tab/>
        <w:t>№ 17</w:t>
      </w:r>
      <w:r>
        <w:rPr>
          <w:rFonts w:cs="Arial" w:ascii="Arial" w:hAnsi="Arial"/>
          <w:b w:val="false"/>
          <w:bCs/>
          <w:szCs w:val="28"/>
          <w:u w:val="single"/>
        </w:rPr>
        <w:t xml:space="preserve"> </w:t>
      </w:r>
    </w:p>
    <w:p>
      <w:pPr>
        <w:pStyle w:val="Style17"/>
        <w:rPr>
          <w:rFonts w:ascii="Arial" w:hAnsi="Arial" w:cs="Arial"/>
          <w:b w:val="false"/>
          <w:b w:val="false"/>
          <w:bCs/>
          <w:szCs w:val="28"/>
          <w:u w:val="single"/>
        </w:rPr>
      </w:pPr>
      <w:r>
        <w:rPr>
          <w:rFonts w:cs="Arial" w:ascii="Arial" w:hAnsi="Arial"/>
          <w:b w:val="false"/>
          <w:bCs/>
          <w:szCs w:val="28"/>
          <w:u w:val="single"/>
        </w:rPr>
      </w:r>
    </w:p>
    <w:p>
      <w:pPr>
        <w:pStyle w:val="Style17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О наделении полномочиями администратора</w:t>
      </w:r>
    </w:p>
    <w:p>
      <w:pPr>
        <w:pStyle w:val="Style17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доходов бюджета на 2019 год</w:t>
      </w:r>
    </w:p>
    <w:p>
      <w:pPr>
        <w:pStyle w:val="Style17"/>
        <w:jc w:val="center"/>
        <w:rPr>
          <w:rFonts w:ascii="Arial" w:hAnsi="Arial" w:cs="Arial"/>
          <w:b w:val="false"/>
          <w:b w:val="false"/>
          <w:szCs w:val="28"/>
        </w:rPr>
      </w:pPr>
      <w:r>
        <w:rPr>
          <w:rFonts w:cs="Arial" w:ascii="Arial" w:hAnsi="Arial"/>
          <w:b w:val="false"/>
          <w:szCs w:val="28"/>
        </w:rPr>
      </w:r>
    </w:p>
    <w:p>
      <w:pPr>
        <w:pStyle w:val="Style1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Cs w:val="28"/>
        </w:rPr>
        <w:tab/>
      </w:r>
      <w:r>
        <w:rPr>
          <w:rFonts w:cs="Arial" w:ascii="Arial" w:hAnsi="Arial"/>
          <w:b w:val="false"/>
          <w:sz w:val="24"/>
          <w:szCs w:val="24"/>
        </w:rPr>
        <w:t>В соответствии со статьей 160.1 Бюджетного кодекса Российской Федерации:</w:t>
      </w:r>
    </w:p>
    <w:p>
      <w:pPr>
        <w:pStyle w:val="Style17"/>
        <w:ind w:firstLine="708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1.Закрепить за Администрацией Роженцовского сельсовета Шарангского муниципального района Нижегородской области (код главного администратора 487) источники доходов по кодам бюджетной классификации Российской Федерации согласно приложению 1.</w:t>
      </w:r>
    </w:p>
    <w:p>
      <w:pPr>
        <w:pStyle w:val="Style17"/>
        <w:ind w:firstLine="708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2.Наделить Администрацию Роженцовского сельсовета  Шарангского муниципального  района Нижегородской области следующими полномочиями администратора доходов бюджета поселения:</w:t>
      </w:r>
    </w:p>
    <w:p>
      <w:pPr>
        <w:pStyle w:val="Style17"/>
        <w:ind w:firstLine="708"/>
        <w:jc w:val="both"/>
        <w:rPr/>
      </w:pPr>
      <w:r>
        <w:rPr>
          <w:rFonts w:cs="Arial" w:ascii="Arial" w:hAnsi="Arial"/>
          <w:b w:val="false"/>
          <w:sz w:val="24"/>
          <w:szCs w:val="24"/>
        </w:rPr>
        <w:t>-начисление, учет и контроль за правильностью исчисления, полнотой и своевременностью  осуществления платежей в бюджет, пеней и штрафов по ним;</w:t>
      </w:r>
    </w:p>
    <w:p>
      <w:pPr>
        <w:pStyle w:val="Style17"/>
        <w:ind w:firstLine="708"/>
        <w:jc w:val="both"/>
        <w:rPr/>
      </w:pPr>
      <w:r>
        <w:rPr>
          <w:rFonts w:cs="Arial" w:ascii="Arial" w:hAnsi="Arial"/>
          <w:b w:val="false"/>
          <w:sz w:val="24"/>
          <w:szCs w:val="24"/>
        </w:rPr>
        <w:t>-взыскание задолженности по платежам в бюджет, пеней и штрафов;</w:t>
      </w:r>
    </w:p>
    <w:p>
      <w:pPr>
        <w:pStyle w:val="Style17"/>
        <w:ind w:firstLine="708"/>
        <w:jc w:val="both"/>
        <w:rPr/>
      </w:pPr>
      <w:r>
        <w:rPr>
          <w:rFonts w:cs="Arial" w:ascii="Arial" w:hAnsi="Arial"/>
          <w:b w:val="false"/>
          <w:sz w:val="24"/>
          <w:szCs w:val="24"/>
        </w:rPr>
        <w:t>-принятие решений о возврате излишне уплаченных (взысканных) платежей в бюджет,  пеней и штрафов, а также процентов за несвоевременное осуществление такого возврата и процентов, начисленных на излишне взысканные суммы, и представление  документов в Управление федерального казначейства по Нижегородской области   для осуществления возврата в порядке, установленном Министерством финансов Российской Федерации;</w:t>
      </w:r>
    </w:p>
    <w:p>
      <w:pPr>
        <w:pStyle w:val="Style17"/>
        <w:ind w:firstLine="708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-принятие решения о зачете (уточнении) платежей в районный бюджет и представление  уведомлений в Управление федерального казначейства по Нижегородской области;</w:t>
      </w:r>
    </w:p>
    <w:p>
      <w:pPr>
        <w:pStyle w:val="Style17"/>
        <w:ind w:firstLine="708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-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b w:val="false"/>
          <w:sz w:val="24"/>
          <w:szCs w:val="24"/>
        </w:rPr>
        <w:t xml:space="preserve">предоставление информации, необходимой для уплаты денежных средств физическими и юридическими лицами за государственные и муниципальные услуги, а также иных платежей, являющихся источниками формирования доходов бюджетов бюджетной системы Российской Федерации, в Государственную информационную систему о государственных и муниципальных платежах в соответствии с порядком, установленным Федеральным </w:t>
      </w:r>
      <w:hyperlink r:id="rId3">
        <w:r>
          <w:rPr>
            <w:rStyle w:val="Style15"/>
            <w:rFonts w:cs="Arial" w:ascii="Arial" w:hAnsi="Arial"/>
            <w:b w:val="false"/>
            <w:sz w:val="24"/>
            <w:szCs w:val="24"/>
          </w:rPr>
          <w:t>законом</w:t>
        </w:r>
      </w:hyperlink>
      <w:r>
        <w:rPr>
          <w:rFonts w:cs="Arial" w:ascii="Arial" w:hAnsi="Arial"/>
          <w:b w:val="false"/>
          <w:sz w:val="24"/>
          <w:szCs w:val="24"/>
        </w:rPr>
        <w:t xml:space="preserve"> от 27 июля 2010 года N 210-ФЗ "Об организации предоставления государственных и муниципальных услуг";</w:t>
      </w:r>
    </w:p>
    <w:p>
      <w:pPr>
        <w:pStyle w:val="Style17"/>
        <w:ind w:firstLine="708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-принятие решений о признании безнадежной к взысканию задолженности по платежам в бюджет;</w:t>
      </w:r>
    </w:p>
    <w:p>
      <w:pPr>
        <w:pStyle w:val="Style17"/>
        <w:ind w:firstLine="708"/>
        <w:jc w:val="both"/>
        <w:rPr/>
      </w:pPr>
      <w:r>
        <w:rPr>
          <w:rFonts w:cs="Arial" w:ascii="Arial" w:hAnsi="Arial"/>
          <w:b w:val="false"/>
          <w:sz w:val="24"/>
          <w:szCs w:val="24"/>
        </w:rPr>
        <w:t>-формирование и представление сведений и бюджетной отчетности, необходимой для осуществления полномочий администратора доходов бюджета;</w:t>
      </w:r>
    </w:p>
    <w:p>
      <w:pPr>
        <w:pStyle w:val="Style17"/>
        <w:ind w:firstLine="708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-осуществление иных бюджетных полномочий, установленных Бюджетным кодексом Российской Федерации и принятие в соответствии с ним муниципальных правовых актов, регулирующих бюджетные правоотношения.</w:t>
      </w:r>
    </w:p>
    <w:p>
      <w:pPr>
        <w:pStyle w:val="Style17"/>
        <w:ind w:firstLine="708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3.Контроль за исполнением настоящего распоряжения оставляю за собой.</w:t>
      </w:r>
    </w:p>
    <w:p>
      <w:pPr>
        <w:pStyle w:val="Style17"/>
        <w:ind w:firstLine="708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Style17"/>
        <w:ind w:firstLine="708"/>
        <w:jc w:val="center"/>
        <w:rPr>
          <w:rFonts w:ascii="Arial" w:hAnsi="Arial" w:cs="Arial"/>
          <w:b w:val="false"/>
          <w:b w:val="false"/>
          <w:szCs w:val="28"/>
        </w:rPr>
      </w:pPr>
      <w:r>
        <w:rPr>
          <w:rFonts w:cs="Arial" w:ascii="Arial" w:hAnsi="Arial"/>
          <w:b w:val="false"/>
          <w:sz w:val="24"/>
          <w:szCs w:val="24"/>
        </w:rPr>
        <w:t>Глава администрации</w:t>
        <w:tab/>
        <w:tab/>
        <w:tab/>
        <w:tab/>
        <w:tab/>
        <w:t>Л.А. Козлова</w:t>
      </w:r>
    </w:p>
    <w:p>
      <w:pPr>
        <w:pStyle w:val="Style17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Приложение 1</w:t>
      </w:r>
    </w:p>
    <w:p>
      <w:pPr>
        <w:pStyle w:val="Style17"/>
        <w:jc w:val="right"/>
        <w:rPr/>
      </w:pPr>
      <w:r>
        <w:rPr>
          <w:rFonts w:cs="Arial" w:ascii="Arial" w:hAnsi="Arial"/>
          <w:b w:val="false"/>
          <w:sz w:val="24"/>
          <w:szCs w:val="24"/>
        </w:rPr>
        <w:t xml:space="preserve">к распоряжению администрации </w:t>
      </w:r>
    </w:p>
    <w:p>
      <w:pPr>
        <w:pStyle w:val="Style17"/>
        <w:jc w:val="right"/>
        <w:rPr/>
      </w:pPr>
      <w:r>
        <w:rPr>
          <w:rFonts w:cs="Arial" w:ascii="Arial" w:hAnsi="Arial"/>
          <w:b w:val="false"/>
          <w:sz w:val="24"/>
          <w:szCs w:val="24"/>
        </w:rPr>
        <w:t>Роженцовского сельсовета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от 24.12.2018 № 17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4"/>
          <w:szCs w:val="28"/>
        </w:rPr>
      </w:pPr>
      <w:r>
        <w:rPr>
          <w:rFonts w:cs="Arial" w:ascii="Arial" w:hAnsi="Arial"/>
          <w:b w:val="false"/>
          <w:sz w:val="24"/>
          <w:szCs w:val="28"/>
        </w:rPr>
      </w:r>
    </w:p>
    <w:p>
      <w:pPr>
        <w:pStyle w:val="Style17"/>
        <w:tabs>
          <w:tab w:val="clear" w:pos="708"/>
          <w:tab w:val="center" w:pos="4677" w:leader="none"/>
          <w:tab w:val="right" w:pos="9355" w:leader="none"/>
        </w:tabs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Перечень источников доходов бюджета поселения, полномочия по администрированию которых возложены  на Администрацию Роженцовского сельсовета Шарангского муниципального района Нижегородской области</w:t>
      </w:r>
    </w:p>
    <w:p>
      <w:pPr>
        <w:pStyle w:val="Style17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tbl>
      <w:tblPr>
        <w:tblW w:w="9580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548"/>
        <w:gridCol w:w="3366"/>
        <w:gridCol w:w="4666"/>
      </w:tblGrid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</w:t>
            </w: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</w:p>
          <w:p>
            <w:pPr>
              <w:pStyle w:val="Style17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п\п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Коды бюджетной классификации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 доходов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1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487 108 04020 01 1000 110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snapToGrid w:val="false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2</w:t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  <w:lang w:val="en-US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  <w:lang w:val="en-US"/>
              </w:rPr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 xml:space="preserve">487 108 04020 01 </w:t>
            </w:r>
            <w:r>
              <w:rPr>
                <w:rFonts w:cs="Arial" w:ascii="Arial" w:hAnsi="Arial"/>
                <w:b w:val="false"/>
                <w:sz w:val="24"/>
                <w:szCs w:val="24"/>
                <w:lang w:val="en-US"/>
              </w:rPr>
              <w:t>4</w:t>
            </w:r>
            <w:r>
              <w:rPr>
                <w:rFonts w:cs="Arial" w:ascii="Arial" w:hAnsi="Arial"/>
                <w:b w:val="false"/>
                <w:sz w:val="24"/>
                <w:szCs w:val="24"/>
              </w:rPr>
              <w:t>000 110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snapToGrid w:val="false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3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487 113 01995 10 0000 130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snapToGrid w:val="false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487 113 02995 10 0023 130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Прочие доходы от компенсации затрат бюджетов сельских поселений, источником которых являются средства  бюджетов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snapToGrid w:val="false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5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487 117 0</w:t>
            </w:r>
            <w:r>
              <w:rPr>
                <w:rFonts w:cs="Arial" w:ascii="Arial" w:hAnsi="Arial"/>
                <w:b w:val="false"/>
                <w:sz w:val="24"/>
                <w:szCs w:val="24"/>
                <w:lang w:val="en-US"/>
              </w:rPr>
              <w:t>1</w:t>
            </w:r>
            <w:r>
              <w:rPr>
                <w:rFonts w:cs="Arial" w:ascii="Arial" w:hAnsi="Arial"/>
                <w:b w:val="false"/>
                <w:sz w:val="24"/>
                <w:szCs w:val="24"/>
              </w:rPr>
              <w:t>050 10 0000 180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Невыясненные поступления, зачисляемые в бюджеты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6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487 117 05050 10 0000 180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Прочие неналоговые доходы бюджетов сельских 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snapToGrid w:val="false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7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487 202 15001 10 0000 150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8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487 202 35118 10 0</w:t>
            </w:r>
            <w:r>
              <w:rPr>
                <w:rFonts w:cs="Arial" w:ascii="Arial" w:hAnsi="Arial"/>
                <w:b w:val="false"/>
                <w:sz w:val="24"/>
                <w:szCs w:val="24"/>
                <w:lang w:val="en-US"/>
              </w:rPr>
              <w:t>11</w:t>
            </w:r>
            <w:r>
              <w:rPr>
                <w:rFonts w:cs="Arial" w:ascii="Arial" w:hAnsi="Arial"/>
                <w:b w:val="false"/>
                <w:sz w:val="24"/>
                <w:szCs w:val="24"/>
              </w:rPr>
              <w:t>0 150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snapToGrid w:val="false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9</w:t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487 202 45160 10 0000 150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snapToGrid w:val="false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10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487 202 49 999 10 0000 150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11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487 202 49 999 10 9000 150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snapToGrid w:val="false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12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487 204 05 099 10 0000 150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Прочие безвозмездные поступления от негосударственных организаций в бюджеты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13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487 204 05 099 10 9000 150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14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487 207 05 030 10 0000 150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Прочие безвозмездные поступления в бюджеты сельских поселений</w:t>
            </w:r>
          </w:p>
        </w:tc>
      </w:tr>
      <w:tr>
        <w:trPr/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Style17"/>
              <w:snapToGrid w:val="false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</w:r>
          </w:p>
          <w:p>
            <w:pPr>
              <w:pStyle w:val="Style17"/>
              <w:jc w:val="center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15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Style17"/>
              <w:jc w:val="center"/>
              <w:rPr/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487 207 05 030 10 9000 150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Style17"/>
              <w:jc w:val="both"/>
              <w:rPr>
                <w:rFonts w:ascii="Arial" w:hAnsi="Arial" w:cs="Arial"/>
                <w:b w:val="false"/>
                <w:b w:val="false"/>
                <w:sz w:val="24"/>
                <w:szCs w:val="24"/>
              </w:rPr>
            </w:pPr>
            <w:r>
              <w:rPr>
                <w:rFonts w:cs="Arial" w:ascii="Arial" w:hAnsi="Arial"/>
                <w:b w:val="false"/>
                <w:sz w:val="24"/>
                <w:szCs w:val="24"/>
              </w:rPr>
              <w:t>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>
      <w:pPr>
        <w:pStyle w:val="Style17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sectPr>
      <w:type w:val="nextPage"/>
      <w:pgSz w:w="11906" w:h="16838"/>
      <w:pgMar w:left="1701" w:right="851" w:header="0" w:top="737" w:footer="0" w:bottom="73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16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sz w:val="28"/>
    </w:rPr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character" w:styleId="Style15">
    <w:name w:val="Интернет-ссылка"/>
    <w:rPr>
      <w:color w:val="000080"/>
      <w:u w:val="single"/>
      <w:lang w:val="zxx" w:eastAsia="zxx" w:bidi="zxx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/>
    <w:rPr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 Знак14"/>
    <w:basedOn w:val="Normal"/>
    <w:qFormat/>
    <w:pPr>
      <w:spacing w:before="280" w:after="280"/>
    </w:pPr>
    <w:rPr>
      <w:rFonts w:ascii="Tahoma" w:hAnsi="Tahoma" w:cs="Tahoma"/>
      <w:lang w:val="en-US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2">
    <w:name w:val="Содержимое таблицы"/>
    <w:basedOn w:val="Normal"/>
    <w:qFormat/>
    <w:pPr>
      <w:suppressLineNumbers/>
    </w:pPr>
    <w:rPr/>
  </w:style>
  <w:style w:type="paragraph" w:styleId="Style23">
    <w:name w:val="Заголовок таблицы"/>
    <w:basedOn w:val="Style22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C2F9F44821E5479B509F1750B1C546D32DB8B17F8070275F3A45E8686CJFn8H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132</TotalTime>
  <Application>LibreOffice/6.1.3.2$Windows_X86_64 LibreOffice_project/86daf60bf00efa86ad547e59e09d6bb77c699acb</Application>
  <Pages>3</Pages>
  <Words>657</Words>
  <Characters>4558</Characters>
  <CharactersWithSpaces>5173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2013-11-20T11:48:00Z</dcterms:created>
  <dc:creator>Домрачева</dc:creator>
  <dc:description/>
  <cp:keywords/>
  <dc:language>ru-RU</dc:language>
  <cp:lastModifiedBy>User</cp:lastModifiedBy>
  <cp:lastPrinted>2018-12-24T11:54:00Z</cp:lastPrinted>
  <dcterms:modified xsi:type="dcterms:W3CDTF">2018-12-24T12:00:00Z</dcterms:modified>
  <cp:revision>36</cp:revision>
  <dc:subject/>
  <dc:title>Администрация Шарангского района</dc:title>
</cp:coreProperties>
</file>