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b/>
          <w:b/>
        </w:rPr>
      </w:pPr>
      <w:r>
        <w:rPr>
          <w:rFonts w:eastAsia="Arial" w:cs="Arial" w:ascii="Arial" w:hAnsi="Arial"/>
          <w:b/>
        </w:rPr>
        <w:t xml:space="preserve">  </w:t>
      </w:r>
      <w:r>
        <w:rPr>
          <w:rFonts w:cs="Arial" w:ascii="Arial" w:hAnsi="Arial"/>
          <w:b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b/>
        </w:rPr>
        <w:t xml:space="preserve">          </w:t>
      </w:r>
      <w:r>
        <w:rPr>
          <w:rFonts w:eastAsia="Arial" w:cs="Arial" w:ascii="Arial" w:hAnsi="Arial"/>
          <w:b/>
          <w:i/>
          <w:u w:val="single"/>
        </w:rPr>
        <w:t xml:space="preserve">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before="0" w:after="60"/>
        <w:ind w:firstLine="567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before="0" w:after="60"/>
        <w:ind w:left="142" w:firstLine="567"/>
        <w:jc w:val="center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/>
      </w:pPr>
      <w:r>
        <w:rPr>
          <w:rFonts w:cs="Arial" w:ascii="Arial" w:hAnsi="Arial"/>
        </w:rPr>
        <w:t>от 17.12.2021</w:t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51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бюджете поселения на 2022 год</w:t>
      </w:r>
    </w:p>
    <w:p>
      <w:pPr>
        <w:pStyle w:val="Normal"/>
        <w:rPr/>
      </w:pPr>
      <w:r>
        <w:rPr/>
        <w:tab/>
      </w:r>
      <w:r>
        <w:rPr>
          <w:rFonts w:cs="Arial" w:ascii="Arial" w:hAnsi="Arial"/>
          <w:b/>
        </w:rPr>
        <w:t>Статья 1.</w:t>
      </w:r>
    </w:p>
    <w:p>
      <w:pPr>
        <w:pStyle w:val="Normal"/>
        <w:ind w:left="360" w:hanging="0"/>
        <w:jc w:val="both"/>
        <w:rPr/>
      </w:pPr>
      <w:r>
        <w:rPr>
          <w:rFonts w:eastAsia="Arial" w:cs="Arial" w:ascii="Arial" w:hAnsi="Arial"/>
        </w:rPr>
        <w:t xml:space="preserve">    </w:t>
      </w:r>
      <w:r>
        <w:rPr>
          <w:rFonts w:cs="Arial" w:ascii="Arial" w:hAnsi="Arial"/>
        </w:rPr>
        <w:t>Утвердить основные характеристики бюджета поселения</w:t>
      </w:r>
      <w:r>
        <w:rPr>
          <w:rFonts w:cs="Arial" w:ascii="Arial" w:hAnsi="Arial"/>
          <w:b/>
        </w:rPr>
        <w:t xml:space="preserve"> </w:t>
      </w:r>
      <w:r>
        <w:rPr>
          <w:rFonts w:cs="Arial" w:ascii="Arial" w:hAnsi="Arial"/>
        </w:rPr>
        <w:t xml:space="preserve">  на 2022 год: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общий объем доходов в сумме    </w:t>
      </w:r>
      <w:r>
        <w:rPr>
          <w:rFonts w:cs="Arial" w:ascii="Arial" w:hAnsi="Arial"/>
          <w:b/>
        </w:rPr>
        <w:t>69 095,3</w:t>
      </w:r>
      <w:r>
        <w:rPr>
          <w:rFonts w:cs="Arial" w:ascii="Arial" w:hAnsi="Arial"/>
        </w:rPr>
        <w:t xml:space="preserve"> тыс. рублей;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общий объем расходов в сумме   </w:t>
      </w:r>
      <w:r>
        <w:rPr>
          <w:rFonts w:cs="Arial" w:ascii="Arial" w:hAnsi="Arial"/>
          <w:b/>
        </w:rPr>
        <w:t>69 095,3</w:t>
      </w:r>
      <w:r>
        <w:rPr>
          <w:rFonts w:cs="Arial" w:ascii="Arial" w:hAnsi="Arial"/>
        </w:rPr>
        <w:t xml:space="preserve"> тыс. рублей.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</w:rPr>
        <w:t>размер дефицита в сумме 0,0 тыс. рублей.</w:t>
      </w:r>
    </w:p>
    <w:p>
      <w:pPr>
        <w:pStyle w:val="Normal"/>
        <w:tabs>
          <w:tab w:val="clear" w:pos="708"/>
          <w:tab w:val="left" w:pos="0" w:leader="none"/>
        </w:tabs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08"/>
          <w:tab w:val="left" w:pos="0" w:leader="none"/>
        </w:tabs>
        <w:ind w:firstLine="567"/>
        <w:jc w:val="both"/>
        <w:rPr/>
      </w:pPr>
      <w:r>
        <w:rPr>
          <w:rFonts w:cs="Arial" w:ascii="Arial" w:hAnsi="Arial"/>
          <w:b/>
        </w:rPr>
        <w:t>Статья 2.</w:t>
      </w:r>
    </w:p>
    <w:p>
      <w:pPr>
        <w:pStyle w:val="Normal"/>
        <w:tabs>
          <w:tab w:val="clear" w:pos="708"/>
          <w:tab w:val="left" w:pos="0" w:leader="none"/>
        </w:tabs>
        <w:ind w:firstLine="567"/>
        <w:jc w:val="both"/>
        <w:rPr/>
      </w:pPr>
      <w:r>
        <w:rPr>
          <w:rFonts w:cs="Arial" w:ascii="Arial" w:hAnsi="Arial"/>
        </w:rPr>
        <w:tab/>
        <w:t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решения, на 2022 год согласно приложению 1.</w:t>
      </w:r>
    </w:p>
    <w:p>
      <w:pPr>
        <w:pStyle w:val="Normal"/>
        <w:tabs>
          <w:tab w:val="clear" w:pos="708"/>
          <w:tab w:val="left" w:pos="0" w:leader="none"/>
        </w:tabs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08"/>
          <w:tab w:val="left" w:pos="0" w:leader="none"/>
        </w:tabs>
        <w:jc w:val="both"/>
        <w:rPr>
          <w:rFonts w:ascii="Arial" w:hAnsi="Arial" w:cs="Arial"/>
        </w:rPr>
      </w:pPr>
      <w:r>
        <w:rPr>
          <w:rFonts w:eastAsia="Arial" w:cs="Arial" w:ascii="Arial" w:hAnsi="Arial"/>
          <w:b/>
        </w:rPr>
        <w:t xml:space="preserve">          </w:t>
      </w:r>
      <w:r>
        <w:rPr>
          <w:rFonts w:cs="Arial" w:ascii="Arial" w:hAnsi="Arial"/>
          <w:b/>
        </w:rPr>
        <w:t>Статья 3</w:t>
      </w:r>
      <w:r>
        <w:rPr>
          <w:rFonts w:cs="Arial" w:ascii="Arial" w:hAnsi="Arial"/>
        </w:rPr>
        <w:t>.</w:t>
      </w:r>
    </w:p>
    <w:p>
      <w:pPr>
        <w:pStyle w:val="Normal"/>
        <w:tabs>
          <w:tab w:val="clear" w:pos="708"/>
          <w:tab w:val="left" w:pos="0" w:leader="none"/>
        </w:tabs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</w:t>
      </w:r>
      <w:r>
        <w:rPr>
          <w:rFonts w:cs="Arial" w:ascii="Arial" w:hAnsi="Arial"/>
        </w:rPr>
        <w:t>Утвердить общий объем налоговых и неналоговых доходов на 2022год в сумме 17 198,0 тыс. рублей.</w:t>
      </w:r>
    </w:p>
    <w:p>
      <w:pPr>
        <w:pStyle w:val="Normal"/>
        <w:tabs>
          <w:tab w:val="clear" w:pos="708"/>
          <w:tab w:val="left" w:pos="0" w:leader="none"/>
        </w:tabs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  <w:b/>
          <w:b/>
        </w:rPr>
      </w:pPr>
      <w:r>
        <w:rPr>
          <w:rFonts w:eastAsia="Arial" w:cs="Arial" w:ascii="Arial" w:hAnsi="Arial"/>
          <w:b/>
        </w:rPr>
        <w:t xml:space="preserve">         </w:t>
      </w:r>
      <w:r>
        <w:rPr>
          <w:rFonts w:cs="Arial" w:ascii="Arial" w:hAnsi="Arial"/>
          <w:b/>
        </w:rPr>
        <w:t>Статья 4.</w:t>
      </w:r>
    </w:p>
    <w:p>
      <w:pPr>
        <w:pStyle w:val="Normal"/>
        <w:rPr/>
      </w:pPr>
      <w:r>
        <w:rPr>
          <w:rFonts w:eastAsia="Arial" w:cs="Arial" w:ascii="Arial" w:hAnsi="Arial"/>
          <w:b/>
        </w:rPr>
        <w:t xml:space="preserve">          </w:t>
      </w:r>
      <w:r>
        <w:rPr>
          <w:rFonts w:cs="Arial" w:ascii="Arial" w:hAnsi="Arial"/>
        </w:rPr>
        <w:t>Утвердить объем безвозмездных поступлений, получаемых из других бюджетов бюджетной системы Российской Федерации на 2022 год в сумме 51 897,3тыс.рублей, в том числе объем  субсидий, субвенций и иных межбюджетных трансфертов, имеющих целевое назначение  в сумме  12 943,8тыс.рублей.</w:t>
      </w:r>
    </w:p>
    <w:p>
      <w:pPr>
        <w:pStyle w:val="Normal"/>
        <w:tabs>
          <w:tab w:val="clear" w:pos="708"/>
          <w:tab w:val="left" w:pos="0" w:leader="none"/>
        </w:tabs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08"/>
          <w:tab w:val="left" w:pos="0" w:leader="none"/>
        </w:tabs>
        <w:ind w:firstLine="567"/>
        <w:jc w:val="both"/>
        <w:rPr/>
      </w:pPr>
      <w:r>
        <w:rPr>
          <w:rFonts w:cs="Arial" w:ascii="Arial" w:hAnsi="Arial"/>
          <w:b/>
        </w:rPr>
        <w:t>Статья 5.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0" w:leader="none"/>
        </w:tabs>
        <w:ind w:left="0" w:firstLine="567"/>
        <w:jc w:val="both"/>
        <w:rPr/>
      </w:pPr>
      <w:r>
        <w:rPr>
          <w:rFonts w:cs="Arial" w:ascii="Arial" w:hAnsi="Arial"/>
        </w:rPr>
        <w:t>Недоимка, пени и штрафы за несвоевременную уплату налогов зачисляются в   бюджет поселения   по нормативам, действующим в текущем финансовом году.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0" w:leader="none"/>
        </w:tabs>
        <w:ind w:left="0" w:firstLine="567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>Недоимка, пени и штрафы по отмененным налогам и сборам зачисляются в  бюджет поселения по следующим нормативам:</w:t>
      </w:r>
    </w:p>
    <w:p>
      <w:pPr>
        <w:pStyle w:val="Normal"/>
        <w:tabs>
          <w:tab w:val="clear" w:pos="708"/>
          <w:tab w:val="left" w:pos="0" w:leader="none"/>
        </w:tabs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- земельный налог (по обязательствам, возникшим до 1 января 2006 года), мобилизуемый на территории поселения- 100 процентов.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0" w:leader="none"/>
        </w:tabs>
        <w:ind w:left="0" w:firstLine="567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</w:t>
      </w:r>
      <w:r>
        <w:rPr>
          <w:rFonts w:cs="Arial" w:ascii="Arial" w:hAnsi="Arial"/>
        </w:rPr>
        <w:t>Невыясненные поступления зачисляются в бюджет поселения      по   нормативу 100 процентов.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0" w:leader="none"/>
        </w:tabs>
        <w:ind w:left="0" w:firstLine="567"/>
        <w:jc w:val="both"/>
        <w:rPr/>
      </w:pPr>
      <w:r>
        <w:rPr>
          <w:rFonts w:eastAsia="Arial" w:cs="Arial" w:ascii="Arial" w:hAnsi="Arial"/>
        </w:rPr>
        <w:t xml:space="preserve">   </w:t>
      </w:r>
      <w:r>
        <w:rPr>
          <w:rFonts w:cs="Arial" w:ascii="Arial" w:hAnsi="Arial"/>
        </w:rPr>
        <w:t>Средства самообложения граждан зачисляются в бюджет поселения по нормативу 100 процентов.</w:t>
      </w:r>
    </w:p>
    <w:p>
      <w:pPr>
        <w:pStyle w:val="Normal"/>
        <w:ind w:firstLine="720"/>
        <w:jc w:val="both"/>
        <w:rPr>
          <w:rFonts w:ascii="Arial" w:hAnsi="Arial" w:cs="Arial"/>
          <w:i/>
          <w:i/>
        </w:rPr>
      </w:pPr>
      <w:r>
        <w:rPr>
          <w:rFonts w:cs="Arial" w:ascii="Arial" w:hAnsi="Arial"/>
          <w:i/>
        </w:rPr>
      </w:r>
    </w:p>
    <w:p>
      <w:pPr>
        <w:pStyle w:val="Normal"/>
        <w:ind w:firstLine="720"/>
        <w:jc w:val="both"/>
        <w:rPr/>
      </w:pPr>
      <w:r>
        <w:rPr>
          <w:rFonts w:eastAsia="Arial" w:cs="Arial" w:ascii="Arial" w:hAnsi="Arial"/>
          <w:b/>
        </w:rPr>
        <w:t xml:space="preserve"> </w:t>
      </w:r>
      <w:r>
        <w:rPr>
          <w:rFonts w:cs="Arial" w:ascii="Arial" w:hAnsi="Arial"/>
          <w:b/>
        </w:rPr>
        <w:t>Статья 6.</w:t>
      </w:r>
    </w:p>
    <w:p>
      <w:pPr>
        <w:pStyle w:val="ConsNormal"/>
        <w:ind w:firstLine="737"/>
        <w:jc w:val="both"/>
        <w:rPr/>
      </w:pPr>
      <w:r>
        <w:rPr>
          <w:sz w:val="24"/>
          <w:szCs w:val="24"/>
        </w:rPr>
        <w:t xml:space="preserve">1. Утвердить в пределах общего объема расходов, утвержденного статьей 1 настоящего решения: </w:t>
      </w:r>
    </w:p>
    <w:p>
      <w:pPr>
        <w:pStyle w:val="ConsNormal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  <w:t>1) распределение бюджетных ассигнований по целевым статьям (муниципальным программам и непрограммным направлениям деятельности), группам видов расходов классификации расходов бюджета поселения на 2022 год согласно приложению 3;</w:t>
      </w:r>
    </w:p>
    <w:p>
      <w:pPr>
        <w:pStyle w:val="ConsNormal"/>
        <w:ind w:firstLine="737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  <w:r>
        <w:rPr>
          <w:sz w:val="24"/>
          <w:szCs w:val="24"/>
        </w:rPr>
        <w:t>2) ведомственную структуру расходов бюджета поселения на 2022 год согласно приложению 4;</w:t>
      </w:r>
    </w:p>
    <w:p>
      <w:pPr>
        <w:pStyle w:val="ConsNormal"/>
        <w:ind w:firstLine="737"/>
        <w:jc w:val="both"/>
        <w:rPr/>
      </w:pPr>
      <w:r>
        <w:rPr>
          <w:sz w:val="24"/>
          <w:szCs w:val="24"/>
        </w:rPr>
        <w:t>3) распределение бюджетных ассигнований по разделам, подразделам, группам видов расходов классификации расходов бюджета  поселения на 2022 год  согласно приложению 5.</w:t>
      </w:r>
    </w:p>
    <w:p>
      <w:pPr>
        <w:pStyle w:val="ConsNormal"/>
        <w:ind w:firstLine="737"/>
        <w:jc w:val="both"/>
        <w:rPr/>
      </w:pPr>
      <w:r>
        <w:rPr>
          <w:sz w:val="24"/>
          <w:szCs w:val="24"/>
        </w:rPr>
        <w:t>2. Утвердить резервный фонд администрации рабочего поселка Шаранга Шарангского муниципального района  в сумме  3,0 тыс. рублей.</w:t>
      </w:r>
    </w:p>
    <w:p>
      <w:pPr>
        <w:pStyle w:val="ConsNormal"/>
        <w:ind w:firstLine="737"/>
        <w:jc w:val="both"/>
        <w:rPr>
          <w:i/>
          <w:i/>
          <w:sz w:val="24"/>
          <w:szCs w:val="24"/>
        </w:rPr>
      </w:pPr>
      <w:r>
        <w:rPr>
          <w:i/>
          <w:sz w:val="24"/>
          <w:szCs w:val="24"/>
        </w:rPr>
      </w:r>
    </w:p>
    <w:p>
      <w:pPr>
        <w:pStyle w:val="ConsNormal"/>
        <w:ind w:firstLine="737"/>
        <w:jc w:val="both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Статья 7.</w:t>
      </w:r>
    </w:p>
    <w:p>
      <w:pPr>
        <w:pStyle w:val="ConsNormal"/>
        <w:ind w:firstLine="709"/>
        <w:jc w:val="both"/>
        <w:rPr/>
      </w:pPr>
      <w:r>
        <w:rPr>
          <w:kern w:val="2"/>
          <w:sz w:val="24"/>
          <w:szCs w:val="24"/>
        </w:rPr>
        <w:t>1. Безвозмездные поступления от физических и юридических лиц, в том числе добровольные пожертвования, не использованные казенными учреждениями поселения и оставшиеся на 1 января 2022 года на едином счете бюджета поселения,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в текущем финансовом году на те же цели, с последующим уточнением бюджетных ассигнований, предусмотренных настоящим решением.</w:t>
      </w:r>
    </w:p>
    <w:p>
      <w:pPr>
        <w:pStyle w:val="ConsNormal"/>
        <w:ind w:firstLine="709"/>
        <w:jc w:val="both"/>
        <w:rPr>
          <w:i/>
          <w:i/>
          <w:sz w:val="24"/>
          <w:szCs w:val="24"/>
        </w:rPr>
      </w:pPr>
      <w:r>
        <w:rPr>
          <w:sz w:val="24"/>
          <w:szCs w:val="24"/>
        </w:rPr>
        <w:t xml:space="preserve">2. 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Шарангского муниципального района </w:t>
      </w:r>
      <w:r>
        <w:rPr>
          <w:kern w:val="2"/>
          <w:sz w:val="24"/>
          <w:szCs w:val="24"/>
        </w:rPr>
        <w:t>Нижегородской области</w:t>
      </w:r>
      <w:r>
        <w:rPr>
          <w:sz w:val="24"/>
          <w:szCs w:val="24"/>
        </w:rPr>
        <w:t>.</w:t>
      </w:r>
    </w:p>
    <w:p>
      <w:pPr>
        <w:pStyle w:val="ConsNonformat"/>
        <w:ind w:firstLine="737"/>
        <w:rPr>
          <w:rFonts w:ascii="Arial" w:hAnsi="Arial" w:cs="Arial"/>
          <w:i/>
          <w:i/>
          <w:sz w:val="24"/>
          <w:szCs w:val="24"/>
        </w:rPr>
      </w:pPr>
      <w:r>
        <w:rPr>
          <w:rFonts w:cs="Arial" w:ascii="Arial" w:hAnsi="Arial"/>
          <w:i/>
          <w:sz w:val="24"/>
          <w:szCs w:val="24"/>
        </w:rPr>
      </w:r>
    </w:p>
    <w:p>
      <w:pPr>
        <w:pStyle w:val="Normal"/>
        <w:ind w:left="360" w:hanging="0"/>
        <w:jc w:val="both"/>
        <w:rPr>
          <w:rFonts w:ascii="Arial" w:hAnsi="Arial" w:cs="Arial"/>
        </w:rPr>
      </w:pPr>
      <w:r>
        <w:rPr>
          <w:rFonts w:eastAsia="Arial" w:cs="Arial" w:ascii="Arial" w:hAnsi="Arial"/>
          <w:b/>
        </w:rPr>
        <w:t xml:space="preserve">   </w:t>
      </w:r>
      <w:r>
        <w:rPr>
          <w:rFonts w:cs="Arial" w:ascii="Arial" w:hAnsi="Arial"/>
          <w:b/>
        </w:rPr>
        <w:t>Статья 8.</w:t>
      </w:r>
    </w:p>
    <w:p>
      <w:pPr>
        <w:pStyle w:val="ConsNormal"/>
        <w:ind w:firstLine="737"/>
        <w:jc w:val="both"/>
        <w:rPr/>
      </w:pPr>
      <w:r>
        <w:rPr>
          <w:sz w:val="24"/>
          <w:szCs w:val="24"/>
        </w:rPr>
        <w:t xml:space="preserve">Утвердить дорожный фонд муниципального образования рабочий поселок Шаранга Шарангского муниципального района в сумме 2 413,9 тыс. рублей. </w:t>
      </w:r>
    </w:p>
    <w:p>
      <w:pPr>
        <w:pStyle w:val="ConsNormal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b/>
          <w:bCs/>
        </w:rPr>
        <w:t xml:space="preserve">        </w:t>
      </w:r>
      <w:r>
        <w:rPr>
          <w:rFonts w:cs="Arial" w:ascii="Arial" w:hAnsi="Arial"/>
          <w:b/>
          <w:bCs/>
        </w:rPr>
        <w:t>Статья 9.</w:t>
      </w:r>
    </w:p>
    <w:p>
      <w:pPr>
        <w:pStyle w:val="Normal"/>
        <w:ind w:firstLine="737"/>
        <w:jc w:val="both"/>
        <w:rPr/>
      </w:pPr>
      <w:r>
        <w:rPr>
          <w:rFonts w:cs="Arial" w:ascii="Arial" w:hAnsi="Arial"/>
        </w:rPr>
        <w:t> </w:t>
      </w:r>
      <w:r>
        <w:rPr>
          <w:rFonts w:cs="Arial" w:ascii="Arial" w:hAnsi="Arial"/>
        </w:rPr>
        <w:t>Утвердить в составе межбюджетных трансфертов объем иных межбюджетных трансфертов, передаваемых  из бюджета Шарангского поселкового совета Шарангского муниципального района на осуществление части полномочий по решению вопросов местного значения в соответствии с заключенным соглашением в сумме  36 985,5 тыс. рублей.</w:t>
      </w:r>
    </w:p>
    <w:p>
      <w:pPr>
        <w:pStyle w:val="Normal"/>
        <w:ind w:firstLine="73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b/>
        </w:rPr>
        <w:t xml:space="preserve">        </w:t>
      </w:r>
      <w:r>
        <w:rPr>
          <w:rFonts w:cs="Arial" w:ascii="Arial" w:hAnsi="Arial"/>
          <w:b/>
        </w:rPr>
        <w:t>Статья 10.</w:t>
      </w:r>
    </w:p>
    <w:p>
      <w:pPr>
        <w:pStyle w:val="Normal"/>
        <w:jc w:val="both"/>
        <w:rPr>
          <w:rFonts w:ascii="Arial" w:hAnsi="Arial" w:cs="Arial"/>
          <w:bCs/>
        </w:rPr>
      </w:pPr>
      <w:r>
        <w:rPr>
          <w:rFonts w:eastAsia="Arial" w:cs="Arial" w:ascii="Arial" w:hAnsi="Arial"/>
          <w:bCs/>
        </w:rPr>
        <w:t xml:space="preserve">           </w:t>
      </w:r>
      <w:r>
        <w:rPr>
          <w:rFonts w:cs="Arial" w:ascii="Arial" w:hAnsi="Arial"/>
          <w:bCs/>
        </w:rPr>
        <w:t>1.Установить верхний предел муниципального внутреннего долга рабочего поселка Шаранга Шарангского муниципального района на 1 января 2022 года в размере 0,0 тыс.рублей, в том числе установить верхний предел долга по муниципальным гарантиям на 1 января 2022года в размере 0,0 тыс.рублей.</w:t>
      </w:r>
    </w:p>
    <w:p>
      <w:pPr>
        <w:pStyle w:val="Normal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Style18"/>
        <w:ind w:left="180" w:firstLine="180"/>
        <w:jc w:val="both"/>
        <w:rPr/>
      </w:pPr>
      <w:r>
        <w:rPr>
          <w:rFonts w:eastAsia="Arial" w:cs="Arial" w:ascii="Arial" w:hAnsi="Arial"/>
          <w:bCs w:val="false"/>
          <w:sz w:val="24"/>
        </w:rPr>
        <w:t xml:space="preserve">   </w:t>
      </w:r>
      <w:r>
        <w:rPr>
          <w:rFonts w:cs="Arial" w:ascii="Arial" w:hAnsi="Arial"/>
          <w:bCs w:val="false"/>
          <w:sz w:val="24"/>
        </w:rPr>
        <w:t>Статья 11.</w:t>
      </w:r>
    </w:p>
    <w:p>
      <w:pPr>
        <w:pStyle w:val="Style18"/>
        <w:ind w:left="180" w:firstLine="180"/>
        <w:jc w:val="both"/>
        <w:rPr/>
      </w:pPr>
      <w:r>
        <w:rPr>
          <w:rFonts w:eastAsia="Arial" w:cs="Arial" w:ascii="Arial" w:hAnsi="Arial"/>
          <w:b w:val="false"/>
          <w:sz w:val="24"/>
        </w:rPr>
        <w:t xml:space="preserve">  </w:t>
      </w:r>
      <w:r>
        <w:rPr>
          <w:rFonts w:cs="Arial" w:ascii="Arial" w:hAnsi="Arial"/>
          <w:b w:val="false"/>
          <w:sz w:val="24"/>
        </w:rPr>
        <w:t>Настоящее решение вступает в силу с 1 января 2022 года.</w:t>
      </w:r>
    </w:p>
    <w:p>
      <w:pPr>
        <w:pStyle w:val="Style18"/>
        <w:ind w:left="180" w:firstLine="180"/>
        <w:jc w:val="both"/>
        <w:rPr>
          <w:rFonts w:ascii="Arial" w:hAnsi="Arial" w:cs="Arial"/>
          <w:b w:val="false"/>
          <w:b w:val="false"/>
          <w:sz w:val="24"/>
        </w:rPr>
      </w:pPr>
      <w:r>
        <w:rPr>
          <w:rFonts w:cs="Arial" w:ascii="Arial" w:hAnsi="Arial"/>
          <w:b w:val="false"/>
          <w:sz w:val="24"/>
        </w:rPr>
      </w:r>
    </w:p>
    <w:p>
      <w:pPr>
        <w:pStyle w:val="Style18"/>
        <w:ind w:left="180" w:firstLine="180"/>
        <w:rPr>
          <w:rFonts w:ascii="Arial" w:hAnsi="Arial" w:cs="Arial"/>
          <w:b w:val="false"/>
          <w:b w:val="false"/>
          <w:sz w:val="24"/>
        </w:rPr>
      </w:pPr>
      <w:r>
        <w:rPr>
          <w:rFonts w:cs="Arial" w:ascii="Arial" w:hAnsi="Arial"/>
          <w:b w:val="false"/>
          <w:sz w:val="24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Глава местного самоуправления                                                         М.В. Михеева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18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№1</w:t>
      </w:r>
    </w:p>
    <w:p>
      <w:pPr>
        <w:pStyle w:val="Style18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18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18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18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2022 год»</w:t>
      </w:r>
    </w:p>
    <w:p>
      <w:pPr>
        <w:pStyle w:val="ConsPlusNormal1"/>
        <w:ind w:left="4536" w:firstLine="567"/>
        <w:jc w:val="right"/>
        <w:rPr/>
      </w:pPr>
      <w:r>
        <w:rPr/>
        <w:t>от 17.12.2021 №51</w:t>
      </w:r>
    </w:p>
    <w:p>
      <w:pPr>
        <w:pStyle w:val="Normal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tabs>
          <w:tab w:val="clear" w:pos="708"/>
          <w:tab w:val="left" w:pos="5442" w:leader="none"/>
        </w:tabs>
        <w:jc w:val="center"/>
        <w:rPr/>
      </w:pPr>
      <w:r>
        <w:rPr>
          <w:rFonts w:cs="Arial" w:ascii="Arial" w:hAnsi="Arial"/>
          <w:b/>
          <w:sz w:val="20"/>
          <w:szCs w:val="20"/>
        </w:rPr>
        <w:t xml:space="preserve">«Поступление доходов по группам, подгруппам и статьям </w:t>
      </w:r>
    </w:p>
    <w:p>
      <w:pPr>
        <w:pStyle w:val="Normal"/>
        <w:tabs>
          <w:tab w:val="clear" w:pos="708"/>
          <w:tab w:val="left" w:pos="5442" w:leader="none"/>
        </w:tabs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бюджетной классификации на 2022 год»</w:t>
      </w:r>
    </w:p>
    <w:p>
      <w:pPr>
        <w:pStyle w:val="Normal"/>
        <w:tabs>
          <w:tab w:val="clear" w:pos="708"/>
          <w:tab w:val="left" w:pos="5442" w:leader="none"/>
        </w:tabs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тыс. руб.</w:t>
      </w:r>
    </w:p>
    <w:p>
      <w:pPr>
        <w:pStyle w:val="Normal"/>
        <w:tabs>
          <w:tab w:val="clear" w:pos="708"/>
          <w:tab w:val="left" w:pos="5442" w:leader="none"/>
        </w:tabs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tbl>
      <w:tblPr>
        <w:tblW w:w="9464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580"/>
        <w:gridCol w:w="1256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Наименование доходов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1 00 00000 00 0000 000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 Налоговые и неналоговые доходы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17 198,0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1 01 00000 00 0000 000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1.1. Налоги на прибыль, доходы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 xml:space="preserve">8 215,5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1 01 02000 01 0000 110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1.1.1. Налог на доходы физических лиц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8 343,2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1 01 02010 01 0000 110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8 134,7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1 01 02020 01 0000 110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91,7  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1 01 02030 01 0000 110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1.1.1.3.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налогов осуществляются в соответствии со статьями 227,227.1 и 228 Налогового кодекса Российской Федерации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116,8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1 03 00000 00 0000 000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2 413,9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1 03 02000 01 0000 110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2 413,9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1 03 02231 01 0000 110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</w:t>
            </w:r>
            <w:r>
              <w:rPr>
                <w:rFonts w:cs="Arial" w:ascii="Arial" w:hAnsi="Arial"/>
                <w:sz w:val="20"/>
                <w:szCs w:val="20"/>
              </w:rPr>
              <w:t>1 095,9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1 03 02241 01 0000 110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7,2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1 03 02251 01 0000 110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1 506,3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1 03 02261 01 0000 110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-195,5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1 05 00000 00 0000 000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1.3. Налоги на совокупный доход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150,7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sz w:val="20"/>
                <w:szCs w:val="20"/>
              </w:rPr>
              <w:t>1 05 03010 01 0000 110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1.3.1. Единый сельскохозяйственный налог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   </w:t>
            </w:r>
            <w:r>
              <w:rPr>
                <w:rFonts w:cs="Arial" w:ascii="Arial" w:hAnsi="Arial"/>
                <w:sz w:val="20"/>
                <w:szCs w:val="20"/>
              </w:rPr>
              <w:t>150,7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1 06 00000 00 0000 000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1.4. Налоги на имущество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5 554,5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1 06 01030 13 0000 110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   </w:t>
            </w:r>
            <w:r>
              <w:rPr>
                <w:rFonts w:cs="Arial" w:ascii="Arial" w:hAnsi="Arial"/>
                <w:sz w:val="20"/>
                <w:szCs w:val="20"/>
              </w:rPr>
              <w:t>2 641,5</w:t>
            </w:r>
          </w:p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1 06 06000 00 0000 110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1.4.2. Земельный налог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cs="Arial" w:ascii="Arial" w:hAnsi="Arial"/>
                <w:sz w:val="20"/>
                <w:szCs w:val="20"/>
              </w:rPr>
              <w:t>2 913,0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1 06 06030 00 0000 110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1.4.2.1. Земельный налог с организаций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cs="Arial" w:ascii="Arial" w:hAnsi="Arial"/>
                <w:sz w:val="20"/>
                <w:szCs w:val="20"/>
              </w:rPr>
              <w:t>1 613,2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1 06 06033 13 0000 110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1.4.2.1.1. 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1 613,2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1 06 06040 00 0000 110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1.4.2.2.  Земельный налог  с физических лиц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1</w:t>
            </w:r>
            <w:r>
              <w:rPr>
                <w:rFonts w:cs="Arial" w:ascii="Arial" w:hAnsi="Arial"/>
                <w:sz w:val="20"/>
                <w:szCs w:val="20"/>
              </w:rPr>
              <w:t xml:space="preserve"> 299,8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1 06 06043 13 0000 110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1.4.2.2.1. 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</w:t>
            </w:r>
            <w:r>
              <w:rPr>
                <w:rFonts w:cs="Arial" w:ascii="Arial" w:hAnsi="Arial"/>
                <w:sz w:val="20"/>
                <w:szCs w:val="20"/>
              </w:rPr>
              <w:t>1 299,8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1 11 00000 00 0000 000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560,7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1 11 05000 00 0000 120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1.5.1.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553,7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1 11 05013 13 0000 120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496,9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1 11 05025 13 0000 120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1.5.1.2. Доходы, получаемые в виде арендной платы, а также средства от продажи права на заключение договоров аренды за земли, находящиеся в собственности городских поселений(за исключением земельных участков муниципальных бюджетных и автономных учреждений)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56,8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1 11 09045 13 0000 120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1.5.1.3.прочие поступления от использования имущества, находящегося в собственности городских поселений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7,0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1 17 00000 00 0000 150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1.6. Прочие неналоговые доходы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175,0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1 17 14030 13 0000 150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1.6.1.Средства самообложения граждан, зачисляемые в бюджеты городских поселений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175,0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2 00 00000 00 0000 000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2. Безвозмездные поступления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51 897,3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2 02 00000 00 0000 000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51 897,3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2 02 10000 00 0000 150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4 339,7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2 02 15001 13 0000 150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4 339,7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2 02 20000 00 0000 150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2.1.2.Субсидии бюджетам городских поселений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3 613,0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2 02 25555 13 0000 150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2.1.2.1.Субсидии бюджетам городских поселений на реализацию программ формирования современной городской среды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sz w:val="20"/>
                <w:szCs w:val="20"/>
              </w:rPr>
              <w:t>3 613,0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2 02 30000 00 0000 150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2.1.3.Субвенции бюджетам субъектов Российской Федерации и муниципальных образований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351,5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2 02 35118 13 0000 150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2.1.3.1.Субвенции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351,5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2 02 40000 00 0000 150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2.1.4. Иные межбюджетные трансферты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43 593,1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2 02 49999 13 0000 150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2.1.4.1. Прочие межбюджетные трансферты, передаваемые бюджетам городских  поселений -всего, в т.ч.: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43 593,1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2.1.4.1.1. Прочие межбюджетные трансферты, передаваемые бюджетам городских поселений (на поддержку мер по обеспечению сбалансированности бюджетов)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34 613,8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2.1.4.1.2. Прочие межбюджетные трансферты, передаваемые бюджетам городских поселений (на  содержание объектов благоустройства и общественных территорий)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1 429,3</w:t>
            </w:r>
          </w:p>
          <w:p>
            <w:pPr>
              <w:pStyle w:val="Normal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2.1.4.1.3. Прочие межбюджетные трансферты, передаваемые бюджетам городских поселений (на капитальный ремонт и ремонт автомобильных дорог общего пользования местного значения)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540,0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2.1.4.1.4.Прочие межбюджетные трансферты, передаваемые бюджетам городских поселений (на  проектирование и строительство(реконструкцию) автомобильных дорог общего пользования местного значения)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7 010,0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Всего доходов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   </w:t>
            </w:r>
            <w:r>
              <w:rPr>
                <w:rFonts w:cs="Arial" w:ascii="Arial" w:hAnsi="Arial"/>
                <w:b/>
                <w:sz w:val="20"/>
                <w:szCs w:val="20"/>
              </w:rPr>
              <w:t>69 095,3</w:t>
            </w:r>
          </w:p>
        </w:tc>
      </w:tr>
    </w:tbl>
    <w:p>
      <w:pPr>
        <w:pStyle w:val="Normal"/>
        <w:tabs>
          <w:tab w:val="clear" w:pos="708"/>
          <w:tab w:val="left" w:pos="5442" w:leader="none"/>
        </w:tabs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tbl>
      <w:tblPr>
        <w:tblW w:w="10348" w:type="dxa"/>
        <w:jc w:val="left"/>
        <w:tblInd w:w="-7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8"/>
      </w:tblGrid>
      <w:tr>
        <w:trPr>
          <w:trHeight w:val="1649" w:hRule="atLeast"/>
        </w:trPr>
        <w:tc>
          <w:tcPr>
            <w:tcW w:w="10348" w:type="dxa"/>
            <w:tcBorders/>
            <w:vAlign w:val="bottom"/>
          </w:tcPr>
          <w:p>
            <w:pPr>
              <w:pStyle w:val="Style18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Приложение №2</w:t>
            </w:r>
          </w:p>
          <w:p>
            <w:pPr>
              <w:pStyle w:val="Style18"/>
              <w:jc w:val="right"/>
              <w:rPr>
                <w:rFonts w:ascii="Arial" w:hAnsi="Arial" w:cs="Arial"/>
                <w:b w:val="false"/>
                <w:b w:val="false"/>
                <w:sz w:val="20"/>
                <w:szCs w:val="20"/>
              </w:rPr>
            </w:pPr>
            <w:r>
              <w:rPr>
                <w:rFonts w:cs="Arial" w:ascii="Arial" w:hAnsi="Arial"/>
                <w:b w:val="false"/>
                <w:sz w:val="20"/>
                <w:szCs w:val="20"/>
              </w:rPr>
              <w:t xml:space="preserve">к  решению поселкового Совета </w:t>
            </w:r>
          </w:p>
          <w:p>
            <w:pPr>
              <w:pStyle w:val="Style18"/>
              <w:jc w:val="right"/>
              <w:rPr>
                <w:rFonts w:ascii="Arial" w:hAnsi="Arial" w:cs="Arial"/>
                <w:b w:val="false"/>
                <w:b w:val="false"/>
                <w:sz w:val="20"/>
                <w:szCs w:val="20"/>
              </w:rPr>
            </w:pPr>
            <w:r>
              <w:rPr>
                <w:rFonts w:cs="Arial" w:ascii="Arial" w:hAnsi="Arial"/>
                <w:b w:val="false"/>
                <w:sz w:val="20"/>
                <w:szCs w:val="20"/>
              </w:rPr>
              <w:t xml:space="preserve">рабочего посёлка Шаранга </w:t>
            </w:r>
          </w:p>
          <w:p>
            <w:pPr>
              <w:pStyle w:val="Style18"/>
              <w:jc w:val="right"/>
              <w:rPr>
                <w:rFonts w:ascii="Arial" w:hAnsi="Arial" w:cs="Arial"/>
                <w:b w:val="false"/>
                <w:b w:val="false"/>
                <w:sz w:val="20"/>
                <w:szCs w:val="20"/>
              </w:rPr>
            </w:pPr>
            <w:r>
              <w:rPr>
                <w:rFonts w:cs="Arial" w:ascii="Arial" w:hAnsi="Arial"/>
                <w:b w:val="false"/>
                <w:sz w:val="20"/>
                <w:szCs w:val="20"/>
              </w:rPr>
              <w:t>Шарангского муниципального района</w:t>
            </w:r>
          </w:p>
          <w:p>
            <w:pPr>
              <w:pStyle w:val="Style18"/>
              <w:jc w:val="right"/>
              <w:rPr>
                <w:rFonts w:ascii="Arial" w:hAnsi="Arial" w:cs="Arial"/>
                <w:b w:val="false"/>
                <w:b w:val="false"/>
                <w:sz w:val="20"/>
                <w:szCs w:val="20"/>
              </w:rPr>
            </w:pPr>
            <w:r>
              <w:rPr>
                <w:rFonts w:cs="Arial" w:ascii="Arial" w:hAnsi="Arial"/>
                <w:b w:val="false"/>
                <w:sz w:val="20"/>
                <w:szCs w:val="20"/>
              </w:rPr>
              <w:t>Нижегородской области</w:t>
            </w:r>
          </w:p>
          <w:p>
            <w:pPr>
              <w:pStyle w:val="ConsPlusNormal1"/>
              <w:ind w:left="4536" w:firstLine="567"/>
              <w:jc w:val="right"/>
              <w:rPr/>
            </w:pPr>
            <w:r>
              <w:rPr/>
              <w:t>«О бюджете поселения на 2022 год»</w:t>
            </w:r>
          </w:p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sz w:val="20"/>
                <w:szCs w:val="20"/>
              </w:rPr>
              <w:t xml:space="preserve">от 17.12.2021 №51                        </w:t>
            </w:r>
          </w:p>
          <w:p>
            <w:pPr>
              <w:pStyle w:val="Normal"/>
              <w:rPr>
                <w:rFonts w:ascii="Arial" w:hAnsi="Arial" w:cs="Arial"/>
                <w:i/>
                <w:i/>
                <w:sz w:val="20"/>
                <w:szCs w:val="20"/>
              </w:rPr>
            </w:pPr>
            <w:r>
              <w:rPr>
                <w:rFonts w:cs="Arial" w:ascii="Arial" w:hAnsi="Arial"/>
                <w:i/>
                <w:sz w:val="20"/>
                <w:szCs w:val="20"/>
              </w:rPr>
            </w:r>
          </w:p>
        </w:tc>
      </w:tr>
    </w:tbl>
    <w:p>
      <w:pPr>
        <w:pStyle w:val="Normal"/>
        <w:ind w:firstLine="360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Normal"/>
        <w:ind w:firstLine="36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«Источники финансирования дефицита бюджета поселения»</w:t>
      </w:r>
    </w:p>
    <w:p>
      <w:pPr>
        <w:pStyle w:val="Normal"/>
        <w:ind w:firstLine="360"/>
        <w:jc w:val="center"/>
        <w:rPr/>
      </w:pPr>
      <w:r>
        <w:rPr>
          <w:rFonts w:cs="Arial" w:ascii="Arial" w:hAnsi="Arial"/>
          <w:b/>
          <w:sz w:val="20"/>
          <w:szCs w:val="20"/>
        </w:rPr>
        <w:t>на 2022 год</w:t>
      </w:r>
    </w:p>
    <w:p>
      <w:pPr>
        <w:pStyle w:val="Normal"/>
        <w:ind w:firstLine="36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тыс.руб.</w:t>
      </w:r>
    </w:p>
    <w:p>
      <w:pPr>
        <w:pStyle w:val="Normal"/>
        <w:ind w:firstLine="36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tbl>
      <w:tblPr>
        <w:tblW w:w="11215" w:type="dxa"/>
        <w:jc w:val="left"/>
        <w:tblInd w:w="-5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3"/>
        <w:gridCol w:w="1843"/>
        <w:gridCol w:w="1009"/>
      </w:tblGrid>
      <w:tr>
        <w:trPr>
          <w:tblHeader w:val="true"/>
          <w:trHeight w:val="571" w:hRule="atLeast"/>
        </w:trPr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 xml:space="preserve">Сумма </w:t>
            </w:r>
          </w:p>
        </w:tc>
        <w:tc>
          <w:tcPr>
            <w:tcW w:w="1009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Изменение остатков средств на счетах по учету средств бюджета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0,0</w:t>
            </w:r>
          </w:p>
        </w:tc>
        <w:tc>
          <w:tcPr>
            <w:tcW w:w="1009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</w:r>
          </w:p>
        </w:tc>
      </w:tr>
      <w:tr>
        <w:trPr>
          <w:trHeight w:val="260" w:hRule="atLeast"/>
        </w:trPr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</w:rPr>
              <w:t>ВСЕГО источников финансирования дефицита бюджета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1009" w:type="dxa"/>
            <w:tcBorders>
              <w:lef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</w:rPr>
            </w:r>
          </w:p>
        </w:tc>
      </w:tr>
    </w:tbl>
    <w:p>
      <w:pPr>
        <w:pStyle w:val="Normal"/>
        <w:ind w:firstLine="36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Style18"/>
        <w:jc w:val="right"/>
        <w:rPr/>
      </w:pPr>
      <w:r>
        <w:rPr>
          <w:rFonts w:cs="Arial" w:ascii="Arial" w:hAnsi="Arial"/>
          <w:sz w:val="20"/>
          <w:szCs w:val="20"/>
        </w:rPr>
        <w:t>«Приложение №3</w:t>
      </w:r>
    </w:p>
    <w:p>
      <w:pPr>
        <w:pStyle w:val="Style18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18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18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18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2022 год»</w:t>
      </w:r>
    </w:p>
    <w:p>
      <w:pPr>
        <w:pStyle w:val="Normal"/>
        <w:jc w:val="right"/>
        <w:rPr>
          <w:rFonts w:ascii="Arial" w:hAnsi="Arial" w:cs="Arial"/>
          <w:b/>
          <w:b/>
          <w:kern w:val="2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от 17.12.2021 №51</w:t>
      </w:r>
    </w:p>
    <w:p>
      <w:pPr>
        <w:pStyle w:val="Normal"/>
        <w:tabs>
          <w:tab w:val="clear" w:pos="708"/>
          <w:tab w:val="center" w:pos="4819" w:leader="none"/>
        </w:tabs>
        <w:overflowPunct w:val="false"/>
        <w:autoSpaceDE w:val="false"/>
        <w:textAlignment w:val="baseline"/>
        <w:rPr/>
      </w:pPr>
      <w:r>
        <w:rPr>
          <w:rFonts w:eastAsia="Arial" w:cs="Arial" w:ascii="Arial" w:hAnsi="Arial"/>
          <w:b/>
          <w:kern w:val="2"/>
          <w:sz w:val="20"/>
          <w:szCs w:val="20"/>
        </w:rPr>
        <w:t xml:space="preserve">                                                                          </w:t>
      </w:r>
      <w:r>
        <w:rPr>
          <w:rFonts w:eastAsia="Arial"/>
        </w:rPr>
        <w:t xml:space="preserve">                              </w:t>
      </w:r>
    </w:p>
    <w:tbl>
      <w:tblPr>
        <w:tblW w:w="10490" w:type="dxa"/>
        <w:jc w:val="left"/>
        <w:tblInd w:w="-7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5"/>
        <w:gridCol w:w="1676"/>
        <w:gridCol w:w="1188"/>
        <w:gridCol w:w="2151"/>
      </w:tblGrid>
      <w:tr>
        <w:trPr>
          <w:trHeight w:val="1182" w:hRule="atLeast"/>
        </w:trPr>
        <w:tc>
          <w:tcPr>
            <w:tcW w:w="10490" w:type="dxa"/>
            <w:gridSpan w:val="4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«Распределение бюджетных ассигнований по разделам, по целевым статьям (государственным программам, и непрограммным направлениям деятельности), группам видов расходов, разделам, подразделам классификации расходов  бюджета поселения на 2022год»</w:t>
            </w:r>
          </w:p>
        </w:tc>
      </w:tr>
      <w:tr>
        <w:trPr>
          <w:trHeight w:val="338" w:hRule="atLeast"/>
        </w:trPr>
        <w:tc>
          <w:tcPr>
            <w:tcW w:w="5475" w:type="dxa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76" w:type="dxa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8" w:type="dxa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51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(тыс. рублей)</w:t>
            </w:r>
          </w:p>
        </w:tc>
      </w:tr>
      <w:tr>
        <w:trPr>
          <w:trHeight w:val="300" w:hRule="atLeast"/>
        </w:trPr>
        <w:tc>
          <w:tcPr>
            <w:tcW w:w="54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Наименование</w:t>
            </w:r>
          </w:p>
        </w:tc>
        <w:tc>
          <w:tcPr>
            <w:tcW w:w="1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Целевая статья расходов</w:t>
            </w:r>
          </w:p>
        </w:tc>
        <w:tc>
          <w:tcPr>
            <w:tcW w:w="11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Вид расходов</w:t>
            </w:r>
          </w:p>
        </w:tc>
        <w:tc>
          <w:tcPr>
            <w:tcW w:w="2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Сумма</w:t>
            </w:r>
          </w:p>
        </w:tc>
      </w:tr>
      <w:tr>
        <w:trPr>
          <w:trHeight w:val="300" w:hRule="atLeast"/>
        </w:trPr>
        <w:tc>
          <w:tcPr>
            <w:tcW w:w="54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16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11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215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</w:tr>
      <w:tr>
        <w:trPr>
          <w:trHeight w:val="338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69 095,3</w:t>
            </w:r>
          </w:p>
        </w:tc>
      </w:tr>
      <w:tr>
        <w:trPr>
          <w:trHeight w:val="387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Муниципальные программы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20 234,6</w:t>
            </w:r>
          </w:p>
        </w:tc>
      </w:tr>
      <w:tr>
        <w:trPr>
          <w:trHeight w:val="1013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06.0.00.00000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2 953,9</w:t>
            </w:r>
          </w:p>
        </w:tc>
      </w:tr>
      <w:tr>
        <w:trPr>
          <w:trHeight w:val="535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06.2.00.00000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2 953,9</w:t>
            </w:r>
          </w:p>
        </w:tc>
      </w:tr>
      <w:tr>
        <w:trPr>
          <w:trHeight w:val="402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Содержание автомобильных дорог общего пользования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06.2.02.00000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2 953,9</w:t>
            </w:r>
          </w:p>
        </w:tc>
      </w:tr>
      <w:tr>
        <w:trPr>
          <w:trHeight w:val="279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Содержание автомобильных дорог общего пользования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06.2.02.07080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Cs/>
                <w:color w:val="000000"/>
                <w:sz w:val="20"/>
                <w:szCs w:val="20"/>
              </w:rPr>
              <w:t xml:space="preserve">    </w:t>
            </w: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2 953,9</w:t>
            </w:r>
          </w:p>
        </w:tc>
      </w:tr>
      <w:tr>
        <w:trPr>
          <w:trHeight w:val="459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06.2.02.07080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2 953,9</w:t>
            </w:r>
          </w:p>
        </w:tc>
      </w:tr>
      <w:tr>
        <w:trPr>
          <w:trHeight w:val="1272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08.0.00.00000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111,0</w:t>
            </w:r>
          </w:p>
        </w:tc>
      </w:tr>
      <w:tr>
        <w:trPr>
          <w:trHeight w:val="283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Обеспечение пожарной безопасности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08.2.00.00000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111,0</w:t>
            </w:r>
          </w:p>
        </w:tc>
      </w:tr>
      <w:tr>
        <w:trPr>
          <w:trHeight w:val="841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08.2.02.00000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111,0</w:t>
            </w:r>
          </w:p>
        </w:tc>
      </w:tr>
      <w:tr>
        <w:trPr>
          <w:trHeight w:val="541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08.2.02.03000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111,0</w:t>
            </w:r>
          </w:p>
        </w:tc>
      </w:tr>
      <w:tr>
        <w:trPr>
          <w:trHeight w:val="551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08.2.02.03000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111,0</w:t>
            </w:r>
          </w:p>
        </w:tc>
      </w:tr>
      <w:tr>
        <w:trPr>
          <w:trHeight w:val="675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14.0.00.00000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1 780,8</w:t>
            </w:r>
          </w:p>
        </w:tc>
      </w:tr>
      <w:tr>
        <w:trPr>
          <w:trHeight w:val="1013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14.2.00.00000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1 780,8</w:t>
            </w:r>
          </w:p>
        </w:tc>
      </w:tr>
      <w:tr>
        <w:trPr>
          <w:trHeight w:val="542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14.2.20.00000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1 780,8</w:t>
            </w:r>
          </w:p>
        </w:tc>
      </w:tr>
      <w:tr>
        <w:trPr>
          <w:trHeight w:val="1013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14.2.20.51180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351,5</w:t>
            </w:r>
          </w:p>
        </w:tc>
      </w:tr>
      <w:tr>
        <w:trPr>
          <w:trHeight w:val="805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14.2.20.51180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223,5</w:t>
            </w:r>
          </w:p>
        </w:tc>
      </w:tr>
      <w:tr>
        <w:trPr>
          <w:trHeight w:val="691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14.2.20.51180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128,0</w:t>
            </w:r>
          </w:p>
        </w:tc>
      </w:tr>
      <w:tr>
        <w:trPr>
          <w:trHeight w:val="557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Расходы за счет субсидии на содержание объектов благоустройства и общественных территорий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14.2.20.S2820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1 429,3</w:t>
            </w:r>
          </w:p>
        </w:tc>
      </w:tr>
      <w:tr>
        <w:trPr>
          <w:trHeight w:val="695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14.2.20.S2820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1 429,3</w:t>
            </w:r>
          </w:p>
        </w:tc>
      </w:tr>
      <w:tr>
        <w:trPr>
          <w:trHeight w:val="1013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Муниципальная программа "Формирование комфортной городской среды р.п. Шаранга Шарангского муниципального района Нижегородской области на 2018-2022 годы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19.0.00.00000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4 060,0</w:t>
            </w:r>
          </w:p>
        </w:tc>
      </w:tr>
      <w:tr>
        <w:trPr>
          <w:trHeight w:val="493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Благоустройство дворовых территорий многоквартирных жилых домов р.п. Шаранга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19.1.F2.5555A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4 060,0</w:t>
            </w:r>
          </w:p>
        </w:tc>
      </w:tr>
      <w:tr>
        <w:trPr>
          <w:trHeight w:val="698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19.1.F2.5555A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4 060,0</w:t>
            </w:r>
          </w:p>
        </w:tc>
      </w:tr>
      <w:tr>
        <w:trPr>
          <w:trHeight w:val="675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22.0.00.00000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7 010,0</w:t>
            </w:r>
          </w:p>
        </w:tc>
      </w:tr>
      <w:tr>
        <w:trPr>
          <w:trHeight w:val="295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Прочее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22.0.03.00000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7 010,0</w:t>
            </w:r>
          </w:p>
        </w:tc>
      </w:tr>
      <w:tr>
        <w:trPr>
          <w:trHeight w:val="1250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22.0.03.S2200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7 010,0</w:t>
            </w:r>
          </w:p>
        </w:tc>
      </w:tr>
      <w:tr>
        <w:trPr>
          <w:trHeight w:val="421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22.0.03.S2200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400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7 010,0</w:t>
            </w:r>
          </w:p>
        </w:tc>
      </w:tr>
      <w:tr>
        <w:trPr>
          <w:trHeight w:val="402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Муниципальная программа "Профилактика наркомании и токсикомании на территории муниципального образования рабочий поселок Шаранга Шарангского муниципального района Нижегородской области на 2020-2022 годы"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29.0.00.00000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1,0</w:t>
            </w:r>
          </w:p>
        </w:tc>
      </w:tr>
      <w:tr>
        <w:trPr>
          <w:trHeight w:val="557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Мероприятия первичной профилактики наркомании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29.0.03.00000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1,0</w:t>
            </w:r>
          </w:p>
        </w:tc>
      </w:tr>
      <w:tr>
        <w:trPr>
          <w:trHeight w:val="402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29.0.03.05020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1,0</w:t>
            </w:r>
          </w:p>
        </w:tc>
      </w:tr>
      <w:tr>
        <w:trPr>
          <w:trHeight w:val="402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29.0.03.05020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1,0</w:t>
            </w:r>
          </w:p>
        </w:tc>
      </w:tr>
      <w:tr>
        <w:trPr>
          <w:trHeight w:val="402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Муниципальная программа "Энергосбережение и повышение энергетической эффективности на территории рабочего поселка Шаранга Шарангского муниципального района Нижегородской области"</w:t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30.0.00.00000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4 317,9</w:t>
            </w:r>
          </w:p>
        </w:tc>
      </w:tr>
      <w:tr>
        <w:trPr>
          <w:trHeight w:val="703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30.2.00.00000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4 317,9</w:t>
            </w:r>
          </w:p>
        </w:tc>
      </w:tr>
      <w:tr>
        <w:trPr>
          <w:trHeight w:val="475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Уличное освещение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30.2.01.60102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3 310,1</w:t>
            </w:r>
          </w:p>
        </w:tc>
      </w:tr>
      <w:tr>
        <w:trPr>
          <w:trHeight w:val="402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30.2.01.60102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Cs/>
                <w:color w:val="000000"/>
                <w:sz w:val="20"/>
                <w:szCs w:val="20"/>
              </w:rPr>
              <w:t xml:space="preserve">       </w:t>
            </w: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3 310,1</w:t>
            </w:r>
          </w:p>
        </w:tc>
      </w:tr>
      <w:tr>
        <w:trPr>
          <w:trHeight w:val="402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и установка энергосберегающих ламп и светильников для уличного освещения</w:t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30.2.02.60102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150,0</w:t>
            </w:r>
          </w:p>
        </w:tc>
      </w:tr>
      <w:tr>
        <w:trPr>
          <w:trHeight w:val="402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30.2.02.60102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150,0</w:t>
            </w:r>
          </w:p>
        </w:tc>
      </w:tr>
      <w:tr>
        <w:trPr>
          <w:trHeight w:val="402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Обслуживание сетей уличного освещения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30.2.03.60102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857,8</w:t>
            </w:r>
          </w:p>
        </w:tc>
      </w:tr>
      <w:tr>
        <w:trPr>
          <w:trHeight w:val="402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30.2.03.60102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307,8</w:t>
            </w:r>
          </w:p>
        </w:tc>
      </w:tr>
      <w:tr>
        <w:trPr>
          <w:trHeight w:val="402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30.2.03.60102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550,0</w:t>
            </w:r>
          </w:p>
        </w:tc>
      </w:tr>
      <w:tr>
        <w:trPr>
          <w:trHeight w:val="402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Непрограммные расходы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88.0.00.00000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48 860,7</w:t>
            </w:r>
          </w:p>
        </w:tc>
      </w:tr>
      <w:tr>
        <w:trPr>
          <w:trHeight w:val="407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Непрограммное направление деятельности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88.8.00.00000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48 860,7</w:t>
            </w:r>
          </w:p>
        </w:tc>
      </w:tr>
      <w:tr>
        <w:trPr>
          <w:trHeight w:val="271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Содержание аппарата управления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88.8.01.00000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2 870,6</w:t>
            </w:r>
          </w:p>
        </w:tc>
      </w:tr>
      <w:tr>
        <w:trPr>
          <w:trHeight w:val="314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Резервные фонды местных администраций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88.8.01.07005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3,0</w:t>
            </w:r>
          </w:p>
        </w:tc>
      </w:tr>
      <w:tr>
        <w:trPr>
          <w:trHeight w:val="273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88.8.01.07005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3,0</w:t>
            </w:r>
          </w:p>
        </w:tc>
      </w:tr>
      <w:tr>
        <w:trPr>
          <w:trHeight w:val="549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88.8.01.20401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1 810,1</w:t>
            </w:r>
          </w:p>
        </w:tc>
      </w:tr>
      <w:tr>
        <w:trPr>
          <w:trHeight w:val="942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88.8.01.20401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1 221,5</w:t>
            </w:r>
          </w:p>
        </w:tc>
      </w:tr>
      <w:tr>
        <w:trPr>
          <w:trHeight w:val="545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88.8.01.20401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588,6</w:t>
            </w:r>
          </w:p>
        </w:tc>
      </w:tr>
      <w:tr>
        <w:trPr>
          <w:trHeight w:val="561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88.8.01.20800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827,8</w:t>
            </w:r>
          </w:p>
        </w:tc>
      </w:tr>
      <w:tr>
        <w:trPr>
          <w:trHeight w:val="273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88.8.01.20800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827,8</w:t>
            </w:r>
          </w:p>
        </w:tc>
      </w:tr>
      <w:tr>
        <w:trPr>
          <w:trHeight w:val="306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Учреждения по обеспечению хозяйственного обслуживания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88.8.01.93990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229,7</w:t>
            </w:r>
          </w:p>
        </w:tc>
      </w:tr>
      <w:tr>
        <w:trPr>
          <w:trHeight w:val="1133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88.8.01.93990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229,7</w:t>
            </w:r>
          </w:p>
        </w:tc>
      </w:tr>
      <w:tr>
        <w:trPr>
          <w:trHeight w:val="1013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88.8.03.00000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36 985,5</w:t>
            </w:r>
          </w:p>
        </w:tc>
      </w:tr>
      <w:tr>
        <w:trPr>
          <w:trHeight w:val="675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88.8.03.02106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36 985,5</w:t>
            </w:r>
          </w:p>
        </w:tc>
      </w:tr>
      <w:tr>
        <w:trPr>
          <w:trHeight w:val="667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88.8.03.02106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500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36 985,5</w:t>
            </w:r>
          </w:p>
        </w:tc>
      </w:tr>
      <w:tr>
        <w:trPr>
          <w:trHeight w:val="251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Прочие непрограммные расходы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88.8.06.00000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9 004,6</w:t>
            </w:r>
          </w:p>
        </w:tc>
      </w:tr>
      <w:tr>
        <w:trPr>
          <w:trHeight w:val="270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Капитальный ремонт муниципального жилищного фонда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88.8.06.03502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153,8</w:t>
            </w:r>
          </w:p>
        </w:tc>
      </w:tr>
      <w:tr>
        <w:trPr>
          <w:trHeight w:val="675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88.8.06.03502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153,8</w:t>
            </w:r>
          </w:p>
        </w:tc>
      </w:tr>
      <w:tr>
        <w:trPr>
          <w:trHeight w:val="283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Мероприятия в области жилищного хозяйства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88.8.06.03503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485,0</w:t>
            </w:r>
          </w:p>
        </w:tc>
      </w:tr>
      <w:tr>
        <w:trPr>
          <w:trHeight w:val="675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88.8.06.03503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485,0</w:t>
            </w:r>
          </w:p>
        </w:tc>
      </w:tr>
      <w:tr>
        <w:trPr>
          <w:trHeight w:val="283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Мероприятия в области социальной политики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88.8.06.14010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267,0</w:t>
            </w:r>
          </w:p>
        </w:tc>
      </w:tr>
      <w:tr>
        <w:trPr>
          <w:trHeight w:val="675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88.8.06.14010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267,0</w:t>
            </w:r>
          </w:p>
        </w:tc>
      </w:tr>
      <w:tr>
        <w:trPr>
          <w:trHeight w:val="285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Озеленение за счет средств местного бюджета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88.8.06.60302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270,0</w:t>
            </w:r>
          </w:p>
        </w:tc>
      </w:tr>
      <w:tr>
        <w:trPr>
          <w:trHeight w:val="561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88.8.06.60302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270,0</w:t>
            </w:r>
          </w:p>
        </w:tc>
      </w:tr>
      <w:tr>
        <w:trPr>
          <w:trHeight w:val="286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Организация и содержание мест захоронения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88.8.06.60402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269,9</w:t>
            </w:r>
          </w:p>
        </w:tc>
      </w:tr>
      <w:tr>
        <w:trPr>
          <w:trHeight w:val="984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88.8.06.60402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219,9</w:t>
            </w:r>
          </w:p>
        </w:tc>
      </w:tr>
      <w:tr>
        <w:trPr>
          <w:trHeight w:val="545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88.8.06.60402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50,0</w:t>
            </w:r>
          </w:p>
        </w:tc>
      </w:tr>
      <w:tr>
        <w:trPr>
          <w:trHeight w:val="544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88.8.06.60503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7 501,9</w:t>
            </w:r>
          </w:p>
        </w:tc>
      </w:tr>
      <w:tr>
        <w:trPr>
          <w:trHeight w:val="986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88.8.06.60503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4 036,0</w:t>
            </w:r>
          </w:p>
        </w:tc>
      </w:tr>
      <w:tr>
        <w:trPr>
          <w:trHeight w:val="458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88.8.06.60503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3 465,9</w:t>
            </w:r>
          </w:p>
        </w:tc>
      </w:tr>
      <w:tr>
        <w:trPr>
          <w:trHeight w:val="467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Прочие выплаты по обязательствам муниципального образования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88.8.06.92035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57,0</w:t>
            </w:r>
          </w:p>
        </w:tc>
      </w:tr>
      <w:tr>
        <w:trPr>
          <w:trHeight w:val="649" w:hRule="atLeast"/>
        </w:trPr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88.8.06.92035</w:t>
            </w:r>
          </w:p>
        </w:tc>
        <w:tc>
          <w:tcPr>
            <w:tcW w:w="11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57,0</w:t>
            </w:r>
          </w:p>
        </w:tc>
      </w:tr>
      <w:tr>
        <w:trPr>
          <w:trHeight w:val="300" w:hRule="atLeast"/>
        </w:trPr>
        <w:tc>
          <w:tcPr>
            <w:tcW w:w="5475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</w:tc>
        <w:tc>
          <w:tcPr>
            <w:tcW w:w="1676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1188" w:type="dxa"/>
            <w:tcBorders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2151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Style18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№4</w:t>
      </w:r>
    </w:p>
    <w:p>
      <w:pPr>
        <w:pStyle w:val="Style18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18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18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18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2022 год»</w:t>
      </w:r>
    </w:p>
    <w:p>
      <w:pPr>
        <w:pStyle w:val="Normal"/>
        <w:jc w:val="right"/>
        <w:rPr>
          <w:rFonts w:cs="Arial"/>
        </w:rPr>
      </w:pPr>
      <w:r>
        <w:rPr>
          <w:rFonts w:cs="Arial" w:ascii="Arial" w:hAnsi="Arial"/>
          <w:sz w:val="20"/>
          <w:szCs w:val="20"/>
        </w:rPr>
        <w:t>от 17.12.2021 №51</w:t>
      </w:r>
    </w:p>
    <w:tbl>
      <w:tblPr>
        <w:tblW w:w="10490" w:type="dxa"/>
        <w:jc w:val="left"/>
        <w:tblInd w:w="-7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1"/>
        <w:gridCol w:w="993"/>
        <w:gridCol w:w="708"/>
        <w:gridCol w:w="993"/>
        <w:gridCol w:w="1701"/>
        <w:gridCol w:w="567"/>
        <w:gridCol w:w="1417"/>
      </w:tblGrid>
      <w:tr>
        <w:trPr>
          <w:trHeight w:val="394" w:hRule="atLeast"/>
        </w:trPr>
        <w:tc>
          <w:tcPr>
            <w:tcW w:w="10490" w:type="dxa"/>
            <w:gridSpan w:val="7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«Ведомственная структура расходов бюджета поселения на 2022год»</w:t>
            </w:r>
          </w:p>
        </w:tc>
      </w:tr>
      <w:tr>
        <w:trPr>
          <w:trHeight w:val="394" w:hRule="atLeast"/>
        </w:trPr>
        <w:tc>
          <w:tcPr>
            <w:tcW w:w="4111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/>
            <w:vAlign w:val="center"/>
          </w:tcPr>
          <w:p>
            <w:pPr>
              <w:pStyle w:val="Normal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(тыс.рублей)</w:t>
            </w:r>
          </w:p>
        </w:tc>
      </w:tr>
      <w:tr>
        <w:trPr>
          <w:trHeight w:val="300" w:hRule="atLeast"/>
        </w:trPr>
        <w:tc>
          <w:tcPr>
            <w:tcW w:w="41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Наименование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Ведом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ство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Раз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дел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Подраздел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Целевая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статья расходов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Вид</w:t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рас ходов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Сумма</w:t>
            </w:r>
          </w:p>
        </w:tc>
      </w:tr>
      <w:tr>
        <w:trPr>
          <w:trHeight w:val="300" w:hRule="atLeast"/>
        </w:trPr>
        <w:tc>
          <w:tcPr>
            <w:tcW w:w="41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9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9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170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</w:tr>
      <w:tr>
        <w:trPr>
          <w:trHeight w:val="1123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487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69 095,3</w:t>
            </w:r>
          </w:p>
        </w:tc>
      </w:tr>
      <w:tr>
        <w:trPr>
          <w:trHeight w:val="430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4 810,1</w:t>
            </w:r>
          </w:p>
        </w:tc>
      </w:tr>
      <w:tr>
        <w:trPr>
          <w:trHeight w:val="974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04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3 702,1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Непрограммные расходы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3 702,1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Непрограммное направление деятельности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3 702,1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Содержание аппарата управления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88.8.01.00000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2 637,9</w:t>
            </w:r>
          </w:p>
        </w:tc>
      </w:tr>
      <w:tr>
        <w:trPr>
          <w:trHeight w:val="507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88.8.01.20401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1 810,1</w:t>
            </w:r>
          </w:p>
        </w:tc>
      </w:tr>
      <w:tr>
        <w:trPr>
          <w:trHeight w:val="1455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04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88.8.01.20401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1 221,5</w:t>
            </w:r>
          </w:p>
        </w:tc>
      </w:tr>
      <w:tr>
        <w:trPr>
          <w:trHeight w:val="824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04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88.8.01.20401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588,6</w:t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</w:tr>
      <w:tr>
        <w:trPr>
          <w:trHeight w:val="819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88.8.01.20800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827,8</w:t>
            </w:r>
          </w:p>
        </w:tc>
      </w:tr>
      <w:tr>
        <w:trPr>
          <w:trHeight w:val="1520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04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88.8.01.20800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827,8</w:t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</w:tr>
      <w:tr>
        <w:trPr>
          <w:trHeight w:val="1315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88.8.03.00000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1064,2</w:t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</w:tr>
      <w:tr>
        <w:trPr>
          <w:trHeight w:val="977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88.8.03.02106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1 064,2</w:t>
            </w:r>
          </w:p>
        </w:tc>
      </w:tr>
      <w:tr>
        <w:trPr>
          <w:trHeight w:val="529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04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88.8.03.02106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1064,2</w:t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</w:tr>
      <w:tr>
        <w:trPr>
          <w:trHeight w:val="1000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545,6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Непрограммные расходы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545,6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Непрограммное направление деятельности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545,6</w:t>
            </w:r>
          </w:p>
        </w:tc>
      </w:tr>
      <w:tr>
        <w:trPr>
          <w:trHeight w:val="1267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88.8.03.00000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545,6</w:t>
            </w:r>
          </w:p>
        </w:tc>
      </w:tr>
      <w:tr>
        <w:trPr>
          <w:trHeight w:val="922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88.8.03.02106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545,6</w:t>
            </w:r>
          </w:p>
        </w:tc>
      </w:tr>
      <w:tr>
        <w:trPr>
          <w:trHeight w:val="571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88.8.03.02106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545,6</w:t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</w:tr>
      <w:tr>
        <w:trPr>
          <w:trHeight w:val="425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Резервные фонды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Непрограммные расходы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Непрограммное направление деятельности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Содержание аппарата управления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88.8.01.00000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Резервные фонды местных администраций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88.8.01.07005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3,0</w:t>
            </w:r>
          </w:p>
        </w:tc>
      </w:tr>
      <w:tr>
        <w:trPr>
          <w:trHeight w:val="410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88.8.01.07005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3,0</w:t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</w:tr>
      <w:tr>
        <w:trPr>
          <w:trHeight w:val="471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559,4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Непрограммные расходы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559,4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Непрограммное направление деятельности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559,4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Содержание аппарата управления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88.8.01.00000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229,7</w:t>
            </w:r>
          </w:p>
        </w:tc>
      </w:tr>
      <w:tr>
        <w:trPr>
          <w:trHeight w:val="582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Учреждения по обеспечению хозяйственного обслуживания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88.8.01.93990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229,7</w:t>
            </w:r>
          </w:p>
        </w:tc>
      </w:tr>
      <w:tr>
        <w:trPr>
          <w:trHeight w:val="1330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88.8.01.93990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229,7</w:t>
            </w:r>
          </w:p>
        </w:tc>
      </w:tr>
      <w:tr>
        <w:trPr>
          <w:trHeight w:val="1194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88.8.03.00000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272,7</w:t>
            </w:r>
          </w:p>
        </w:tc>
      </w:tr>
      <w:tr>
        <w:trPr>
          <w:trHeight w:val="1073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88.8.03.02106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272,7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i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88.8.03.02106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272,7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Прочие непрограммные расходы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88.8.06.00000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57,0</w:t>
            </w:r>
          </w:p>
        </w:tc>
      </w:tr>
      <w:tr>
        <w:trPr>
          <w:trHeight w:val="675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Прочие выплаты по обязательствам муниципального образования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88.8.06.92035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57,0</w:t>
            </w:r>
          </w:p>
        </w:tc>
      </w:tr>
      <w:tr>
        <w:trPr>
          <w:trHeight w:val="69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88.8.06.92035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57,0</w:t>
            </w:r>
          </w:p>
        </w:tc>
      </w:tr>
      <w:tr>
        <w:trPr>
          <w:trHeight w:val="283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НАЦИОНАЛЬНАЯ ОБОРОНА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02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351,5</w:t>
            </w:r>
          </w:p>
        </w:tc>
      </w:tr>
      <w:tr>
        <w:trPr>
          <w:trHeight w:val="414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02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351,5</w:t>
            </w:r>
          </w:p>
        </w:tc>
      </w:tr>
      <w:tr>
        <w:trPr>
          <w:trHeight w:val="519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02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14.0.00.00000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351,5</w:t>
            </w:r>
          </w:p>
        </w:tc>
      </w:tr>
      <w:tr>
        <w:trPr>
          <w:trHeight w:val="1223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02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14.2.00.00000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351,5</w:t>
            </w:r>
          </w:p>
        </w:tc>
      </w:tr>
      <w:tr>
        <w:trPr>
          <w:trHeight w:val="419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02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14.2.20.00000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351,5</w:t>
            </w:r>
          </w:p>
        </w:tc>
      </w:tr>
      <w:tr>
        <w:trPr>
          <w:trHeight w:val="1375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02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14.2.20.51180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351,5</w:t>
            </w:r>
          </w:p>
        </w:tc>
      </w:tr>
      <w:tr>
        <w:trPr>
          <w:trHeight w:val="1619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i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02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14.2.20.51180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223,5</w:t>
            </w:r>
          </w:p>
        </w:tc>
      </w:tr>
      <w:tr>
        <w:trPr>
          <w:trHeight w:val="625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02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14.2.20.51180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128,0</w:t>
            </w:r>
          </w:p>
        </w:tc>
      </w:tr>
      <w:tr>
        <w:trPr>
          <w:trHeight w:val="493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НАЦИОНАЛЬНАЯ БЕЗОПАСНОСТЬ И ПРАВООХРАНИТЕЛЬНАЯ ДЕЯТЕЛЬНОСТЬ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111,0</w:t>
            </w:r>
          </w:p>
        </w:tc>
      </w:tr>
      <w:tr>
        <w:trPr>
          <w:trHeight w:val="914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111,0</w:t>
            </w:r>
          </w:p>
        </w:tc>
      </w:tr>
      <w:tr>
        <w:trPr>
          <w:trHeight w:val="1551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08.0.00.00000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111,0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Обеспечение пожарной безопасности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08.2.00.00000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111,0</w:t>
            </w:r>
          </w:p>
        </w:tc>
      </w:tr>
      <w:tr>
        <w:trPr>
          <w:trHeight w:val="856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08.2.02.00000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111,0</w:t>
            </w:r>
          </w:p>
        </w:tc>
      </w:tr>
      <w:tr>
        <w:trPr>
          <w:trHeight w:val="643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08.2.02.03000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111,0</w:t>
            </w:r>
          </w:p>
        </w:tc>
      </w:tr>
      <w:tr>
        <w:trPr>
          <w:trHeight w:val="781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08.2.02.03000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111,0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НАЦИОНАЛЬНАЯ ЭКОНОМИКА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04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9 963,9</w:t>
            </w:r>
          </w:p>
        </w:tc>
      </w:tr>
      <w:tr>
        <w:trPr>
          <w:trHeight w:val="217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04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09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9 963,9</w:t>
            </w:r>
          </w:p>
        </w:tc>
      </w:tr>
      <w:tr>
        <w:trPr>
          <w:trHeight w:val="982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09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06.0.00.00000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2 953,9</w:t>
            </w:r>
          </w:p>
        </w:tc>
      </w:tr>
      <w:tr>
        <w:trPr>
          <w:trHeight w:val="756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09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06.2.00.00000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2 953,9</w:t>
            </w:r>
          </w:p>
        </w:tc>
      </w:tr>
      <w:tr>
        <w:trPr>
          <w:trHeight w:val="527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Содержание автомобильных дорог общего пользования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09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06.2.02.00000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2 953,9</w:t>
            </w:r>
          </w:p>
        </w:tc>
      </w:tr>
      <w:tr>
        <w:trPr>
          <w:trHeight w:val="546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Содержание автомобильных дорог общего пользования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09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06.2.02.07080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2 953,9</w:t>
            </w:r>
          </w:p>
        </w:tc>
      </w:tr>
      <w:tr>
        <w:trPr>
          <w:trHeight w:val="695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04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09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06.2.02.07080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2 953,9</w:t>
            </w:r>
          </w:p>
        </w:tc>
      </w:tr>
      <w:tr>
        <w:trPr>
          <w:trHeight w:val="974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09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22.0.00.00000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7 010,0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Прочее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09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22.0.03.00000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7 010,0</w:t>
            </w:r>
          </w:p>
        </w:tc>
      </w:tr>
      <w:tr>
        <w:trPr>
          <w:trHeight w:val="1631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09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22.0.03.S2200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7 010,0</w:t>
            </w:r>
          </w:p>
        </w:tc>
      </w:tr>
      <w:tr>
        <w:trPr>
          <w:trHeight w:val="705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04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09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22.0.03.S2200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7 010,0</w:t>
            </w:r>
          </w:p>
        </w:tc>
      </w:tr>
      <w:tr>
        <w:trPr>
          <w:trHeight w:val="403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18 487,8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Жилищное хозяйство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638,8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Непрограммные расходы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638,8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Непрограммное направление деятельности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638,8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Прочие непрограммные расходы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88.8.06.00000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638,8</w:t>
            </w:r>
          </w:p>
        </w:tc>
      </w:tr>
      <w:tr>
        <w:trPr>
          <w:trHeight w:val="38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Капитальный ремонт муниципального жилищного фонда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88.8.06.03502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153,8</w:t>
            </w:r>
          </w:p>
        </w:tc>
      </w:tr>
      <w:tr>
        <w:trPr>
          <w:trHeight w:val="634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88.8.06.03502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153,8</w:t>
            </w:r>
          </w:p>
        </w:tc>
      </w:tr>
      <w:tr>
        <w:trPr>
          <w:trHeight w:val="675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Мероприятия в области жилищного хозяйства (Закупка товаров, работ и услуг для обеспечения государственных (муниципальных) нужд)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88.8.06.03503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485,0</w:t>
            </w:r>
          </w:p>
        </w:tc>
      </w:tr>
      <w:tr>
        <w:trPr>
          <w:trHeight w:val="700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88.8.06.03503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485,0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Благоустройство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17 849,0</w:t>
            </w:r>
          </w:p>
        </w:tc>
      </w:tr>
      <w:tr>
        <w:trPr>
          <w:trHeight w:val="631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14.0.00.00000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1 429,3</w:t>
            </w:r>
          </w:p>
        </w:tc>
      </w:tr>
      <w:tr>
        <w:trPr>
          <w:trHeight w:val="1265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14.2.00.00000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1 429,3</w:t>
            </w:r>
          </w:p>
        </w:tc>
      </w:tr>
      <w:tr>
        <w:trPr>
          <w:trHeight w:val="415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14.2.20.00000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1 429,3</w:t>
            </w:r>
          </w:p>
        </w:tc>
      </w:tr>
      <w:tr>
        <w:trPr>
          <w:trHeight w:val="534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Расходы за счет субсидии на содержание объектов благоустройства и общественных территорий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14.2.20.S2820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1 429,3</w:t>
            </w:r>
          </w:p>
        </w:tc>
      </w:tr>
      <w:tr>
        <w:trPr>
          <w:trHeight w:val="671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14.2.20.S2820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1 429,3</w:t>
            </w:r>
          </w:p>
        </w:tc>
      </w:tr>
      <w:tr>
        <w:trPr>
          <w:trHeight w:val="1106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Муниципальная программа "Формирование комфортной городской среды р.п. Шаранга Шарангского муниципального района Нижегородской области на 2018-2022 годы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19.0.00.00000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4 060,0</w:t>
            </w:r>
          </w:p>
        </w:tc>
      </w:tr>
      <w:tr>
        <w:trPr>
          <w:trHeight w:val="655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Благоустройство дворовых территорий многоквартирных жилых домов р.п. Шаранга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19.1.F2.5555A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4 060,0</w:t>
            </w:r>
          </w:p>
        </w:tc>
      </w:tr>
      <w:tr>
        <w:trPr>
          <w:trHeight w:val="807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19.1.F2.5555A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4 060,0</w:t>
            </w:r>
          </w:p>
        </w:tc>
      </w:tr>
      <w:tr>
        <w:trPr>
          <w:trHeight w:val="807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Муниципальная программа "Энергосбережение и повышение энергетической эффективности на территории рабочего поселка Шаранга Шарангского муниципального района Нижегородской области"</w:t>
            </w:r>
          </w:p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30.0.00.00000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4 317,9</w:t>
            </w:r>
          </w:p>
        </w:tc>
      </w:tr>
      <w:tr>
        <w:trPr>
          <w:trHeight w:val="1125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30.2.00.00000</w:t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4 317,9</w:t>
            </w:r>
          </w:p>
        </w:tc>
      </w:tr>
      <w:tr>
        <w:trPr>
          <w:trHeight w:val="807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Уличное освещение</w:t>
            </w:r>
          </w:p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30.2.01.60102</w:t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3 310,1</w:t>
            </w:r>
          </w:p>
        </w:tc>
      </w:tr>
      <w:tr>
        <w:trPr>
          <w:trHeight w:val="807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/>
                <w:i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30.2.01.60102</w:t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3 310,1</w:t>
            </w:r>
          </w:p>
        </w:tc>
      </w:tr>
      <w:tr>
        <w:trPr>
          <w:trHeight w:val="807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Закупка и установка энергосберегающих ламп и светильников для уличного освещения</w:t>
            </w:r>
          </w:p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30.2.02.60102</w:t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150,0</w:t>
            </w:r>
          </w:p>
        </w:tc>
      </w:tr>
      <w:tr>
        <w:trPr>
          <w:trHeight w:val="807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30.2.02.60102</w:t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150,0</w:t>
            </w:r>
          </w:p>
        </w:tc>
      </w:tr>
      <w:tr>
        <w:trPr>
          <w:trHeight w:val="807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Обслуживание сетей уличного освещения</w:t>
            </w:r>
          </w:p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30.2.03.60102</w:t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857,8</w:t>
            </w:r>
          </w:p>
        </w:tc>
      </w:tr>
      <w:tr>
        <w:trPr>
          <w:trHeight w:val="807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30.2.03.60102</w:t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307,8</w:t>
            </w:r>
          </w:p>
        </w:tc>
      </w:tr>
      <w:tr>
        <w:trPr>
          <w:trHeight w:val="807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30.2.03.60102</w:t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550,0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Непрограммные расходы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8 041,8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Непрограммное направление деятельности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8 041,8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Прочие непрограммные расходы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88.8.06.00000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8 041,8</w:t>
            </w:r>
          </w:p>
        </w:tc>
      </w:tr>
      <w:tr>
        <w:trPr>
          <w:trHeight w:val="375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Озеленение за счет средств местного бюджета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88.8.06.60302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270,0</w:t>
            </w:r>
          </w:p>
        </w:tc>
      </w:tr>
      <w:tr>
        <w:trPr>
          <w:trHeight w:val="623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88.8.06.60302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270,0</w:t>
            </w:r>
          </w:p>
        </w:tc>
      </w:tr>
      <w:tr>
        <w:trPr>
          <w:trHeight w:val="349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Организация и содержание мест захоронения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88.8.06.60402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269,9</w:t>
            </w:r>
          </w:p>
        </w:tc>
      </w:tr>
      <w:tr>
        <w:trPr>
          <w:trHeight w:val="1434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88.8.06.60402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219,9</w:t>
            </w:r>
          </w:p>
        </w:tc>
      </w:tr>
      <w:tr>
        <w:trPr>
          <w:trHeight w:val="560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88.8.06.60402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50,0</w:t>
            </w:r>
          </w:p>
        </w:tc>
      </w:tr>
      <w:tr>
        <w:trPr>
          <w:trHeight w:val="571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88.8.06.60503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7 501,9</w:t>
            </w:r>
          </w:p>
        </w:tc>
      </w:tr>
      <w:tr>
        <w:trPr>
          <w:trHeight w:val="1276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88.8.06.60503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4 036,0</w:t>
            </w:r>
          </w:p>
        </w:tc>
      </w:tr>
      <w:tr>
        <w:trPr>
          <w:trHeight w:val="556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88.8.06.60503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3 465,9</w:t>
            </w:r>
          </w:p>
        </w:tc>
      </w:tr>
      <w:tr>
        <w:trPr>
          <w:trHeight w:val="283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08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35 103,0</w:t>
            </w:r>
          </w:p>
        </w:tc>
      </w:tr>
      <w:tr>
        <w:trPr>
          <w:trHeight w:val="230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Культура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08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35 103,0</w:t>
            </w:r>
          </w:p>
        </w:tc>
      </w:tr>
      <w:tr>
        <w:trPr>
          <w:trHeight w:val="164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Непрограммные расходы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08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35 103,0</w:t>
            </w:r>
          </w:p>
        </w:tc>
      </w:tr>
      <w:tr>
        <w:trPr>
          <w:trHeight w:val="26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Непрограммное направление деятельности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08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35 103,0</w:t>
            </w:r>
          </w:p>
        </w:tc>
      </w:tr>
      <w:tr>
        <w:trPr>
          <w:trHeight w:val="1076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08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88.8.03.00000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35 103,0</w:t>
            </w:r>
          </w:p>
        </w:tc>
      </w:tr>
      <w:tr>
        <w:trPr>
          <w:trHeight w:val="923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08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88.8.03.02106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35 103,0</w:t>
            </w:r>
          </w:p>
        </w:tc>
      </w:tr>
      <w:tr>
        <w:trPr>
          <w:trHeight w:val="269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08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88.8.03.02106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35 103,0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СОЦИАЛЬНАЯ ПОЛИТИКА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268,0</w:t>
            </w:r>
          </w:p>
        </w:tc>
      </w:tr>
      <w:tr>
        <w:trPr>
          <w:trHeight w:val="491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Другие вопросы в области социальной политики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268,0</w:t>
            </w:r>
          </w:p>
        </w:tc>
      </w:tr>
      <w:tr>
        <w:trPr>
          <w:trHeight w:val="216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Муниципальная программа "Профилактика наркомании и токсикомании на территории муниципального образования рабочий поселок Шаранга Шарангского муниципального района Нижегородской области на 2020-2022 годы"</w:t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29.0.00.00000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1,0</w:t>
            </w:r>
          </w:p>
        </w:tc>
      </w:tr>
      <w:tr>
        <w:trPr>
          <w:trHeight w:val="559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Мероприятия первичной профилактики наркомании</w:t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29.0.03.00000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color w:val="000000"/>
                <w:sz w:val="20"/>
                <w:szCs w:val="20"/>
              </w:rPr>
              <w:t xml:space="preserve">                    </w:t>
            </w: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1,0</w:t>
            </w:r>
          </w:p>
        </w:tc>
      </w:tr>
      <w:tr>
        <w:trPr>
          <w:trHeight w:val="491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29.0.03.05020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1,0</w:t>
            </w:r>
          </w:p>
        </w:tc>
      </w:tr>
      <w:tr>
        <w:trPr>
          <w:trHeight w:val="491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iCs/>
                <w:color w:val="000000"/>
                <w:sz w:val="20"/>
                <w:szCs w:val="20"/>
              </w:rPr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29.0.03.05020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iCs/>
                <w:color w:val="000000"/>
                <w:sz w:val="20"/>
                <w:szCs w:val="20"/>
              </w:rPr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000000"/>
                <w:sz w:val="20"/>
                <w:szCs w:val="20"/>
              </w:rPr>
              <w:t>1,0</w:t>
            </w:r>
          </w:p>
        </w:tc>
      </w:tr>
      <w:tr>
        <w:trPr>
          <w:trHeight w:val="285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Непрограммные расходы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88.0.00.00000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267,0</w:t>
            </w:r>
          </w:p>
        </w:tc>
      </w:tr>
      <w:tr>
        <w:trPr>
          <w:trHeight w:val="262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Непрограммное направление деятельности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88.8.00.00000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267,0</w:t>
            </w:r>
          </w:p>
        </w:tc>
      </w:tr>
      <w:tr>
        <w:trPr>
          <w:trHeight w:val="279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Прочие непрограммные расходы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88.8.06.00000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267,0</w:t>
            </w:r>
          </w:p>
        </w:tc>
      </w:tr>
      <w:tr>
        <w:trPr>
          <w:trHeight w:val="412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Мероприятия в области социальной политики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88.8.06.14010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267,0</w:t>
            </w:r>
          </w:p>
        </w:tc>
      </w:tr>
      <w:tr>
        <w:trPr>
          <w:trHeight w:val="503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88.8.06.14010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iCs/>
                <w:color w:val="000000"/>
                <w:sz w:val="20"/>
                <w:szCs w:val="20"/>
              </w:rPr>
              <w:t>267,0</w:t>
            </w:r>
          </w:p>
        </w:tc>
      </w:tr>
      <w:tr>
        <w:trPr>
          <w:trHeight w:val="338" w:hRule="atLeast"/>
        </w:trPr>
        <w:tc>
          <w:tcPr>
            <w:tcW w:w="4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69 095,3</w:t>
            </w:r>
          </w:p>
        </w:tc>
      </w:tr>
    </w:tbl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Style18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№5</w:t>
      </w:r>
    </w:p>
    <w:p>
      <w:pPr>
        <w:pStyle w:val="Style18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18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18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18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2022 год»</w:t>
      </w:r>
    </w:p>
    <w:p>
      <w:pPr>
        <w:pStyle w:val="Normal"/>
        <w:jc w:val="right"/>
        <w:rPr/>
      </w:pPr>
      <w:r>
        <w:rPr/>
        <w:t>от 17.12.2021 №51</w:t>
      </w:r>
    </w:p>
    <w:tbl>
      <w:tblPr>
        <w:tblW w:w="10490" w:type="dxa"/>
        <w:jc w:val="left"/>
        <w:tblInd w:w="-7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2"/>
        <w:gridCol w:w="995"/>
        <w:gridCol w:w="1307"/>
        <w:gridCol w:w="1167"/>
        <w:gridCol w:w="1929"/>
      </w:tblGrid>
      <w:tr>
        <w:trPr>
          <w:trHeight w:val="432" w:hRule="atLeast"/>
        </w:trPr>
        <w:tc>
          <w:tcPr>
            <w:tcW w:w="10490" w:type="dxa"/>
            <w:gridSpan w:val="5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«Распределение бюджетных ассигнований по разделам, подразделам, группам видов расходов классификации расходов бюджета поселения на 2022год»</w:t>
            </w:r>
          </w:p>
        </w:tc>
      </w:tr>
      <w:tr>
        <w:trPr>
          <w:trHeight w:val="394" w:hRule="atLeast"/>
        </w:trPr>
        <w:tc>
          <w:tcPr>
            <w:tcW w:w="5092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5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7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7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29" w:type="dxa"/>
            <w:tcBorders/>
            <w:vAlign w:val="center"/>
          </w:tcPr>
          <w:p>
            <w:pPr>
              <w:pStyle w:val="Normal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  <w:t xml:space="preserve">     </w:t>
            </w:r>
            <w:r>
              <w:rPr>
                <w:rFonts w:cs="Arial" w:ascii="Arial" w:hAnsi="Arial"/>
                <w:color w:val="000000"/>
                <w:sz w:val="20"/>
                <w:szCs w:val="20"/>
              </w:rPr>
              <w:t>(тыс. рублей)</w:t>
            </w:r>
          </w:p>
        </w:tc>
      </w:tr>
      <w:tr>
        <w:trPr>
          <w:trHeight w:val="300" w:hRule="atLeast"/>
        </w:trPr>
        <w:tc>
          <w:tcPr>
            <w:tcW w:w="50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Наименование</w:t>
            </w:r>
          </w:p>
        </w:tc>
        <w:tc>
          <w:tcPr>
            <w:tcW w:w="9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Раздел</w:t>
            </w:r>
          </w:p>
        </w:tc>
        <w:tc>
          <w:tcPr>
            <w:tcW w:w="1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Подраздел</w:t>
            </w:r>
          </w:p>
        </w:tc>
        <w:tc>
          <w:tcPr>
            <w:tcW w:w="11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Вид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расходов</w:t>
            </w:r>
          </w:p>
        </w:tc>
        <w:tc>
          <w:tcPr>
            <w:tcW w:w="19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Сумма</w:t>
            </w:r>
          </w:p>
        </w:tc>
      </w:tr>
      <w:tr>
        <w:trPr>
          <w:trHeight w:val="300" w:hRule="atLeast"/>
        </w:trPr>
        <w:tc>
          <w:tcPr>
            <w:tcW w:w="50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9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13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11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19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</w:tc>
      </w:tr>
      <w:tr>
        <w:trPr>
          <w:trHeight w:val="338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69  095,3</w:t>
            </w:r>
          </w:p>
        </w:tc>
      </w:tr>
      <w:tr>
        <w:trPr>
          <w:trHeight w:val="415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4  810,1</w:t>
            </w:r>
          </w:p>
        </w:tc>
      </w:tr>
      <w:tr>
        <w:trPr>
          <w:trHeight w:val="840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  <w:t xml:space="preserve">                  </w:t>
            </w:r>
            <w:r>
              <w:rPr>
                <w:rFonts w:cs="Arial" w:ascii="Arial" w:hAnsi="Arial"/>
                <w:color w:val="000000"/>
                <w:sz w:val="20"/>
                <w:szCs w:val="20"/>
              </w:rPr>
              <w:t>3 702,1</w:t>
            </w:r>
          </w:p>
        </w:tc>
      </w:tr>
      <w:tr>
        <w:trPr>
          <w:trHeight w:val="1051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2 049,3</w:t>
            </w:r>
          </w:p>
        </w:tc>
      </w:tr>
      <w:tr>
        <w:trPr>
          <w:trHeight w:val="471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588,6</w:t>
            </w:r>
          </w:p>
        </w:tc>
      </w:tr>
      <w:tr>
        <w:trPr>
          <w:trHeight w:val="265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1 064,2</w:t>
            </w:r>
          </w:p>
        </w:tc>
      </w:tr>
      <w:tr>
        <w:trPr>
          <w:trHeight w:val="554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545,6</w:t>
            </w:r>
          </w:p>
        </w:tc>
      </w:tr>
      <w:tr>
        <w:trPr>
          <w:trHeight w:val="280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545,6</w:t>
            </w:r>
          </w:p>
        </w:tc>
      </w:tr>
      <w:tr>
        <w:trPr>
          <w:trHeight w:val="269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Резервные фонды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3,0</w:t>
            </w:r>
          </w:p>
        </w:tc>
      </w:tr>
      <w:tr>
        <w:trPr>
          <w:trHeight w:val="146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559,4</w:t>
            </w:r>
          </w:p>
        </w:tc>
      </w:tr>
      <w:tr>
        <w:trPr>
          <w:trHeight w:val="1118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229,7</w:t>
            </w:r>
          </w:p>
        </w:tc>
      </w:tr>
      <w:tr>
        <w:trPr>
          <w:trHeight w:val="511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57,0</w:t>
            </w:r>
          </w:p>
        </w:tc>
      </w:tr>
      <w:tr>
        <w:trPr>
          <w:trHeight w:val="278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272,7</w:t>
            </w:r>
          </w:p>
        </w:tc>
      </w:tr>
      <w:tr>
        <w:trPr>
          <w:trHeight w:val="267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НАЦИОНАЛЬНАЯ ОБОРОНА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02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351,5</w:t>
            </w:r>
          </w:p>
        </w:tc>
      </w:tr>
      <w:tr>
        <w:trPr>
          <w:trHeight w:val="286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02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351,5</w:t>
            </w:r>
          </w:p>
        </w:tc>
      </w:tr>
      <w:tr>
        <w:trPr>
          <w:trHeight w:val="1073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02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223,5</w:t>
            </w:r>
          </w:p>
        </w:tc>
      </w:tr>
      <w:tr>
        <w:trPr>
          <w:trHeight w:val="352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02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128,0</w:t>
            </w:r>
          </w:p>
        </w:tc>
      </w:tr>
      <w:tr>
        <w:trPr>
          <w:trHeight w:val="457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НАЦИОНАЛЬНАЯ БЕЗОПАСНОСТЬ И ПРАВООХРАНИТЕЛЬНАЯ ДЕЯТЕЛЬНОСТЬ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03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111,0</w:t>
            </w:r>
          </w:p>
        </w:tc>
      </w:tr>
      <w:tr>
        <w:trPr>
          <w:trHeight w:val="690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111,0</w:t>
            </w:r>
          </w:p>
        </w:tc>
      </w:tr>
      <w:tr>
        <w:trPr>
          <w:trHeight w:val="418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111,0</w:t>
            </w:r>
          </w:p>
        </w:tc>
      </w:tr>
      <w:tr>
        <w:trPr>
          <w:trHeight w:val="338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НАЦИОНАЛЬНАЯ ЭКОНОМИКА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04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9 963,9</w:t>
            </w:r>
          </w:p>
        </w:tc>
      </w:tr>
      <w:tr>
        <w:trPr>
          <w:trHeight w:val="302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09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9 963,9</w:t>
            </w:r>
          </w:p>
        </w:tc>
      </w:tr>
      <w:tr>
        <w:trPr>
          <w:trHeight w:val="419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09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2 953,9</w:t>
            </w:r>
          </w:p>
        </w:tc>
      </w:tr>
      <w:tr>
        <w:trPr>
          <w:trHeight w:val="369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09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7 010,0</w:t>
            </w:r>
          </w:p>
        </w:tc>
      </w:tr>
      <w:tr>
        <w:trPr>
          <w:trHeight w:val="333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18 487,8</w:t>
            </w:r>
          </w:p>
        </w:tc>
      </w:tr>
      <w:tr>
        <w:trPr>
          <w:trHeight w:val="338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Жилищное хозяйство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638,8</w:t>
            </w:r>
          </w:p>
        </w:tc>
      </w:tr>
      <w:tr>
        <w:trPr>
          <w:trHeight w:val="485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638,8</w:t>
            </w:r>
          </w:p>
        </w:tc>
      </w:tr>
      <w:tr>
        <w:trPr>
          <w:trHeight w:val="338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Благоустройство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17 849,0</w:t>
            </w:r>
          </w:p>
        </w:tc>
      </w:tr>
      <w:tr>
        <w:trPr>
          <w:trHeight w:val="1265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4563,7</w:t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  <w:t xml:space="preserve"> </w:t>
            </w:r>
          </w:p>
        </w:tc>
      </w:tr>
      <w:tr>
        <w:trPr>
          <w:trHeight w:val="507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13 285,3</w:t>
            </w:r>
          </w:p>
        </w:tc>
      </w:tr>
      <w:tr>
        <w:trPr>
          <w:trHeight w:val="273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08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35 103,0</w:t>
            </w:r>
          </w:p>
        </w:tc>
      </w:tr>
      <w:tr>
        <w:trPr>
          <w:trHeight w:val="278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Культура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08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35 103,0</w:t>
            </w:r>
          </w:p>
        </w:tc>
      </w:tr>
      <w:tr>
        <w:trPr>
          <w:trHeight w:val="139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08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35 103,0</w:t>
            </w:r>
          </w:p>
        </w:tc>
      </w:tr>
      <w:tr>
        <w:trPr>
          <w:trHeight w:val="172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СОЦИАЛЬНАЯ ПОЛИТИКА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0"/>
                <w:szCs w:val="20"/>
              </w:rPr>
              <w:t>268,0</w:t>
            </w:r>
          </w:p>
        </w:tc>
      </w:tr>
      <w:tr>
        <w:trPr>
          <w:trHeight w:val="217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Другие вопросы в области социальной политики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268,0</w:t>
            </w:r>
          </w:p>
        </w:tc>
      </w:tr>
      <w:tr>
        <w:trPr>
          <w:trHeight w:val="831" w:hRule="atLeast"/>
        </w:trPr>
        <w:tc>
          <w:tcPr>
            <w:tcW w:w="5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2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268,0</w:t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sectPr>
      <w:headerReference w:type="default" r:id="rId3"/>
      <w:type w:val="nextPage"/>
      <w:pgSz w:w="11906" w:h="16838"/>
      <w:pgMar w:left="1701" w:right="850" w:gutter="0" w:header="708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tabs>
        <w:tab w:val="clear" w:pos="4677"/>
        <w:tab w:val="clear" w:pos="9355"/>
        <w:tab w:val="left" w:pos="7080" w:leader="none"/>
      </w:tabs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ascii="Arial" w:hAnsi="Arial" w:cs="Arial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  <w:lang w:val="ru-RU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b/>
      <w:bCs/>
      <w:sz w:val="32"/>
    </w:rPr>
  </w:style>
  <w:style w:type="character" w:styleId="WW8Num1z0">
    <w:name w:val="WW8Num1z0"/>
    <w:qFormat/>
    <w:rPr>
      <w:rFonts w:ascii="Arial" w:hAnsi="Arial" w:cs="Arial"/>
    </w:rPr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Arial" w:hAnsi="Arial" w:cs="Arial"/>
    </w:rPr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Style12">
    <w:name w:val="Основной шрифт абзаца"/>
    <w:qFormat/>
    <w:rPr/>
  </w:style>
  <w:style w:type="character" w:styleId="11">
    <w:name w:val="Заголовок 1 Знак"/>
    <w:qFormat/>
    <w:rPr>
      <w:rFonts w:ascii="Cambria" w:hAnsi="Cambria" w:eastAsia="Times New Roman" w:cs="Times New Roman"/>
      <w:b/>
      <w:bCs/>
      <w:kern w:val="2"/>
      <w:sz w:val="32"/>
      <w:szCs w:val="32"/>
    </w:rPr>
  </w:style>
  <w:style w:type="character" w:styleId="Style13">
    <w:name w:val="Верхний колонтитул Знак"/>
    <w:qFormat/>
    <w:rPr>
      <w:sz w:val="24"/>
      <w:szCs w:val="24"/>
    </w:rPr>
  </w:style>
  <w:style w:type="character" w:styleId="Style14">
    <w:name w:val="Нижний колонтитул Знак"/>
    <w:qFormat/>
    <w:rPr>
      <w:sz w:val="24"/>
      <w:szCs w:val="24"/>
    </w:rPr>
  </w:style>
  <w:style w:type="character" w:styleId="Style15">
    <w:name w:val="Интернет-ссылка"/>
    <w:rPr>
      <w:color w:val="0000FF"/>
      <w:u w:val="single"/>
    </w:rPr>
  </w:style>
  <w:style w:type="character" w:styleId="Style16">
    <w:name w:val="Слабое выделение"/>
    <w:qFormat/>
    <w:rPr>
      <w:i/>
      <w:iCs/>
      <w:color w:val="808080"/>
    </w:rPr>
  </w:style>
  <w:style w:type="character" w:styleId="ConsPlusNormal">
    <w:name w:val="ConsPlusNormal Знак"/>
    <w:basedOn w:val="Style12"/>
    <w:qFormat/>
    <w:rPr>
      <w:rFonts w:ascii="Arial" w:hAnsi="Arial" w:cs="Arial"/>
      <w:lang w:val="ru-RU" w:bidi="ar-SA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jc w:val="center"/>
    </w:pPr>
    <w:rPr>
      <w:b/>
      <w:bCs/>
      <w:sz w:val="28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2">
    <w:name w:val="Колонтитул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lang w:val="ru-RU"/>
    </w:rPr>
  </w:style>
  <w:style w:type="paragraph" w:styleId="Style24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>
      <w:lang w:val="ru-RU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5">
    <w:name w:val="Содержимое таблицы"/>
    <w:basedOn w:val="Normal"/>
    <w:qFormat/>
    <w:pPr>
      <w:widowControl w:val="false"/>
      <w:suppressLineNumbers/>
    </w:pPr>
    <w:rPr/>
  </w:style>
  <w:style w:type="paragraph" w:styleId="Style26">
    <w:name w:val="Заголовок таблицы"/>
    <w:basedOn w:val="Style25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1451</TotalTime>
  <Application>LibreOffice/7.2.4.1$Windows_X86_64 LibreOffice_project/27d75539669ac387bb498e35313b970b7fe9c4f9</Application>
  <AppVersion>15.0000</AppVersion>
  <Pages>26</Pages>
  <Words>4822</Words>
  <Characters>33472</Characters>
  <CharactersWithSpaces>37351</CharactersWithSpaces>
  <Paragraphs>1456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2009-11-17T09:42:00Z</dcterms:created>
  <dc:creator>Голубева</dc:creator>
  <dc:description/>
  <cp:keywords> </cp:keywords>
  <dc:language>ru-RU</dc:language>
  <cp:lastModifiedBy>Admin</cp:lastModifiedBy>
  <cp:lastPrinted>2021-12-17T08:55:00Z</cp:lastPrinted>
  <dcterms:modified xsi:type="dcterms:W3CDTF">2021-12-17T08:06:00Z</dcterms:modified>
  <cp:revision>111</cp:revision>
  <dc:subject/>
  <dc:title>Большеустинский сельский совет</dc:title>
</cp:coreProperties>
</file>