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 xml:space="preserve">  </w:t>
      </w:r>
      <w:r>
        <w:rPr>
          <w:rFonts w:cs="Arial" w:ascii="Arial" w:hAnsi="Arial"/>
          <w:b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b/>
          <w:sz w:val="24"/>
          <w:szCs w:val="24"/>
        </w:rPr>
        <w:t xml:space="preserve">          </w:t>
      </w:r>
      <w:r>
        <w:rPr>
          <w:rFonts w:eastAsia="Arial" w:cs="Arial" w:ascii="Arial" w:hAnsi="Arial"/>
          <w:b/>
          <w:i/>
          <w:sz w:val="24"/>
          <w:szCs w:val="24"/>
          <w:u w:val="single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27.09.2021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30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внесении изменений  в решение поселкового Совета рабочего поселка Шаранга Шарангского муниципального района Нижегородской области от 18.12.2020  года №28 «О бюджете поселения на 2021 год»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ConsPlusTitle"/>
        <w:widowControl/>
        <w:ind w:firstLine="567"/>
        <w:jc w:val="both"/>
        <w:rPr/>
      </w:pPr>
      <w:r>
        <w:rPr>
          <w:rFonts w:eastAsia="Arial" w:cs="Arial" w:ascii="Arial" w:hAnsi="Arial"/>
          <w:b w:val="false"/>
          <w:sz w:val="22"/>
          <w:szCs w:val="22"/>
        </w:rPr>
        <w:t xml:space="preserve">          </w:t>
      </w:r>
      <w:r>
        <w:rPr>
          <w:rFonts w:cs="Arial" w:ascii="Arial" w:hAnsi="Arial"/>
          <w:b w:val="false"/>
          <w:sz w:val="22"/>
          <w:szCs w:val="22"/>
        </w:rPr>
        <w:t xml:space="preserve">В соответствии с Уставом рабочего поселка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sz w:val="22"/>
          <w:szCs w:val="22"/>
        </w:rPr>
        <w:t>РЕШИЛ</w:t>
      </w:r>
      <w:r>
        <w:rPr>
          <w:rFonts w:cs="Arial" w:ascii="Arial" w:hAnsi="Arial"/>
          <w:b w:val="false"/>
          <w:sz w:val="22"/>
          <w:szCs w:val="22"/>
        </w:rPr>
        <w:t>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 </w:t>
      </w:r>
      <w:r>
        <w:rPr>
          <w:rFonts w:cs="Arial" w:ascii="Arial" w:hAnsi="Arial"/>
          <w:sz w:val="22"/>
          <w:szCs w:val="22"/>
        </w:rPr>
        <w:t>Внести в решение поселкового Совета рабочего поселка Шаранга Шарангского муниципального района Нижегородской области от 18.12.2020 года №28 «О бюджете поселения на 2021 год» (с изменениями, внесенными решением поселкового Совета рабочего поселка Шаранга от 12.02.2021г.№3, от 17.03.2021г.№9 ) следующие изменения :</w:t>
        <w:tab/>
      </w:r>
    </w:p>
    <w:p>
      <w:pPr>
        <w:pStyle w:val="Style30"/>
        <w:numPr>
          <w:ilvl w:val="1"/>
          <w:numId w:val="3"/>
        </w:numPr>
        <w:spacing w:lineRule="auto" w:line="240" w:before="0" w:after="0"/>
        <w:contextualSpacing/>
        <w:jc w:val="both"/>
        <w:rPr>
          <w:rFonts w:ascii="Arial" w:hAnsi="Arial" w:cs="Arial"/>
        </w:rPr>
      </w:pPr>
      <w:r>
        <w:rPr>
          <w:rFonts w:cs="Arial" w:ascii="Arial" w:hAnsi="Arial"/>
          <w:b/>
        </w:rPr>
        <w:t>«Статью 1</w:t>
      </w:r>
      <w:r>
        <w:rPr>
          <w:rFonts w:cs="Arial" w:ascii="Arial" w:hAnsi="Arial"/>
        </w:rPr>
        <w:t xml:space="preserve"> изложить в следующей редакции :</w:t>
      </w:r>
    </w:p>
    <w:p>
      <w:pPr>
        <w:pStyle w:val="Style30"/>
        <w:spacing w:lineRule="auto" w:line="240" w:before="0" w:after="0"/>
        <w:ind w:left="0" w:hanging="0"/>
        <w:contextualSpacing/>
        <w:jc w:val="both"/>
        <w:rPr/>
      </w:pPr>
      <w:r>
        <w:rPr>
          <w:rFonts w:eastAsia="Arial" w:cs="Arial" w:ascii="Arial" w:hAnsi="Arial"/>
        </w:rPr>
        <w:t xml:space="preserve">  </w:t>
      </w:r>
      <w:r>
        <w:rPr>
          <w:rFonts w:cs="Arial" w:ascii="Arial" w:hAnsi="Arial"/>
        </w:rPr>
        <w:t>Утвердить основные характеристики бюджета поселения на 2021 год :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2"/>
          <w:szCs w:val="22"/>
        </w:rPr>
        <w:t>общий объем доходов в сумме   59520,4 тыс. рублей;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2"/>
          <w:szCs w:val="22"/>
        </w:rPr>
        <w:t>общий объем расходов в сумме  60175.5тыс. рублей.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2"/>
          <w:szCs w:val="22"/>
        </w:rPr>
        <w:t>размер дефицита в сумме 655,1 тыс.руб.</w:t>
      </w:r>
    </w:p>
    <w:p>
      <w:pPr>
        <w:pStyle w:val="Normal"/>
        <w:ind w:left="72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uppressAutoHyphens w:val="true"/>
        <w:jc w:val="both"/>
        <w:rPr/>
      </w:pPr>
      <w:r>
        <w:rPr>
          <w:rFonts w:cs="Arial" w:ascii="Arial" w:hAnsi="Arial"/>
          <w:sz w:val="22"/>
          <w:szCs w:val="22"/>
        </w:rPr>
        <w:t>1.2</w:t>
      </w:r>
      <w:r>
        <w:rPr>
          <w:rFonts w:cs="Arial" w:ascii="Arial" w:hAnsi="Arial"/>
          <w:b/>
          <w:sz w:val="22"/>
          <w:szCs w:val="22"/>
        </w:rPr>
        <w:t>. «Статью 4</w:t>
      </w:r>
      <w:r>
        <w:rPr>
          <w:rFonts w:cs="Arial" w:ascii="Arial" w:hAnsi="Arial"/>
          <w:sz w:val="22"/>
          <w:szCs w:val="22"/>
        </w:rPr>
        <w:t xml:space="preserve"> изложить в следующей редакции: </w:t>
      </w:r>
    </w:p>
    <w:p>
      <w:pPr>
        <w:pStyle w:val="Normal"/>
        <w:suppressAutoHyphens w:val="true"/>
        <w:jc w:val="both"/>
        <w:rPr/>
      </w:pPr>
      <w:r>
        <w:rPr>
          <w:rFonts w:cs="Arial" w:ascii="Arial" w:hAnsi="Arial"/>
          <w:sz w:val="22"/>
          <w:szCs w:val="22"/>
        </w:rPr>
        <w:t>Утвердить общий объем налоговых и неналоговых доходов на 2021 год в сумме 18142,8тыс.руб.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1.3</w:t>
      </w:r>
      <w:r>
        <w:rPr>
          <w:rFonts w:cs="Arial" w:ascii="Arial" w:hAnsi="Arial"/>
          <w:b/>
          <w:sz w:val="22"/>
          <w:szCs w:val="22"/>
        </w:rPr>
        <w:t>.«Статью 5</w:t>
      </w:r>
      <w:r>
        <w:rPr>
          <w:rFonts w:cs="Arial" w:ascii="Arial" w:hAnsi="Arial"/>
          <w:sz w:val="22"/>
          <w:szCs w:val="22"/>
        </w:rPr>
        <w:t xml:space="preserve"> изложить в следующей редакции: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2"/>
          <w:szCs w:val="22"/>
        </w:rPr>
        <w:t>Утвердить объем безвозмездных поступлений, получаемых из других бюджетов бюджетной системы Российской Федерации на 2021 год в сумме 41377,6тыс.рублей, в том числе объем субвенций на осуществление полномочий по первичному воинскому учету на территориях, где отсутствуют военные комиссариаты в сумме 343,0тыс.рублей..</w:t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1.4.Приложение 3 изложить в следующей редакции:</w:t>
      </w:r>
    </w:p>
    <w:p>
      <w:pPr>
        <w:pStyle w:val="Normal"/>
        <w:jc w:val="right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</w:t>
      </w:r>
      <w:r>
        <w:rPr>
          <w:b/>
        </w:rPr>
        <w:t xml:space="preserve"> </w:t>
      </w:r>
      <w:r>
        <w:rPr>
          <w:rFonts w:cs="Arial" w:ascii="Arial" w:hAnsi="Arial"/>
          <w:b/>
        </w:rPr>
        <w:t>«</w:t>
      </w:r>
      <w:r>
        <w:rPr>
          <w:rFonts w:cs="Arial" w:ascii="Arial" w:hAnsi="Arial"/>
        </w:rPr>
        <w:t xml:space="preserve">Приложение 3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/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                             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20"/>
          <w:tab w:val="left" w:pos="5442" w:leader="none"/>
        </w:tabs>
        <w:rPr>
          <w:rFonts w:ascii="Arial" w:hAnsi="Arial" w:cs="Arial"/>
        </w:rPr>
      </w:pPr>
      <w:r>
        <w:rPr>
          <w:rFonts w:eastAsia="Arial" w:cs="Arial" w:ascii="Arial" w:hAnsi="Arial"/>
          <w:b/>
        </w:rPr>
        <w:t xml:space="preserve"> </w:t>
      </w:r>
      <w:r>
        <w:rPr>
          <w:rFonts w:cs="Arial" w:ascii="Arial" w:hAnsi="Arial"/>
        </w:rPr>
        <w:t>«Поступление доходов по группам, подгруппам и статьям бюджетной классификации на 2021 год»</w:t>
      </w:r>
    </w:p>
    <w:p>
      <w:pPr>
        <w:pStyle w:val="Normal"/>
        <w:tabs>
          <w:tab w:val="clear" w:pos="720"/>
          <w:tab w:val="left" w:pos="5442" w:leader="none"/>
        </w:tabs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tabs>
          <w:tab w:val="clear" w:pos="720"/>
          <w:tab w:val="left" w:pos="5442" w:leader="none"/>
        </w:tabs>
        <w:jc w:val="right"/>
        <w:rPr>
          <w:rFonts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>(тыс. рублей)</w:t>
      </w:r>
    </w:p>
    <w:tbl>
      <w:tblPr>
        <w:tblW w:w="9889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985"/>
        <w:gridCol w:w="1276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Код бюджетной классификации Российской Федерации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доходов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 Налоговые и неналоговые доходы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18142,8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10100000000000000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1.1. Налоги на прибыль, доходы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 xml:space="preserve">8215,5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10102000010000110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 Налог на доходы физических лиц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</w:rPr>
              <w:t xml:space="preserve">8215,5 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10102010010000110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8133,4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10102020010000110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43,5   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10102030010000110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1.1.1.3.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налогов осуществляются в соответствии со статьями 227,227.1 и 228 Налогового кодекса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38,6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10302000010000110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2383,9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10302231010000110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1098,9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10302241010000110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10302251010000110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1478,0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10302261010000110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-200,2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10500000000000000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1.3. Налоги на совокупный доход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10503010010000110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1.3.1. Единый сельскохозяйственный налог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157,9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10600000000000000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1.4. Налоги на имущество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6279,4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10601030130000110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2693,9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10606000000000110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 Земельный налог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3585,5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10606030000000110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 Земельный налог с организаций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2302,4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10606033130000110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2302,4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10606040000000110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  Земельный налог  с физических лиц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lang w:val="en-US"/>
              </w:rPr>
              <w:t>1</w:t>
            </w:r>
            <w:r>
              <w:rPr>
                <w:rFonts w:cs="Arial" w:ascii="Arial" w:hAnsi="Arial"/>
              </w:rPr>
              <w:t>283,1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10606043130000110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1283,1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11100000000000000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869,4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11105000000000120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869,4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11105013130000120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836,8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11105025130000120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1.5.1.2. Доходы, получаемые в виде арендной платы, а также средства от продажи права на заключение договоров аренды за земли, находящиеся в собственности городских поселений(за исключением земельных участков муниципальных бюджетных и автономных учреждений)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11400000000000000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1.6. Доходы от продажи материальных и нематериальных активов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11406013130000430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11700000000000150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1.7. Прочие неналоговые доходы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216,7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11714030130000150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1.7.1. Средства самообложения граждан, зачисляемые в бюджеты городских поселений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11715030130000150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1.7.2.Инициативные платежи, зачисляемые в бюджеты городских поселений на реализацию проекта инициативного бюджетирования «Вам решать»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41,7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20000000000000000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 Безвозмездные поступления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41377,6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41260,0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20210000000000150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3843,6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20215001130000150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3843,6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20220000000000150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2.1.2   Субсидии бюджетам городских поселений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7412,2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20225555130000150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2.1.2.1 Субсидии бюджетам городских поселений на реализацию программ формирования современной городской среды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4097,5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20225576130000150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2.1.2.2 Субсидии бюджетам городских поселений на обеспечение комплексного развития сельских территорий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3314,7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20230000000000150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2.1.3.Субвенции бюджетам субъектов Российской Федерации и муниципальных образований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343,0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20235118130000150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2.1.3.1.Субвенции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343,0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20240000000000150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2.1.4. Иные межбюджетные трансферты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29661,2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20245160130000150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 xml:space="preserve">2.1.4.1.Межбюджетные трансферты ,передаваемые бюджетам городским поселений для компенсации дополнительных расходов, возникших в результате решений ,принятых органами власти другого уровня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3250,7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2.1.4.1.1.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2650,7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2.1.4.1.2. 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600,0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20249999130000150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</w:rPr>
              <w:t>2.1.4.2.Прочие межбюджетные трансферты, передаваемые бюджетам городских  поселений</w:t>
            </w:r>
            <w:r>
              <w:rPr>
                <w:rFonts w:cs="Arial" w:ascii="Arial" w:hAnsi="Arial"/>
                <w:b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26410,5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20700000000000000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2.2.Прочие безвозмездные поступления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148,0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20705030130000150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 xml:space="preserve">2.2.1.Прочие безвозмездные поступления от негосударственных организаций в бюджеты городских поселений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148,0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21960010130000150</w:t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</w:rPr>
              <w:t>2.3.Возврат прочих остатков субсидий , субвенций и иных межбюджетных трансфертов, имеющих целевое назначение, прошлых лет из бюджетов городских поселений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-30,4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5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Всего доходов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</w:t>
            </w:r>
            <w:r>
              <w:rPr>
                <w:rFonts w:cs="Arial" w:ascii="Arial" w:hAnsi="Arial"/>
                <w:b/>
              </w:rPr>
              <w:t>59520,4</w:t>
            </w:r>
          </w:p>
        </w:tc>
      </w:tr>
    </w:tbl>
    <w:p>
      <w:pPr>
        <w:pStyle w:val="Normal"/>
        <w:tabs>
          <w:tab w:val="clear" w:pos="720"/>
          <w:tab w:val="left" w:pos="5442" w:leader="none"/>
        </w:tabs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Arial" w:ascii="Arial" w:hAnsi="Arial"/>
        </w:rPr>
        <w:t>1.5.  Приложение 4 изложить в следующей редакции:</w:t>
      </w:r>
    </w:p>
    <w:p>
      <w:pPr>
        <w:pStyle w:val="Normal"/>
        <w:jc w:val="right"/>
        <w:rPr/>
      </w:pPr>
      <w:r>
        <w:rPr>
          <w:rFonts w:cs="Arial" w:ascii="Arial" w:hAnsi="Arial"/>
          <w:b/>
        </w:rPr>
        <w:tab/>
      </w:r>
      <w:r>
        <w:rPr>
          <w:rFonts w:cs="Arial" w:ascii="Arial" w:hAnsi="Arial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>
        <w:rPr>
          <w:rFonts w:cs="Arial" w:ascii="Arial" w:hAnsi="Arial"/>
          <w:b/>
        </w:rPr>
        <w:t xml:space="preserve"> «</w:t>
      </w:r>
      <w:r>
        <w:rPr>
          <w:rFonts w:cs="Arial" w:ascii="Arial" w:hAnsi="Arial"/>
        </w:rPr>
        <w:t xml:space="preserve">Приложение 4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</w:t>
      </w:r>
    </w:p>
    <w:p>
      <w:pPr>
        <w:pStyle w:val="Normal"/>
        <w:jc w:val="right"/>
        <w:rPr>
          <w:rFonts w:ascii="Arial" w:hAnsi="Arial" w:eastAsia="Arial" w:cs="Arial"/>
        </w:rPr>
      </w:pPr>
      <w:r>
        <w:rPr>
          <w:rFonts w:eastAsia="Arial" w:cs="Arial" w:ascii="Arial" w:hAnsi="Arial"/>
        </w:rPr>
        <w:t xml:space="preserve">                              </w:t>
      </w:r>
    </w:p>
    <w:p>
      <w:pPr>
        <w:pStyle w:val="Normal"/>
        <w:rPr/>
      </w:pPr>
      <w:r>
        <w:rPr>
          <w:rFonts w:eastAsia="Arial" w:cs="Arial" w:ascii="Arial" w:hAnsi="Arial"/>
        </w:rPr>
        <w:t xml:space="preserve">               </w:t>
      </w:r>
      <w:r>
        <w:rPr>
          <w:rFonts w:cs="Arial" w:ascii="Arial" w:hAnsi="Arial"/>
        </w:rPr>
        <w:t>«Источники финансирования дефицита бюджета поселения на 2021год»</w:t>
      </w:r>
    </w:p>
    <w:p>
      <w:pPr>
        <w:pStyle w:val="Normal"/>
        <w:ind w:firstLine="360"/>
        <w:jc w:val="right"/>
        <w:rPr/>
      </w:pPr>
      <w:r>
        <w:rPr/>
        <w:t>тыс.руб.</w:t>
      </w:r>
    </w:p>
    <w:tbl>
      <w:tblPr>
        <w:tblW w:w="10790" w:type="dxa"/>
        <w:jc w:val="left"/>
        <w:tblInd w:w="-14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8"/>
        <w:gridCol w:w="1701"/>
        <w:gridCol w:w="1151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 xml:space="preserve">Сумма </w:t>
            </w:r>
          </w:p>
        </w:tc>
        <w:tc>
          <w:tcPr>
            <w:tcW w:w="1151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eastAsia="Calibri" w:cs="Arial"/>
                <w:b/>
                <w:b/>
              </w:rPr>
            </w:pPr>
            <w:r>
              <w:rPr>
                <w:rFonts w:eastAsia="Calibri" w:cs="Arial" w:ascii="Arial" w:hAnsi="Arial"/>
                <w:b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76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655,1</w:t>
            </w:r>
          </w:p>
        </w:tc>
        <w:tc>
          <w:tcPr>
            <w:tcW w:w="1151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eastAsia="Calibri" w:cs="Arial"/>
                <w:bCs/>
              </w:rPr>
            </w:pPr>
            <w:r>
              <w:rPr>
                <w:rFonts w:eastAsia="Calibri" w:cs="Arial" w:ascii="Arial" w:hAnsi="Arial"/>
                <w:bCs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7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76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655,1</w:t>
            </w:r>
          </w:p>
        </w:tc>
        <w:tc>
          <w:tcPr>
            <w:tcW w:w="1151" w:type="dxa"/>
            <w:tcBorders>
              <w:lef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</w:tbl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/>
      </w:pPr>
      <w:r>
        <w:rPr>
          <w:rFonts w:cs="Arial" w:ascii="Arial" w:hAnsi="Arial"/>
          <w:kern w:val="2"/>
          <w:sz w:val="22"/>
          <w:szCs w:val="22"/>
        </w:rPr>
        <w:t xml:space="preserve">1.6.  Приложение 5 изложить в следующей редакции :  </w:t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>
          <w:rFonts w:ascii="Arial" w:hAnsi="Arial" w:cs="Arial"/>
          <w:b/>
          <w:b/>
          <w:kern w:val="2"/>
          <w:sz w:val="22"/>
          <w:szCs w:val="22"/>
        </w:rPr>
      </w:pPr>
      <w:r>
        <w:rPr>
          <w:rFonts w:cs="Arial" w:ascii="Arial" w:hAnsi="Arial"/>
          <w:b/>
          <w:kern w:val="2"/>
          <w:sz w:val="22"/>
          <w:szCs w:val="22"/>
        </w:rPr>
      </w:r>
    </w:p>
    <w:p>
      <w:pPr>
        <w:pStyle w:val="Normal"/>
        <w:jc w:val="right"/>
        <w:rPr/>
      </w:pPr>
      <w:r>
        <w:rPr>
          <w:rFonts w:cs="Arial" w:ascii="Arial" w:hAnsi="Arial"/>
        </w:rPr>
        <w:t xml:space="preserve">«Приложение 5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/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</w:t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>
          <w:rFonts w:ascii="Arial" w:hAnsi="Arial" w:cs="Arial"/>
          <w:b/>
          <w:b/>
          <w:kern w:val="2"/>
        </w:rPr>
      </w:pPr>
      <w:r>
        <w:rPr>
          <w:rFonts w:eastAsia="Arial" w:cs="Arial" w:ascii="Arial" w:hAnsi="Arial"/>
          <w:b/>
          <w:kern w:val="2"/>
        </w:rPr>
        <w:t xml:space="preserve">                                                                                                          </w:t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tbl>
      <w:tblPr>
        <w:tblW w:w="10251" w:type="dxa"/>
        <w:jc w:val="left"/>
        <w:tblInd w:w="-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4"/>
        <w:gridCol w:w="1676"/>
        <w:gridCol w:w="1167"/>
        <w:gridCol w:w="1974"/>
      </w:tblGrid>
      <w:tr>
        <w:trPr>
          <w:trHeight w:val="1182" w:hRule="atLeast"/>
        </w:trPr>
        <w:tc>
          <w:tcPr>
            <w:tcW w:w="10251" w:type="dxa"/>
            <w:gridSpan w:val="4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Распределение бюджетных ассигнований по разделам, по целевым статьям (государственным программам, и непрограммным направлениям деятельности), группам видов расходов, разделам, подразделам классификации расходов  бюджета на 2021год</w:t>
            </w:r>
          </w:p>
        </w:tc>
      </w:tr>
      <w:tr>
        <w:trPr>
          <w:trHeight w:val="338" w:hRule="atLeast"/>
        </w:trPr>
        <w:tc>
          <w:tcPr>
            <w:tcW w:w="5434" w:type="dxa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676" w:type="dxa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167" w:type="dxa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974" w:type="dxa"/>
            <w:tcBorders/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color w:val="000000"/>
              </w:rPr>
              <w:t xml:space="preserve"> </w:t>
            </w:r>
            <w:r>
              <w:rPr>
                <w:rFonts w:cs="Arial" w:ascii="Arial" w:hAnsi="Arial"/>
                <w:b/>
                <w:bCs/>
                <w:color w:val="000000"/>
              </w:rPr>
              <w:t>(тыс. рублей)</w:t>
            </w:r>
          </w:p>
        </w:tc>
      </w:tr>
      <w:tr>
        <w:trPr>
          <w:trHeight w:val="300" w:hRule="atLeast"/>
        </w:trPr>
        <w:tc>
          <w:tcPr>
            <w:tcW w:w="54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1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 xml:space="preserve">Целевая статья 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расходов</w:t>
            </w:r>
          </w:p>
        </w:tc>
        <w:tc>
          <w:tcPr>
            <w:tcW w:w="11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Вид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расходов</w:t>
            </w:r>
          </w:p>
        </w:tc>
        <w:tc>
          <w:tcPr>
            <w:tcW w:w="19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Сумма</w:t>
            </w:r>
          </w:p>
        </w:tc>
      </w:tr>
      <w:tr>
        <w:trPr>
          <w:trHeight w:val="300" w:hRule="atLeast"/>
        </w:trPr>
        <w:tc>
          <w:tcPr>
            <w:tcW w:w="54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6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1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9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380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29 474,2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«Развитие транспортной системы в Шарангском мунипальном районе Нижегородской области в 2021-2025 годы»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06.0.00.00000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14 514,4</w:t>
            </w:r>
          </w:p>
        </w:tc>
      </w:tr>
      <w:tr>
        <w:trPr>
          <w:trHeight w:val="51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Ремонт и содержание автомбильных дорог общего пользования в Шарангском муниципальном районе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14 514,4</w:t>
            </w:r>
          </w:p>
        </w:tc>
      </w:tr>
      <w:tr>
        <w:trPr>
          <w:trHeight w:val="40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06.2.02.00000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3 255,7</w:t>
            </w:r>
          </w:p>
        </w:tc>
      </w:tr>
      <w:tr>
        <w:trPr>
          <w:trHeight w:val="41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06.2.02.07080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3 255,7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06.2.02.07080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3 255,7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11 258,7</w:t>
            </w:r>
          </w:p>
        </w:tc>
      </w:tr>
      <w:tr>
        <w:trPr>
          <w:trHeight w:val="611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06.2.03.S2210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5 554,7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06.2.03.S2210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5 554,7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реализацию проекта инициативного бюджетирования "Вам решать!" (ремонт участков автодороги по ул.Родниковая в р.п.Шаранга Шарангского муниципального района Нижегородской области )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06.2.03.S260A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704,0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06.2.03.S260A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704,0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реализацию полномочий органов местного самоуправления по решению вопросов местного значения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06.2.03.S2650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5 000,0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06.2.03.S2650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5 000,0</w:t>
            </w:r>
          </w:p>
        </w:tc>
      </w:tr>
      <w:tr>
        <w:trPr>
          <w:trHeight w:val="986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427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Обеспечение пожарной безопасности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73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08.2.02.00000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08.2.02.03000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08.2.02.03000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89,5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4 935,1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14.2.00.00000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4 935,1</w:t>
            </w:r>
          </w:p>
        </w:tc>
      </w:tr>
      <w:tr>
        <w:trPr>
          <w:trHeight w:val="696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14.2.10.00000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1 139,8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Иные межбюджетные трансферты на компенсацию дополнительных расходов, возникших в результате решений,принятых органами власти другого уровня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14.2.10.04516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1 139,8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14.2.10.04516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1 139,8</w:t>
            </w:r>
          </w:p>
        </w:tc>
      </w:tr>
      <w:tr>
        <w:trPr>
          <w:trHeight w:val="52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3 795,3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14.2.20.51180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  <w:color w:val="000000"/>
              </w:rPr>
              <w:t>343,0</w:t>
            </w:r>
          </w:p>
        </w:tc>
      </w:tr>
      <w:tr>
        <w:trPr>
          <w:trHeight w:val="1086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14.2.20.51180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224,5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14.2.20.51180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118,5</w:t>
            </w:r>
          </w:p>
        </w:tc>
      </w:tr>
      <w:tr>
        <w:trPr>
          <w:trHeight w:val="1171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14.2.20.74800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600,0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14.2.20.74800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600,0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реализацию проекта инициативного бюджетирования "Вам решать!" (обустройство детской спортивной площадки на ул.Фруктовая в р.п.Шаранга Шарангского муниципального района Нижегородской области)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14.2.20.S2601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1 048,5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14.2.20.S2601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1 048,5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реализацию проекта инициативного бюджетирования "Вам решать!" (ремонт участков автодороги по ул.Родниковая в р.п.Шаранга Шарангского муниципального района Нижегородской области )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14.2.20.S260A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1 803,8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14.2.20.S260A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1 803,8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"Формирование комфортной городской среды р.п. Шаранга Шарангского муниципального района Нижегородской области на 2018-2022 годы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19.0.00.00000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4 552,7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Благоустройство дворовых территорий многоквартирных жилых домов р.п. Шаранга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19.1.F2.55550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4 552,7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19.1.F2.55550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4 552,7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22.0.00.00000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5 382,5</w:t>
            </w:r>
          </w:p>
        </w:tc>
      </w:tr>
      <w:tr>
        <w:trPr>
          <w:trHeight w:val="31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Благоусторойство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22.0.02.00000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4 918,2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Реализация мероприятий по благоустройству сельских территорий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22.0.02.L5760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4 918,2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22.0.02.L5760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4 918,2</w:t>
            </w:r>
          </w:p>
        </w:tc>
      </w:tr>
      <w:tr>
        <w:trPr>
          <w:trHeight w:val="318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Прочее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22.0.03.00000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464,3</w:t>
            </w:r>
          </w:p>
        </w:tc>
      </w:tr>
      <w:tr>
        <w:trPr>
          <w:trHeight w:val="135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22.0.03.S2200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464,3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22.0.03.S2200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464,3</w:t>
            </w:r>
          </w:p>
        </w:tc>
      </w:tr>
      <w:tr>
        <w:trPr>
          <w:trHeight w:val="341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88.0.00.00000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30 701,3</w:t>
            </w:r>
          </w:p>
        </w:tc>
      </w:tr>
      <w:tr>
        <w:trPr>
          <w:trHeight w:val="36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88.8.00.00000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30 701,3</w:t>
            </w:r>
          </w:p>
        </w:tc>
      </w:tr>
      <w:tr>
        <w:trPr>
          <w:trHeight w:val="34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2 798,1</w:t>
            </w:r>
          </w:p>
        </w:tc>
      </w:tr>
      <w:tr>
        <w:trPr>
          <w:trHeight w:val="387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Резервные фонды местных администраций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88.8.01.07005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3,0</w:t>
            </w:r>
          </w:p>
        </w:tc>
      </w:tr>
      <w:tr>
        <w:trPr>
          <w:trHeight w:val="55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88.8.01.07005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3,0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88.8.01.20401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1 802,7</w:t>
            </w:r>
          </w:p>
        </w:tc>
      </w:tr>
      <w:tr>
        <w:trPr>
          <w:trHeight w:val="105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88.8.01.20401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1 185,9</w:t>
            </w:r>
          </w:p>
        </w:tc>
      </w:tr>
      <w:tr>
        <w:trPr>
          <w:trHeight w:val="478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88.8.01.20401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616,8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88.8.01.20800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803,6</w:t>
            </w:r>
          </w:p>
        </w:tc>
      </w:tr>
      <w:tr>
        <w:trPr>
          <w:trHeight w:val="10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88.8.01.20800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803,6</w:t>
            </w:r>
          </w:p>
        </w:tc>
      </w:tr>
      <w:tr>
        <w:trPr>
          <w:trHeight w:val="57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88.8.01.93990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188,8</w:t>
            </w:r>
          </w:p>
        </w:tc>
      </w:tr>
      <w:tr>
        <w:trPr>
          <w:trHeight w:val="135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88.8.01.93990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188,8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соответсвии с заключенными соглашениями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88.8.03.00000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14 324,8</w:t>
            </w:r>
          </w:p>
        </w:tc>
      </w:tr>
      <w:tr>
        <w:trPr>
          <w:trHeight w:val="67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Межбюджетные трансферты из бюджетов поселений бюджету муниципального района   в соответсвии с заключенными соглашениями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88.8.03.02106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14 324,8</w:t>
            </w:r>
          </w:p>
        </w:tc>
      </w:tr>
      <w:tr>
        <w:trPr>
          <w:trHeight w:val="331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Межбюджетные трансферты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88.8.03.02106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  <w:color w:val="000000"/>
              </w:rPr>
              <w:t>14 324,8</w:t>
            </w:r>
          </w:p>
        </w:tc>
      </w:tr>
      <w:tr>
        <w:trPr>
          <w:trHeight w:val="36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Прочие непрограммные расходы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88.8.06.00000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13 578,4</w:t>
            </w:r>
          </w:p>
        </w:tc>
      </w:tr>
      <w:tr>
        <w:trPr>
          <w:trHeight w:val="37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88.8.06.03503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486,6</w:t>
            </w:r>
          </w:p>
        </w:tc>
      </w:tr>
      <w:tr>
        <w:trPr>
          <w:trHeight w:val="54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88.8.06.03503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486,6</w:t>
            </w:r>
          </w:p>
        </w:tc>
      </w:tr>
      <w:tr>
        <w:trPr>
          <w:trHeight w:val="29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88.8.06.05030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28,1</w:t>
            </w:r>
          </w:p>
        </w:tc>
      </w:tr>
      <w:tr>
        <w:trPr>
          <w:trHeight w:val="285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88.8.06.05030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28,1</w:t>
            </w:r>
          </w:p>
        </w:tc>
      </w:tr>
      <w:tr>
        <w:trPr>
          <w:trHeight w:val="277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вобласти социальной политики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88.8.06.14010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281,9</w:t>
            </w:r>
          </w:p>
        </w:tc>
      </w:tr>
      <w:tr>
        <w:trPr>
          <w:trHeight w:val="512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88.8.06.14010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281,9</w:t>
            </w:r>
          </w:p>
        </w:tc>
      </w:tr>
      <w:tr>
        <w:trPr>
          <w:trHeight w:val="26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88.8.06.60102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4 026,0</w:t>
            </w:r>
          </w:p>
        </w:tc>
      </w:tr>
      <w:tr>
        <w:trPr>
          <w:trHeight w:val="976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88.8.06.60102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298,8</w:t>
            </w:r>
          </w:p>
        </w:tc>
      </w:tr>
      <w:tr>
        <w:trPr>
          <w:trHeight w:val="562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88.8.06.60102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3 727,2</w:t>
            </w:r>
          </w:p>
        </w:tc>
      </w:tr>
      <w:tr>
        <w:trPr>
          <w:trHeight w:val="287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Озеленение за счет средств местного бюджета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88.8.06.60302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258,4</w:t>
            </w:r>
          </w:p>
        </w:tc>
      </w:tr>
      <w:tr>
        <w:trPr>
          <w:trHeight w:val="547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88.8.06.60302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258,4</w:t>
            </w:r>
          </w:p>
        </w:tc>
      </w:tr>
      <w:tr>
        <w:trPr>
          <w:trHeight w:val="304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Организация и содержание мест захоронения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88.8.06.60402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248,5</w:t>
            </w:r>
          </w:p>
        </w:tc>
      </w:tr>
      <w:tr>
        <w:trPr>
          <w:trHeight w:val="1062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88.8.06.60402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198,5</w:t>
            </w:r>
          </w:p>
        </w:tc>
      </w:tr>
      <w:tr>
        <w:trPr>
          <w:trHeight w:val="47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88.8.06.60402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50,0</w:t>
            </w:r>
          </w:p>
        </w:tc>
      </w:tr>
      <w:tr>
        <w:trPr>
          <w:trHeight w:val="537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88.8.06.60503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7 844,3</w:t>
            </w:r>
          </w:p>
        </w:tc>
      </w:tr>
      <w:tr>
        <w:trPr>
          <w:trHeight w:val="1096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88.8.06.60503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3 998,0</w:t>
            </w:r>
          </w:p>
        </w:tc>
      </w:tr>
      <w:tr>
        <w:trPr>
          <w:trHeight w:val="549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88.8.06.60503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3 846,3</w:t>
            </w:r>
          </w:p>
        </w:tc>
      </w:tr>
      <w:tr>
        <w:trPr>
          <w:trHeight w:val="571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88.8.06.92035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68,8</w:t>
            </w:r>
          </w:p>
        </w:tc>
      </w:tr>
      <w:tr>
        <w:trPr>
          <w:trHeight w:val="551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88.8.06.92035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68,8</w:t>
            </w:r>
          </w:p>
        </w:tc>
      </w:tr>
      <w:tr>
        <w:trPr>
          <w:trHeight w:val="1013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Расходы на реализацию проекта инициативного бюджетирования "Вам решать!" (обустройство детской спортивной площадки на ул.Фруктовая в р.п.Шаранга Шарангского муниципального района Нижегородской области)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88.8.06.S2601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000 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335,8</w:t>
            </w:r>
          </w:p>
        </w:tc>
      </w:tr>
      <w:tr>
        <w:trPr>
          <w:trHeight w:val="548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88.8.06.S2601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335,8</w:t>
            </w:r>
          </w:p>
        </w:tc>
      </w:tr>
      <w:tr>
        <w:trPr>
          <w:trHeight w:val="338" w:hRule="atLeast"/>
        </w:trPr>
        <w:tc>
          <w:tcPr>
            <w:tcW w:w="5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Всего</w:t>
            </w:r>
          </w:p>
        </w:tc>
        <w:tc>
          <w:tcPr>
            <w:tcW w:w="167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</w:p>
        </w:tc>
        <w:tc>
          <w:tcPr>
            <w:tcW w:w="11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 </w:t>
            </w:r>
          </w:p>
        </w:tc>
        <w:tc>
          <w:tcPr>
            <w:tcW w:w="1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60 175,5</w:t>
            </w:r>
          </w:p>
        </w:tc>
      </w:tr>
      <w:tr>
        <w:trPr>
          <w:trHeight w:val="300" w:hRule="atLeast"/>
        </w:trPr>
        <w:tc>
          <w:tcPr>
            <w:tcW w:w="5434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676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167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974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</w:tbl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>
          <w:rFonts w:ascii="Arial" w:hAnsi="Arial" w:cs="Arial"/>
          <w:kern w:val="2"/>
        </w:rPr>
      </w:pPr>
      <w:r>
        <w:rPr>
          <w:rFonts w:cs="Arial" w:ascii="Arial" w:hAnsi="Arial"/>
          <w:kern w:val="2"/>
        </w:rPr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>
          <w:rFonts w:ascii="Arial" w:hAnsi="Arial" w:cs="Arial"/>
          <w:kern w:val="2"/>
        </w:rPr>
      </w:pPr>
      <w:r>
        <w:rPr>
          <w:rFonts w:cs="Arial" w:ascii="Arial" w:hAnsi="Arial"/>
          <w:kern w:val="2"/>
        </w:rPr>
      </w:r>
    </w:p>
    <w:p>
      <w:pPr>
        <w:pStyle w:val="Normal"/>
        <w:tabs>
          <w:tab w:val="clear" w:pos="720"/>
          <w:tab w:val="center" w:pos="4819" w:leader="none"/>
        </w:tabs>
        <w:overflowPunct w:val="false"/>
        <w:autoSpaceDE w:val="false"/>
        <w:textAlignment w:val="baseline"/>
        <w:rPr>
          <w:rFonts w:ascii="Arial" w:hAnsi="Arial" w:cs="Arial"/>
          <w:kern w:val="2"/>
        </w:rPr>
      </w:pPr>
      <w:r>
        <w:rPr>
          <w:rFonts w:cs="Arial" w:ascii="Arial" w:hAnsi="Arial"/>
          <w:kern w:val="2"/>
        </w:rPr>
      </w:r>
    </w:p>
    <w:p>
      <w:pPr>
        <w:pStyle w:val="Normal"/>
        <w:rPr>
          <w:rFonts w:ascii="Arial" w:hAnsi="Arial" w:cs="Arial"/>
          <w:kern w:val="2"/>
        </w:rPr>
      </w:pPr>
      <w:r>
        <w:rPr>
          <w:rFonts w:cs="Arial" w:ascii="Arial" w:hAnsi="Arial"/>
          <w:kern w:val="2"/>
        </w:rPr>
      </w:r>
    </w:p>
    <w:p>
      <w:pPr>
        <w:pStyle w:val="Normal"/>
        <w:tabs>
          <w:tab w:val="clear" w:pos="720"/>
          <w:tab w:val="left" w:pos="210" w:leader="none"/>
          <w:tab w:val="center" w:pos="4819" w:leader="none"/>
        </w:tabs>
        <w:rPr/>
      </w:pPr>
      <w:r>
        <w:rPr>
          <w:rFonts w:cs="Arial" w:ascii="Arial" w:hAnsi="Arial"/>
          <w:bCs/>
        </w:rPr>
        <w:tab/>
        <w:t xml:space="preserve"> 1.7. Приложение 6 изложить в следующей редакции :                                                                              </w:t>
      </w:r>
    </w:p>
    <w:p>
      <w:pPr>
        <w:pStyle w:val="Normal"/>
        <w:jc w:val="right"/>
        <w:rPr/>
      </w:pPr>
      <w:r>
        <w:rPr>
          <w:rFonts w:cs="Arial" w:ascii="Arial" w:hAnsi="Arial"/>
        </w:rPr>
        <w:t xml:space="preserve">«Приложение 6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</w:t>
      </w:r>
    </w:p>
    <w:p>
      <w:pPr>
        <w:pStyle w:val="Normal"/>
        <w:tabs>
          <w:tab w:val="clear" w:pos="720"/>
          <w:tab w:val="left" w:pos="210" w:leader="none"/>
          <w:tab w:val="center" w:pos="4819" w:leader="none"/>
        </w:tabs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tbl>
      <w:tblPr>
        <w:tblW w:w="1006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4"/>
        <w:gridCol w:w="851"/>
        <w:gridCol w:w="425"/>
        <w:gridCol w:w="283"/>
        <w:gridCol w:w="142"/>
        <w:gridCol w:w="708"/>
        <w:gridCol w:w="284"/>
        <w:gridCol w:w="1560"/>
        <w:gridCol w:w="708"/>
        <w:gridCol w:w="1560"/>
      </w:tblGrid>
      <w:tr>
        <w:trPr>
          <w:trHeight w:val="394" w:hRule="atLeast"/>
        </w:trPr>
        <w:tc>
          <w:tcPr>
            <w:tcW w:w="10065" w:type="dxa"/>
            <w:gridSpan w:val="10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Ведомственная структура расходов бюджета поселения на 2021год</w:t>
            </w:r>
          </w:p>
        </w:tc>
      </w:tr>
      <w:tr>
        <w:trPr>
          <w:trHeight w:val="300" w:hRule="atLeast"/>
        </w:trPr>
        <w:tc>
          <w:tcPr>
            <w:tcW w:w="3544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276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133" w:type="dxa"/>
            <w:gridSpan w:val="3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284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560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560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94" w:hRule="atLeast"/>
        </w:trPr>
        <w:tc>
          <w:tcPr>
            <w:tcW w:w="3544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851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850" w:type="dxa"/>
            <w:gridSpan w:val="3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992" w:type="dxa"/>
            <w:gridSpan w:val="2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560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708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560" w:type="dxa"/>
            <w:tcBorders/>
            <w:vAlign w:val="cente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  <w:t xml:space="preserve"> </w:t>
            </w:r>
            <w:r>
              <w:rPr>
                <w:rFonts w:cs="Arial" w:ascii="Arial" w:hAnsi="Arial"/>
                <w:color w:val="000000"/>
              </w:rPr>
              <w:t>(тыс.рублей)</w:t>
            </w:r>
          </w:p>
        </w:tc>
      </w:tr>
      <w:tr>
        <w:trPr>
          <w:trHeight w:val="300" w:hRule="atLeast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Ведомство</w:t>
            </w:r>
          </w:p>
        </w:tc>
        <w:tc>
          <w:tcPr>
            <w:tcW w:w="70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Раз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дел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Подраз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дел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Целевая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статья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расходов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Вид расходов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Сумма</w:t>
            </w:r>
          </w:p>
        </w:tc>
      </w:tr>
      <w:tr>
        <w:trPr>
          <w:trHeight w:val="300" w:hRule="atLeast"/>
        </w:trPr>
        <w:tc>
          <w:tcPr>
            <w:tcW w:w="35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8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134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101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487</w:t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60 175,5</w:t>
            </w:r>
          </w:p>
        </w:tc>
      </w:tr>
      <w:tr>
        <w:trPr>
          <w:trHeight w:val="41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2 863,9</w:t>
            </w:r>
          </w:p>
        </w:tc>
      </w:tr>
      <w:tr>
        <w:trPr>
          <w:trHeight w:val="140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2606,3 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2 606,3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2 606,3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2606,3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обеспечение функций органов управления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88.8.01.20401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1802,7</w:t>
            </w:r>
          </w:p>
        </w:tc>
      </w:tr>
      <w:tr>
        <w:trPr>
          <w:trHeight w:val="172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88.8.01.20401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1185,9</w:t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</w:tr>
      <w:tr>
        <w:trPr>
          <w:trHeight w:val="69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88.8.01.20401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eastAsia="Arial" w:cs="Arial" w:ascii="Arial" w:hAnsi="Arial"/>
                <w:iCs/>
                <w:color w:val="000000"/>
              </w:rPr>
              <w:t xml:space="preserve">                          </w:t>
            </w:r>
            <w:r>
              <w:rPr>
                <w:rFonts w:cs="Arial" w:ascii="Arial" w:hAnsi="Arial"/>
                <w:iCs/>
                <w:color w:val="000000"/>
              </w:rPr>
              <w:t>616,8</w:t>
            </w:r>
          </w:p>
        </w:tc>
      </w:tr>
      <w:tr>
        <w:trPr>
          <w:trHeight w:val="69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88.8.01.20800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803,6</w:t>
            </w:r>
          </w:p>
        </w:tc>
      </w:tr>
      <w:tr>
        <w:trPr>
          <w:trHeight w:val="126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88.8.01.20800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803,6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257,6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257,6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257,6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188,8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88.8.01.93990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188,8</w:t>
            </w:r>
          </w:p>
        </w:tc>
      </w:tr>
      <w:tr>
        <w:trPr>
          <w:trHeight w:val="136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88.8.01.93990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188,8</w:t>
            </w:r>
          </w:p>
        </w:tc>
      </w:tr>
      <w:tr>
        <w:trPr>
          <w:trHeight w:val="33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68,8</w:t>
            </w:r>
          </w:p>
        </w:tc>
      </w:tr>
      <w:tr>
        <w:trPr>
          <w:trHeight w:val="33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Прочие выплаты по обязательным образованиям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88.8.06.92035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68,8</w:t>
            </w:r>
          </w:p>
        </w:tc>
      </w:tr>
      <w:tr>
        <w:trPr>
          <w:trHeight w:val="56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88.8.06.92035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68,8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47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69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69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69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69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14.2.20.51180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126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eastAsia="Arial" w:cs="Arial" w:ascii="Arial" w:hAnsi="Arial"/>
                <w:iCs/>
                <w:color w:val="000000"/>
              </w:rPr>
              <w:t xml:space="preserve">    </w:t>
            </w:r>
            <w:r>
              <w:rPr>
                <w:rFonts w:cs="Arial" w:ascii="Arial" w:hAnsi="Arial"/>
                <w:iCs/>
                <w:color w:val="000000"/>
              </w:rPr>
              <w:t>02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14.2.20.51180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224,5</w:t>
            </w:r>
          </w:p>
        </w:tc>
      </w:tr>
      <w:tr>
        <w:trPr>
          <w:trHeight w:val="712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02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14.2.20.51180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118,5</w:t>
            </w:r>
          </w:p>
        </w:tc>
      </w:tr>
      <w:tr>
        <w:trPr>
          <w:trHeight w:val="69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1116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155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6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6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08.2.02.00000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6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08.2.02.03000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70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08.2.02.03000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89,5</w:t>
            </w:r>
          </w:p>
        </w:tc>
      </w:tr>
      <w:tr>
        <w:trPr>
          <w:trHeight w:val="33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16 782,5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16 782,5</w:t>
            </w:r>
          </w:p>
        </w:tc>
      </w:tr>
      <w:tr>
        <w:trPr>
          <w:trHeight w:val="93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«Развитие транспортной системы в Шарангском мунипальном районе Нижегородской области в 2021-2025 годы»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14 514,4</w:t>
            </w:r>
          </w:p>
        </w:tc>
      </w:tr>
      <w:tr>
        <w:trPr>
          <w:trHeight w:val="41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06.2.00.00000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14514,4</w:t>
            </w:r>
          </w:p>
        </w:tc>
      </w:tr>
      <w:tr>
        <w:trPr>
          <w:trHeight w:val="41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06.2.02.00000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3255,7</w:t>
            </w:r>
          </w:p>
        </w:tc>
      </w:tr>
      <w:tr>
        <w:trPr>
          <w:trHeight w:val="28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06.2.02.07080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3255,7</w:t>
            </w:r>
          </w:p>
        </w:tc>
      </w:tr>
      <w:tr>
        <w:trPr>
          <w:trHeight w:val="52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06.2.02.07080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3 255,7</w:t>
            </w:r>
          </w:p>
        </w:tc>
      </w:tr>
      <w:tr>
        <w:trPr>
          <w:trHeight w:val="28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11258,7</w:t>
            </w:r>
          </w:p>
        </w:tc>
      </w:tr>
      <w:tr>
        <w:trPr>
          <w:trHeight w:val="28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06.2.03.S2210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5554,7</w:t>
            </w:r>
          </w:p>
        </w:tc>
      </w:tr>
      <w:tr>
        <w:trPr>
          <w:trHeight w:val="57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06.2.03.S2210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5 554,7</w:t>
            </w:r>
          </w:p>
        </w:tc>
      </w:tr>
      <w:tr>
        <w:trPr>
          <w:trHeight w:val="26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реализацию проекта инициативного бюджетирования « Вам решать!» (ремонт участков автодороги по ул.Родниковая в р.п.Шаранга Шарангского муниципального района Нижегородской области)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06.2.03.S260A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704,0</w:t>
            </w:r>
          </w:p>
        </w:tc>
      </w:tr>
      <w:tr>
        <w:trPr>
          <w:trHeight w:val="55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06.2.03.S260A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704,0</w:t>
            </w:r>
          </w:p>
        </w:tc>
      </w:tr>
      <w:tr>
        <w:trPr>
          <w:trHeight w:val="28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реализацию полномочий органов местного самоуправления по решению вопросов местного значения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06.2.03.S2650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5000,0</w:t>
            </w:r>
          </w:p>
        </w:tc>
      </w:tr>
      <w:tr>
        <w:trPr>
          <w:trHeight w:val="55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06.2.03.S2650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5 000,0</w:t>
            </w:r>
          </w:p>
        </w:tc>
      </w:tr>
      <w:tr>
        <w:trPr>
          <w:trHeight w:val="72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1 803,8</w:t>
            </w:r>
          </w:p>
        </w:tc>
      </w:tr>
      <w:tr>
        <w:trPr>
          <w:trHeight w:val="35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1803,8</w:t>
            </w:r>
          </w:p>
        </w:tc>
      </w:tr>
      <w:tr>
        <w:trPr>
          <w:trHeight w:val="35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Повышение финансовой  самостоятельности бюджетов поселений района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1803,8</w:t>
            </w:r>
          </w:p>
        </w:tc>
      </w:tr>
      <w:tr>
        <w:trPr>
          <w:trHeight w:val="35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реализацию проекта инициативного бюджетирования « Вам решать!» (ремонт участков автодороги по ул.Родниковая в р.п.Шаранга Шарангского муниципального района Нижегородской области)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14.2.20.</w:t>
            </w:r>
            <w:r>
              <w:rPr>
                <w:rFonts w:cs="Arial" w:ascii="Arial" w:hAnsi="Arial"/>
                <w:color w:val="000000"/>
                <w:lang w:val="en-US"/>
              </w:rPr>
              <w:t>S</w:t>
            </w:r>
            <w:r>
              <w:rPr>
                <w:rFonts w:cs="Arial" w:ascii="Arial" w:hAnsi="Arial"/>
                <w:color w:val="000000"/>
              </w:rPr>
              <w:t>260</w:t>
            </w:r>
            <w:r>
              <w:rPr>
                <w:rFonts w:cs="Arial" w:ascii="Arial" w:hAnsi="Arial"/>
                <w:color w:val="000000"/>
                <w:lang w:val="en-US"/>
              </w:rPr>
              <w:t>A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1803.8</w:t>
            </w:r>
          </w:p>
        </w:tc>
      </w:tr>
      <w:tr>
        <w:trPr>
          <w:trHeight w:val="63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14.2.20.S260A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1 803,8</w:t>
            </w:r>
          </w:p>
        </w:tc>
      </w:tr>
      <w:tr>
        <w:trPr>
          <w:trHeight w:val="79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464,3</w:t>
            </w:r>
          </w:p>
        </w:tc>
      </w:tr>
      <w:tr>
        <w:trPr>
          <w:trHeight w:val="26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Прочее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22.0.03.00000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464,3</w:t>
            </w:r>
          </w:p>
        </w:tc>
      </w:tr>
      <w:tr>
        <w:trPr>
          <w:trHeight w:val="40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проектирование и строительство(реконструкцию) автомобильных дорог общего пользования местного значения муниципальных образований Нижегородской области ,в том числе на строительство объектов скоростного внеуличного транспорта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 xml:space="preserve">22.0.03. </w:t>
            </w:r>
            <w:r>
              <w:rPr>
                <w:rFonts w:cs="Arial" w:ascii="Arial" w:hAnsi="Arial"/>
                <w:i/>
                <w:iCs/>
                <w:color w:val="000000"/>
              </w:rPr>
              <w:t>S2200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464,3</w:t>
            </w:r>
          </w:p>
        </w:tc>
      </w:tr>
      <w:tr>
        <w:trPr>
          <w:trHeight w:val="101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04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09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22.0.03.S2200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400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464,3</w:t>
            </w:r>
          </w:p>
        </w:tc>
      </w:tr>
      <w:tr>
        <w:trPr>
          <w:trHeight w:val="67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25 458,8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486,6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486,6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486,6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486,6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88.8.06.03503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486,6</w:t>
            </w:r>
          </w:p>
        </w:tc>
      </w:tr>
      <w:tr>
        <w:trPr>
          <w:trHeight w:val="60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88.8.06.03503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486,6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24 972,2</w:t>
            </w:r>
          </w:p>
        </w:tc>
      </w:tr>
      <w:tr>
        <w:trPr>
          <w:trHeight w:val="80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2 788,3</w:t>
            </w:r>
          </w:p>
        </w:tc>
      </w:tr>
      <w:tr>
        <w:trPr>
          <w:trHeight w:val="41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2788,3</w:t>
            </w:r>
          </w:p>
        </w:tc>
      </w:tr>
      <w:tr>
        <w:trPr>
          <w:trHeight w:val="41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14.2.10.00000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1139,8</w:t>
            </w:r>
          </w:p>
        </w:tc>
      </w:tr>
      <w:tr>
        <w:trPr>
          <w:trHeight w:val="41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Иные межбюджетные трансферты на компенсацию дополнительных расходов</w:t>
            </w:r>
          </w:p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,возникших в результате решений,</w:t>
            </w:r>
          </w:p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принятых органами власти другого уровня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14.2.10.04516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1139,8</w:t>
            </w:r>
          </w:p>
        </w:tc>
      </w:tr>
      <w:tr>
        <w:trPr>
          <w:trHeight w:val="656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14.2.10.04516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1 139,8</w:t>
            </w:r>
          </w:p>
        </w:tc>
      </w:tr>
      <w:tr>
        <w:trPr>
          <w:trHeight w:val="41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1648,5</w:t>
            </w:r>
          </w:p>
        </w:tc>
      </w:tr>
      <w:tr>
        <w:trPr>
          <w:trHeight w:val="41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Иные межбюджетные трансферты 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14.2.20.74800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600,0</w:t>
            </w:r>
          </w:p>
        </w:tc>
      </w:tr>
      <w:tr>
        <w:trPr>
          <w:trHeight w:val="73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14.2.20.74800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600,0</w:t>
            </w:r>
          </w:p>
        </w:tc>
      </w:tr>
      <w:tr>
        <w:trPr>
          <w:trHeight w:val="36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реализацию проекта инициативного бюджетирования «Вам решать!»(обустройство детской спортивной площадки на ул.Фруктовая в р.п.Шаранга Шарангского муниципального района Нижегородской области)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14.2.20.S2601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1048,5</w:t>
            </w:r>
          </w:p>
        </w:tc>
      </w:tr>
      <w:tr>
        <w:trPr>
          <w:trHeight w:val="494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14.2.20.S2601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1 048,5</w:t>
            </w:r>
          </w:p>
        </w:tc>
      </w:tr>
      <w:tr>
        <w:trPr>
          <w:trHeight w:val="105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Муниципальная программа "Формирование комфортной городской среды р.п. Шаранга Шарангского муниципального района Нижегородской области на 2018-2022 годы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19.0.00.00000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4 552,7</w:t>
            </w:r>
          </w:p>
        </w:tc>
      </w:tr>
      <w:tr>
        <w:trPr>
          <w:trHeight w:val="42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 дворовых территорий многоквартирных жилых домов р.п.Шаранга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/>
                <w:i/>
                <w:iCs/>
                <w:color w:val="000000"/>
              </w:rPr>
            </w:pPr>
            <w:r>
              <w:rPr>
                <w:rFonts w:cs="Arial" w:ascii="Arial" w:hAnsi="Arial"/>
                <w:i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/>
                <w:i/>
                <w:iCs/>
                <w:color w:val="000000"/>
              </w:rPr>
            </w:pPr>
            <w:r>
              <w:rPr>
                <w:rFonts w:cs="Arial" w:ascii="Arial" w:hAnsi="Arial"/>
                <w:i/>
                <w:iCs/>
                <w:color w:val="000000"/>
              </w:rPr>
              <w:t>19.1.F2.55550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/>
                <w:i/>
                <w:iCs/>
                <w:color w:val="000000"/>
              </w:rPr>
            </w:pPr>
            <w:r>
              <w:rPr>
                <w:rFonts w:cs="Arial" w:ascii="Arial" w:hAnsi="Arial"/>
                <w:i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4552,7</w:t>
            </w:r>
          </w:p>
        </w:tc>
      </w:tr>
      <w:tr>
        <w:trPr>
          <w:trHeight w:val="52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19.1.F2.55550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4 552,7</w:t>
            </w:r>
          </w:p>
        </w:tc>
      </w:tr>
      <w:tr>
        <w:trPr>
          <w:trHeight w:val="69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4 918,2</w:t>
            </w:r>
          </w:p>
        </w:tc>
      </w:tr>
      <w:tr>
        <w:trPr>
          <w:trHeight w:val="41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22.0.02.00000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4918,2</w:t>
            </w:r>
          </w:p>
        </w:tc>
      </w:tr>
      <w:tr>
        <w:trPr>
          <w:trHeight w:val="41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Реализация мероприятий по благоустройству сельских территорий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22.0.02.</w:t>
            </w:r>
            <w:r>
              <w:rPr>
                <w:rFonts w:cs="Arial" w:ascii="Arial" w:hAnsi="Arial"/>
                <w:color w:val="000000"/>
                <w:lang w:val="en-US"/>
              </w:rPr>
              <w:t>L5760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4918.2</w:t>
            </w:r>
          </w:p>
        </w:tc>
      </w:tr>
      <w:tr>
        <w:trPr>
          <w:trHeight w:val="656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22.0.02.L5760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  <w:lang w:val="en-US"/>
              </w:rPr>
            </w:pPr>
            <w:r>
              <w:rPr>
                <w:rFonts w:cs="Arial" w:ascii="Arial" w:hAnsi="Arial"/>
                <w:iCs/>
                <w:color w:val="000000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4 918,2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12 713,0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12 713,0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  <w:lang w:val="en-US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12 713,0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88.8.06.60102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4026,0</w:t>
            </w:r>
          </w:p>
        </w:tc>
      </w:tr>
      <w:tr>
        <w:trPr>
          <w:trHeight w:val="108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88.8.06.60102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298,8</w:t>
            </w:r>
          </w:p>
        </w:tc>
      </w:tr>
      <w:tr>
        <w:trPr>
          <w:trHeight w:val="101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88.8.06.60102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3 727,2</w:t>
            </w:r>
          </w:p>
        </w:tc>
      </w:tr>
      <w:tr>
        <w:trPr>
          <w:trHeight w:val="30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Озеленение за счет средств местного бюджета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88.8.06.60302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258,4</w:t>
            </w:r>
          </w:p>
        </w:tc>
      </w:tr>
      <w:tr>
        <w:trPr>
          <w:trHeight w:val="54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88.8.06.60302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258,4</w:t>
            </w:r>
          </w:p>
        </w:tc>
      </w:tr>
      <w:tr>
        <w:trPr>
          <w:trHeight w:val="417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Организация и содержание мест захоронения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88.8.06.60402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248,5</w:t>
            </w:r>
          </w:p>
        </w:tc>
      </w:tr>
      <w:tr>
        <w:trPr>
          <w:trHeight w:val="140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88.8.06.60402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198,5</w:t>
            </w:r>
          </w:p>
        </w:tc>
      </w:tr>
      <w:tr>
        <w:trPr>
          <w:trHeight w:val="55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88.8.06.60402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50,0</w:t>
            </w:r>
          </w:p>
        </w:tc>
      </w:tr>
      <w:tr>
        <w:trPr>
          <w:trHeight w:val="55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88.8.06.60503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7844,3</w:t>
            </w:r>
          </w:p>
        </w:tc>
      </w:tr>
      <w:tr>
        <w:trPr>
          <w:trHeight w:val="127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88.8.06.60503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3 998,0</w:t>
            </w:r>
          </w:p>
        </w:tc>
      </w:tr>
      <w:tr>
        <w:trPr>
          <w:trHeight w:val="469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88.8.06.60503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3 846,3</w:t>
            </w:r>
          </w:p>
        </w:tc>
      </w:tr>
      <w:tr>
        <w:trPr>
          <w:trHeight w:val="61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Расходы на реализацию проекта инициативного бюджетирования «Вам решать!»(обустройство детской спортивной площадки на ул.Фруктовая в р.п.Шаранга Шарангского муниципального района Нижегородской области)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</w:t>
            </w:r>
            <w:r>
              <w:rPr>
                <w:rFonts w:cs="Arial" w:ascii="Arial" w:hAnsi="Arial"/>
                <w:iCs/>
                <w:color w:val="000000"/>
                <w:lang w:val="en-US"/>
              </w:rPr>
              <w:t>S2601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335,8</w:t>
            </w:r>
          </w:p>
        </w:tc>
      </w:tr>
      <w:tr>
        <w:trPr>
          <w:trHeight w:val="80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05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88.8.06.S2601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335,8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08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88.8.03.00000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08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88.8.03.02106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08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01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88.8.03.02106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500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313,0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28,1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28,1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28,1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28,1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88.8.06.05030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28,1</w:t>
            </w:r>
          </w:p>
        </w:tc>
      </w:tr>
      <w:tr>
        <w:trPr>
          <w:trHeight w:val="401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88.8.06.05030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28,1</w:t>
            </w:r>
          </w:p>
        </w:tc>
      </w:tr>
      <w:tr>
        <w:trPr>
          <w:trHeight w:val="675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00.0.00.00000 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284,9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88.0.00.00000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284,9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88.8.00.00000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284,9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Резервные фонды администраций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88.8.01.07005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523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88.8.01.07005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3,0</w:t>
            </w:r>
          </w:p>
        </w:tc>
      </w:tr>
      <w:tr>
        <w:trPr>
          <w:trHeight w:val="28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88.8.06.00000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281,9</w:t>
            </w:r>
          </w:p>
        </w:tc>
      </w:tr>
      <w:tr>
        <w:trPr>
          <w:trHeight w:val="28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88.8.06.14010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281,9</w:t>
            </w:r>
          </w:p>
        </w:tc>
      </w:tr>
      <w:tr>
        <w:trPr>
          <w:trHeight w:val="560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10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06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88.8.06.14010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200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iCs/>
                <w:color w:val="000000"/>
              </w:rPr>
            </w:pPr>
            <w:r>
              <w:rPr>
                <w:rFonts w:cs="Arial" w:ascii="Arial" w:hAnsi="Arial"/>
                <w:iCs/>
                <w:color w:val="000000"/>
              </w:rPr>
              <w:t>281,9</w:t>
            </w:r>
          </w:p>
        </w:tc>
      </w:tr>
      <w:tr>
        <w:trPr>
          <w:trHeight w:val="338" w:hRule="atLeast"/>
        </w:trPr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Всего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60 175,5</w:t>
            </w:r>
          </w:p>
        </w:tc>
      </w:tr>
      <w:tr>
        <w:trPr>
          <w:trHeight w:val="300" w:hRule="atLeast"/>
        </w:trPr>
        <w:tc>
          <w:tcPr>
            <w:tcW w:w="3544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134" w:type="dxa"/>
            <w:gridSpan w:val="3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560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708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560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</w:tbl>
    <w:p>
      <w:pPr>
        <w:pStyle w:val="Normal"/>
        <w:ind w:firstLine="36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20"/>
          <w:tab w:val="left" w:pos="210" w:leader="none"/>
          <w:tab w:val="center" w:pos="4819" w:leader="none"/>
        </w:tabs>
        <w:rPr/>
      </w:pPr>
      <w:r>
        <w:rPr>
          <w:rFonts w:cs="Arial" w:ascii="Arial" w:hAnsi="Arial"/>
          <w:bCs/>
        </w:rPr>
        <w:tab/>
        <w:t xml:space="preserve"> 1.8. Приложение 7 изложить в следующей редакции :                                                                              </w:t>
      </w:r>
    </w:p>
    <w:p>
      <w:pPr>
        <w:pStyle w:val="Normal"/>
        <w:ind w:firstLine="360"/>
        <w:jc w:val="center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 xml:space="preserve">«Приложение 7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к решению поселкового 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</w:t>
      </w:r>
      <w:r>
        <w:rPr>
          <w:rFonts w:cs="Arial" w:ascii="Arial" w:hAnsi="Arial"/>
        </w:rPr>
        <w:t>рабочего поселка Шаранга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</w:t>
      </w:r>
      <w:r>
        <w:rPr>
          <w:rFonts w:cs="Arial" w:ascii="Arial" w:hAnsi="Arial"/>
        </w:rPr>
        <w:t>Шарангского муниципального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</w:t>
      </w:r>
      <w:r>
        <w:rPr>
          <w:rFonts w:cs="Arial" w:ascii="Arial" w:hAnsi="Arial"/>
        </w:rPr>
        <w:t xml:space="preserve">района Нижегородской области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       </w:t>
      </w:r>
      <w:r>
        <w:rPr>
          <w:rFonts w:cs="Arial" w:ascii="Arial" w:hAnsi="Arial"/>
        </w:rPr>
        <w:t xml:space="preserve">« О бюджете поселения на 2021год » </w:t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W w:w="10220" w:type="dxa"/>
        <w:jc w:val="left"/>
        <w:tblInd w:w="-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0"/>
        <w:gridCol w:w="1260"/>
        <w:gridCol w:w="1307"/>
        <w:gridCol w:w="1412"/>
        <w:gridCol w:w="1701"/>
      </w:tblGrid>
      <w:tr>
        <w:trPr>
          <w:trHeight w:val="432" w:hRule="atLeast"/>
        </w:trPr>
        <w:tc>
          <w:tcPr>
            <w:tcW w:w="10220" w:type="dxa"/>
            <w:gridSpan w:val="5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«Распределение бюджетных ассигнований по разделам,подразделам,группам видо расходов классификации расходов бюджета поселения на 2021год»</w:t>
            </w:r>
          </w:p>
        </w:tc>
      </w:tr>
      <w:tr>
        <w:trPr>
          <w:trHeight w:val="394" w:hRule="atLeast"/>
        </w:trPr>
        <w:tc>
          <w:tcPr>
            <w:tcW w:w="4540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260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307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412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701" w:type="dxa"/>
            <w:tcBorders/>
            <w:vAlign w:val="center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  <w:t xml:space="preserve"> </w:t>
            </w:r>
            <w:r>
              <w:rPr>
                <w:rFonts w:cs="Arial" w:ascii="Arial" w:hAnsi="Arial"/>
                <w:color w:val="000000"/>
              </w:rPr>
              <w:t>(тыс. руб.)</w:t>
            </w:r>
          </w:p>
        </w:tc>
      </w:tr>
      <w:tr>
        <w:trPr>
          <w:trHeight w:val="300" w:hRule="atLeast"/>
        </w:trPr>
        <w:tc>
          <w:tcPr>
            <w:tcW w:w="4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Раздел</w:t>
            </w:r>
          </w:p>
        </w:tc>
        <w:tc>
          <w:tcPr>
            <w:tcW w:w="1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Подраздел</w:t>
            </w:r>
          </w:p>
        </w:tc>
        <w:tc>
          <w:tcPr>
            <w:tcW w:w="1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Вид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раходов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Сумма</w:t>
            </w:r>
          </w:p>
        </w:tc>
      </w:tr>
      <w:tr>
        <w:trPr>
          <w:trHeight w:val="300" w:hRule="atLeast"/>
        </w:trPr>
        <w:tc>
          <w:tcPr>
            <w:tcW w:w="454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2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41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70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</w:tr>
      <w:tr>
        <w:trPr>
          <w:trHeight w:val="67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2 863,9</w:t>
            </w:r>
          </w:p>
        </w:tc>
      </w:tr>
      <w:tr>
        <w:trPr>
          <w:trHeight w:val="1292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2 606,3</w:t>
            </w:r>
          </w:p>
        </w:tc>
      </w:tr>
      <w:tr>
        <w:trPr>
          <w:trHeight w:val="1339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1 989,5</w:t>
            </w:r>
          </w:p>
        </w:tc>
      </w:tr>
      <w:tr>
        <w:trPr>
          <w:trHeight w:val="710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616,8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Другие общегосударственные вопросы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257,6</w:t>
            </w:r>
          </w:p>
        </w:tc>
      </w:tr>
      <w:tr>
        <w:trPr>
          <w:trHeight w:val="139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188,8</w:t>
            </w:r>
          </w:p>
        </w:tc>
      </w:tr>
      <w:tr>
        <w:trPr>
          <w:trHeight w:val="700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68,8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343,0</w:t>
            </w:r>
          </w:p>
        </w:tc>
      </w:tr>
      <w:tr>
        <w:trPr>
          <w:trHeight w:val="46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343,0</w:t>
            </w:r>
          </w:p>
        </w:tc>
      </w:tr>
      <w:tr>
        <w:trPr>
          <w:trHeight w:val="1339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224,5</w:t>
            </w:r>
          </w:p>
        </w:tc>
      </w:tr>
      <w:tr>
        <w:trPr>
          <w:trHeight w:val="81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118,5</w:t>
            </w:r>
          </w:p>
        </w:tc>
      </w:tr>
      <w:tr>
        <w:trPr>
          <w:trHeight w:val="1013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89,5</w:t>
            </w:r>
          </w:p>
        </w:tc>
      </w:tr>
      <w:tr>
        <w:trPr>
          <w:trHeight w:val="970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1013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89,5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16 782,5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Дорожное хозяйство (дорожные фонды)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16 782,5</w:t>
            </w:r>
          </w:p>
        </w:tc>
      </w:tr>
      <w:tr>
        <w:trPr>
          <w:trHeight w:val="682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16 318,2</w:t>
            </w:r>
          </w:p>
        </w:tc>
      </w:tr>
      <w:tr>
        <w:trPr>
          <w:trHeight w:val="796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464,3</w:t>
            </w:r>
          </w:p>
        </w:tc>
      </w:tr>
      <w:tr>
        <w:trPr>
          <w:trHeight w:val="48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25 458,8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Жилищное хозяйство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486,6</w:t>
            </w:r>
          </w:p>
        </w:tc>
      </w:tr>
      <w:tr>
        <w:trPr>
          <w:trHeight w:val="726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486,6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Благоустройство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24 972,2</w:t>
            </w:r>
          </w:p>
        </w:tc>
      </w:tr>
      <w:tr>
        <w:trPr>
          <w:trHeight w:val="135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4 495,3</w:t>
            </w:r>
          </w:p>
        </w:tc>
      </w:tr>
      <w:tr>
        <w:trPr>
          <w:trHeight w:val="552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20 476,9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Культура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14 324,8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313,0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Социальное обеспечение населения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28,1</w:t>
            </w:r>
          </w:p>
        </w:tc>
      </w:tr>
      <w:tr>
        <w:trPr>
          <w:trHeight w:val="469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28,1</w:t>
            </w:r>
          </w:p>
        </w:tc>
      </w:tr>
      <w:tr>
        <w:trPr>
          <w:trHeight w:val="365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284,9</w:t>
            </w:r>
          </w:p>
        </w:tc>
      </w:tr>
      <w:tr>
        <w:trPr>
          <w:trHeight w:val="60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284,9</w:t>
            </w:r>
          </w:p>
        </w:tc>
      </w:tr>
      <w:tr>
        <w:trPr>
          <w:trHeight w:val="338" w:hRule="atLeast"/>
        </w:trPr>
        <w:tc>
          <w:tcPr>
            <w:tcW w:w="4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Всего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3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60 175,5</w:t>
            </w:r>
          </w:p>
        </w:tc>
      </w:tr>
      <w:tr>
        <w:trPr>
          <w:trHeight w:val="300" w:hRule="atLeast"/>
        </w:trPr>
        <w:tc>
          <w:tcPr>
            <w:tcW w:w="4540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260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307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412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701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firstLine="360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«Статья 2.</w:t>
      </w:r>
    </w:p>
    <w:p>
      <w:pPr>
        <w:pStyle w:val="Normal"/>
        <w:ind w:firstLine="360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ind w:firstLine="36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Настоящее решение вступает в силу со дня его официального подписания.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Глава местного самоуправления                                                         М.В.Михеева</w:t>
      </w:r>
    </w:p>
    <w:p>
      <w:pPr>
        <w:pStyle w:val="Normal"/>
        <w:tabs>
          <w:tab w:val="clear" w:pos="720"/>
          <w:tab w:val="left" w:pos="6705" w:leader="none"/>
        </w:tabs>
        <w:rPr>
          <w:sz w:val="22"/>
          <w:szCs w:val="22"/>
        </w:rPr>
      </w:pPr>
      <w:r>
        <w:rPr>
          <w:rFonts w:cs="Arial" w:ascii="Arial" w:hAnsi="Arial"/>
        </w:rPr>
        <w:br/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20"/>
          <w:tab w:val="left" w:pos="6705" w:leader="none"/>
        </w:tabs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2"/>
        <w:szCs w:val="22"/>
        <w:rFonts w:ascii="Arial" w:hAnsi="Arial" w:cs="Arial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90" w:hanging="390"/>
      </w:pPr>
      <w:rPr>
        <w:rFonts w:cs="Aria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20" w:hanging="390"/>
      </w:pPr>
      <w:rPr>
        <w:rFonts w:cs="Aria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80" w:hanging="720"/>
      </w:pPr>
      <w:rPr>
        <w:rFonts w:cs="Aria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810" w:hanging="720"/>
      </w:pPr>
      <w:rPr>
        <w:rFonts w:cs="Aria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200" w:hanging="1080"/>
      </w:pPr>
      <w:rPr>
        <w:rFonts w:cs="Arial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230" w:hanging="1080"/>
      </w:pPr>
      <w:rPr>
        <w:rFonts w:cs="Arial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620" w:hanging="1440"/>
      </w:pPr>
      <w:rPr>
        <w:rFonts w:cs="Arial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650" w:hanging="1440"/>
      </w:pPr>
      <w:rPr>
        <w:rFonts w:cs="Arial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040" w:hanging="1800"/>
      </w:pPr>
      <w:rPr>
        <w:rFonts w:cs="Arial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>
      <w:rFonts w:ascii="Arial" w:hAnsi="Arial" w:cs="Arial"/>
      <w:sz w:val="22"/>
      <w:szCs w:val="22"/>
    </w:rPr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cs="Times New Roman"/>
    </w:rPr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cs="Times New Roman"/>
    </w:rPr>
  </w:style>
  <w:style w:type="character" w:styleId="WW8Num22z0">
    <w:name w:val="WW8Num22z0"/>
    <w:qFormat/>
    <w:rPr>
      <w:sz w:val="28"/>
    </w:rPr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>
      <w:rFonts w:ascii="Times New Roman" w:hAnsi="Times New Roman" w:cs="Times New Roman"/>
    </w:rPr>
  </w:style>
  <w:style w:type="character" w:styleId="WW8Num28z0">
    <w:name w:val="WW8Num28z0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WW8Num29z0">
    <w:name w:val="WW8Num29z0"/>
    <w:qFormat/>
    <w:rPr>
      <w:rFonts w:ascii="Times New Roman" w:hAnsi="Times New Roman" w:cs="Times New Roman"/>
    </w:rPr>
  </w:style>
  <w:style w:type="character" w:styleId="WW8Num30z0">
    <w:name w:val="WW8Num30z0"/>
    <w:qFormat/>
    <w:rPr>
      <w:rFonts w:ascii="Times New Roman" w:hAnsi="Times New Roman" w:cs="Times New Roman"/>
    </w:rPr>
  </w:style>
  <w:style w:type="character" w:styleId="WW8Num31z0">
    <w:name w:val="WW8Num31z0"/>
    <w:qFormat/>
    <w:rPr/>
  </w:style>
  <w:style w:type="character" w:styleId="WW8Num32z0">
    <w:name w:val="WW8Num32z0"/>
    <w:qFormat/>
    <w:rPr>
      <w:rFonts w:cs="Arial"/>
    </w:rPr>
  </w:style>
  <w:style w:type="character" w:styleId="WW8Num33z0">
    <w:name w:val="WW8Num33z0"/>
    <w:qFormat/>
    <w:rPr>
      <w:rFonts w:ascii="Times New Roman" w:hAnsi="Times New Roman" w:cs="Times New Roman"/>
    </w:rPr>
  </w:style>
  <w:style w:type="character" w:styleId="WW8Num34z0">
    <w:name w:val="WW8Num34z0"/>
    <w:qFormat/>
    <w:rPr/>
  </w:style>
  <w:style w:type="character" w:styleId="WW8Num34z1">
    <w:name w:val="WW8Num34z1"/>
    <w:qFormat/>
    <w:rPr/>
  </w:style>
  <w:style w:type="character" w:styleId="WW8Num34z2">
    <w:name w:val="WW8Num34z2"/>
    <w:qFormat/>
    <w:rPr/>
  </w:style>
  <w:style w:type="character" w:styleId="WW8Num34z3">
    <w:name w:val="WW8Num34z3"/>
    <w:qFormat/>
    <w:rPr/>
  </w:style>
  <w:style w:type="character" w:styleId="WW8Num34z4">
    <w:name w:val="WW8Num34z4"/>
    <w:qFormat/>
    <w:rPr/>
  </w:style>
  <w:style w:type="character" w:styleId="WW8Num34z5">
    <w:name w:val="WW8Num34z5"/>
    <w:qFormat/>
    <w:rPr/>
  </w:style>
  <w:style w:type="character" w:styleId="WW8Num34z6">
    <w:name w:val="WW8Num34z6"/>
    <w:qFormat/>
    <w:rPr/>
  </w:style>
  <w:style w:type="character" w:styleId="WW8Num34z7">
    <w:name w:val="WW8Num34z7"/>
    <w:qFormat/>
    <w:rPr/>
  </w:style>
  <w:style w:type="character" w:styleId="WW8Num34z8">
    <w:name w:val="WW8Num34z8"/>
    <w:qFormat/>
    <w:rPr/>
  </w:style>
  <w:style w:type="character" w:styleId="WW8Num35z0">
    <w:name w:val="WW8Num35z0"/>
    <w:qFormat/>
    <w:rPr/>
  </w:style>
  <w:style w:type="character" w:styleId="WW8Num36z0">
    <w:name w:val="WW8Num36z0"/>
    <w:qFormat/>
    <w:rPr/>
  </w:style>
  <w:style w:type="character" w:styleId="WW8Num36z1">
    <w:name w:val="WW8Num36z1"/>
    <w:qFormat/>
    <w:rPr/>
  </w:style>
  <w:style w:type="character" w:styleId="WW8Num36z2">
    <w:name w:val="WW8Num36z2"/>
    <w:qFormat/>
    <w:rPr/>
  </w:style>
  <w:style w:type="character" w:styleId="WW8Num36z3">
    <w:name w:val="WW8Num36z3"/>
    <w:qFormat/>
    <w:rPr/>
  </w:style>
  <w:style w:type="character" w:styleId="WW8Num36z4">
    <w:name w:val="WW8Num36z4"/>
    <w:qFormat/>
    <w:rPr/>
  </w:style>
  <w:style w:type="character" w:styleId="WW8Num36z5">
    <w:name w:val="WW8Num36z5"/>
    <w:qFormat/>
    <w:rPr/>
  </w:style>
  <w:style w:type="character" w:styleId="WW8Num36z6">
    <w:name w:val="WW8Num36z6"/>
    <w:qFormat/>
    <w:rPr/>
  </w:style>
  <w:style w:type="character" w:styleId="WW8Num36z7">
    <w:name w:val="WW8Num36z7"/>
    <w:qFormat/>
    <w:rPr/>
  </w:style>
  <w:style w:type="character" w:styleId="WW8Num36z8">
    <w:name w:val="WW8Num36z8"/>
    <w:qFormat/>
    <w:rPr/>
  </w:style>
  <w:style w:type="character" w:styleId="WW8Num37z0">
    <w:name w:val="WW8Num37z0"/>
    <w:qFormat/>
    <w:rPr/>
  </w:style>
  <w:style w:type="character" w:styleId="WW8Num37z1">
    <w:name w:val="WW8Num37z1"/>
    <w:qFormat/>
    <w:rPr/>
  </w:style>
  <w:style w:type="character" w:styleId="WW8Num37z2">
    <w:name w:val="WW8Num37z2"/>
    <w:qFormat/>
    <w:rPr/>
  </w:style>
  <w:style w:type="character" w:styleId="WW8Num37z3">
    <w:name w:val="WW8Num37z3"/>
    <w:qFormat/>
    <w:rPr/>
  </w:style>
  <w:style w:type="character" w:styleId="WW8Num37z4">
    <w:name w:val="WW8Num37z4"/>
    <w:qFormat/>
    <w:rPr/>
  </w:style>
  <w:style w:type="character" w:styleId="WW8Num37z5">
    <w:name w:val="WW8Num37z5"/>
    <w:qFormat/>
    <w:rPr/>
  </w:style>
  <w:style w:type="character" w:styleId="WW8Num37z6">
    <w:name w:val="WW8Num37z6"/>
    <w:qFormat/>
    <w:rPr/>
  </w:style>
  <w:style w:type="character" w:styleId="WW8Num37z7">
    <w:name w:val="WW8Num37z7"/>
    <w:qFormat/>
    <w:rPr/>
  </w:style>
  <w:style w:type="character" w:styleId="WW8Num37z8">
    <w:name w:val="WW8Num37z8"/>
    <w:qFormat/>
    <w:rPr/>
  </w:style>
  <w:style w:type="character" w:styleId="WW8Num38z0">
    <w:name w:val="WW8Num38z0"/>
    <w:qFormat/>
    <w:rPr>
      <w:rFonts w:ascii="Times New Roman" w:hAnsi="Times New Roman" w:cs="Times New Roman"/>
    </w:rPr>
  </w:style>
  <w:style w:type="character" w:styleId="WW8Num39z0">
    <w:name w:val="WW8Num39z0"/>
    <w:qFormat/>
    <w:rPr>
      <w:rFonts w:ascii="Times New Roman" w:hAnsi="Times New Roman" w:eastAsia="Times New Roman" w:cs="Times New Roman"/>
    </w:rPr>
  </w:style>
  <w:style w:type="character" w:styleId="WW8Num39z1">
    <w:name w:val="WW8Num39z1"/>
    <w:qFormat/>
    <w:rPr>
      <w:rFonts w:ascii="Courier New" w:hAnsi="Courier New" w:cs="Courier New"/>
    </w:rPr>
  </w:style>
  <w:style w:type="character" w:styleId="WW8Num39z2">
    <w:name w:val="WW8Num39z2"/>
    <w:qFormat/>
    <w:rPr>
      <w:rFonts w:ascii="Wingdings" w:hAnsi="Wingdings" w:cs="Wingdings"/>
    </w:rPr>
  </w:style>
  <w:style w:type="character" w:styleId="WW8Num39z3">
    <w:name w:val="WW8Num39z3"/>
    <w:qFormat/>
    <w:rPr>
      <w:rFonts w:ascii="Symbol" w:hAnsi="Symbol" w:cs="Symbol"/>
    </w:rPr>
  </w:style>
  <w:style w:type="character" w:styleId="WW8Num40z0">
    <w:name w:val="WW8Num40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Основной текст Знак"/>
    <w:qFormat/>
    <w:rPr>
      <w:rFonts w:ascii="Arial" w:hAnsi="Arial" w:cs="Arial"/>
      <w:b/>
      <w:sz w:val="28"/>
    </w:rPr>
  </w:style>
  <w:style w:type="character" w:styleId="Style13">
    <w:name w:val="Верхний колонтитул Знак"/>
    <w:basedOn w:val="Style11"/>
    <w:qFormat/>
    <w:rPr/>
  </w:style>
  <w:style w:type="character" w:styleId="Style14">
    <w:name w:val="Номер страницы"/>
    <w:basedOn w:val="Style11"/>
    <w:rPr/>
  </w:style>
  <w:style w:type="character" w:styleId="Style15">
    <w:name w:val="Нижний колонтитул Знак"/>
    <w:basedOn w:val="Style11"/>
    <w:qFormat/>
    <w:rPr/>
  </w:style>
  <w:style w:type="character" w:styleId="Style16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ConsPlusNormal">
    <w:name w:val="ConsPlusNormal Знак"/>
    <w:qFormat/>
    <w:rPr>
      <w:rFonts w:ascii="Arial" w:hAnsi="Arial" w:cs="Arial"/>
      <w:lang w:val="ru-RU" w:bidi="ar-SA"/>
    </w:rPr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paragraph" w:styleId="Style17">
    <w:name w:val="Заголовок"/>
    <w:next w:val="Style18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8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  <w:lang w:val="ru-RU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2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3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8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9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3">
    <w:name w:val="Содержимое таблицы"/>
    <w:basedOn w:val="Normal"/>
    <w:qFormat/>
    <w:pPr>
      <w:widowControl w:val="false"/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  <w:style w:type="numbering" w:styleId="WW8Num39">
    <w:name w:val="WW8Num39"/>
    <w:qFormat/>
  </w:style>
  <w:style w:type="numbering" w:styleId="WW8Num40">
    <w:name w:val="WW8Num4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2226</TotalTime>
  <Application>LibreOffice/7.2.0.4$Windows_X86_64 LibreOffice_project/9a9c6381e3f7a62afc1329bd359cc48accb6435b</Application>
  <AppVersion>15.0000</AppVersion>
  <Pages>28</Pages>
  <Words>4573</Words>
  <Characters>33583</Characters>
  <CharactersWithSpaces>39575</CharactersWithSpaces>
  <Paragraphs>1488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2016-12-19T19:31:00Z</dcterms:created>
  <dc:creator>Катышева Е. В.</dc:creator>
  <dc:description/>
  <cp:keywords> </cp:keywords>
  <dc:language>ru-RU</dc:language>
  <cp:lastModifiedBy>Admin</cp:lastModifiedBy>
  <cp:lastPrinted>2021-09-27T09:51:00Z</cp:lastPrinted>
  <dcterms:modified xsi:type="dcterms:W3CDTF">2021-09-27T09:48:00Z</dcterms:modified>
  <cp:revision>103</cp:revision>
  <dc:subject/>
  <dc:title>ПОСТАНОВЛЕНИЕ</dc:title>
</cp:coreProperties>
</file>