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  <w:sz w:val="24"/>
          <w:szCs w:val="24"/>
        </w:rPr>
        <w:t xml:space="preserve">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бюджете поселения на 2021 год</w:t>
      </w:r>
    </w:p>
    <w:p>
      <w:pPr>
        <w:pStyle w:val="Normal"/>
        <w:widowControl w:val="false"/>
        <w:autoSpaceDE w:val="false"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t>Статья 1.</w:t>
      </w:r>
    </w:p>
    <w:p>
      <w:pPr>
        <w:pStyle w:val="Normal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>Утвердить основные характеристики бюджета поселения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 на 2021 год: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 xml:space="preserve">общий объем доходов в сумме   </w:t>
      </w:r>
      <w:r>
        <w:rPr>
          <w:rFonts w:cs="Arial" w:ascii="Arial" w:hAnsi="Arial"/>
          <w:b/>
          <w:sz w:val="24"/>
          <w:szCs w:val="24"/>
        </w:rPr>
        <w:t>45724,3</w:t>
      </w:r>
      <w:r>
        <w:rPr>
          <w:rFonts w:cs="Arial" w:ascii="Arial" w:hAnsi="Arial"/>
          <w:sz w:val="24"/>
          <w:szCs w:val="24"/>
        </w:rPr>
        <w:t xml:space="preserve">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 xml:space="preserve">общий объем расходов в сумме </w:t>
      </w:r>
      <w:r>
        <w:rPr>
          <w:rFonts w:cs="Arial" w:ascii="Arial" w:hAnsi="Arial"/>
          <w:b/>
          <w:sz w:val="24"/>
          <w:szCs w:val="24"/>
        </w:rPr>
        <w:t>45724,3</w:t>
      </w:r>
      <w:r>
        <w:rPr>
          <w:rFonts w:cs="Arial" w:ascii="Arial" w:hAnsi="Arial"/>
          <w:sz w:val="24"/>
          <w:szCs w:val="24"/>
        </w:rPr>
        <w:t xml:space="preserve"> тыс. рублей.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размер дефицита в сумме 0,0 тыс.рублей.</w:t>
      </w:r>
    </w:p>
    <w:p>
      <w:pPr>
        <w:pStyle w:val="Normal"/>
        <w:ind w:left="70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708" w:hanging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перечень  главных администраторов доходов бюджета поселения согласно приложению 1.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2.Утвердить перечень главных администраторов источников финансирования дефицита бюджета поселения согласно  приложению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2021 год согласно приложению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ab/>
      </w:r>
      <w:r>
        <w:rPr>
          <w:rFonts w:cs="Arial" w:ascii="Arial" w:hAnsi="Arial"/>
          <w:b/>
          <w:sz w:val="24"/>
          <w:szCs w:val="24"/>
        </w:rPr>
        <w:t>Статья 4.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Утвердить общий объем налоговых и неналоговых доходов на 2021 год в сумме 18101,1тыс.рублей</w:t>
      </w:r>
    </w:p>
    <w:p>
      <w:pPr>
        <w:pStyle w:val="Normal"/>
        <w:ind w:left="360" w:hanging="0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left="735" w:hanging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5.</w:t>
      </w:r>
    </w:p>
    <w:p>
      <w:pPr>
        <w:pStyle w:val="Normal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объем безвозмездных поступлений, получаемых из других бюджетов бюджетной системы Российской Федерации на 2021 год в сумме-27274,8 тыс.рублей,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сумме-343,0тыс.рублей.</w:t>
      </w:r>
    </w:p>
    <w:p>
      <w:pPr>
        <w:pStyle w:val="Normal"/>
        <w:ind w:firstLine="720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firstLine="72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Статья 6.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Недоимка, пени и штрафы за несвоевременную уплату налогов зачисляются в   бюджет поселения   по нормативам, действующим в текущем финансовом году.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Недоимка, пени и штрафы по отмененным налогам и сборам зачисляются в  бюджет поселения по следующим нормативам: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Невыясненные поступления зачисляются в бюджет поселения      по   нормативу 100 процентов.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Прочие неналоговые доходы бюджета поселения зачисляются в бюджет поселения по нормативу 100 процентов.</w:t>
      </w:r>
    </w:p>
    <w:p>
      <w:pPr>
        <w:pStyle w:val="ConsNormal"/>
        <w:ind w:firstLine="737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firstLine="737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Статья 7.</w:t>
      </w:r>
    </w:p>
    <w:p>
      <w:pPr>
        <w:pStyle w:val="Normal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источники финансирования дефицита бюджета поселения  на 2021 год согласно приложению 4.</w:t>
      </w:r>
    </w:p>
    <w:p>
      <w:pPr>
        <w:pStyle w:val="ConsNormal"/>
        <w:ind w:hanging="0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/>
          <w:i/>
          <w:sz w:val="24"/>
          <w:szCs w:val="24"/>
        </w:rPr>
      </w:r>
    </w:p>
    <w:p>
      <w:pPr>
        <w:pStyle w:val="ConsNormal"/>
        <w:ind w:firstLine="737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Статья 8.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1) 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2020 год согласно приложению 5;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2) ведомственную структуру расходов бюджета поселения на 2021 год согласно приложению 6;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3) распределение бюджетных ассигнований по разделам, подразделам, группам видов расходов классификации расходов бюджета поселения на 2021 год  согласно приложению 7.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2. Утвердить резервный фонд администрации рабочего поселка Шаранга Шарангского муниципального района  в сумме  3,0 тыс.рублей.</w:t>
      </w:r>
    </w:p>
    <w:p>
      <w:pPr>
        <w:pStyle w:val="ConsNonformat"/>
        <w:ind w:firstLine="737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</w:t>
      </w:r>
      <w:r>
        <w:rPr>
          <w:rFonts w:cs="Arial" w:ascii="Arial" w:hAnsi="Arial"/>
          <w:b/>
          <w:sz w:val="24"/>
          <w:szCs w:val="24"/>
        </w:rPr>
        <w:t>Статья 9.</w:t>
      </w:r>
    </w:p>
    <w:p>
      <w:pPr>
        <w:pStyle w:val="ConsNormal"/>
        <w:ind w:firstLine="709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1. 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2021 года на едином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ind w:firstLine="709"/>
        <w:jc w:val="both"/>
        <w:rPr>
          <w:i/>
          <w:i/>
          <w:sz w:val="24"/>
          <w:szCs w:val="24"/>
        </w:rPr>
      </w:pPr>
      <w:r>
        <w:rPr>
          <w:sz w:val="24"/>
          <w:szCs w:val="24"/>
        </w:rPr>
        <w:t xml:space="preserve">2. 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 </w:t>
      </w:r>
      <w:r>
        <w:rPr>
          <w:kern w:val="2"/>
          <w:sz w:val="24"/>
          <w:szCs w:val="24"/>
        </w:rPr>
        <w:t>Нижегородской области</w:t>
      </w:r>
      <w:r>
        <w:rPr>
          <w:sz w:val="24"/>
          <w:szCs w:val="24"/>
        </w:rPr>
        <w:t>.</w:t>
      </w:r>
    </w:p>
    <w:p>
      <w:pPr>
        <w:pStyle w:val="ConsNormal"/>
        <w:ind w:firstLine="737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 </w:t>
      </w:r>
      <w:r>
        <w:rPr>
          <w:rFonts w:cs="Arial" w:ascii="Arial" w:hAnsi="Arial"/>
          <w:b/>
          <w:bCs/>
          <w:sz w:val="24"/>
          <w:szCs w:val="24"/>
        </w:rPr>
        <w:t>Статья 10.</w:t>
      </w:r>
    </w:p>
    <w:p>
      <w:pPr>
        <w:pStyle w:val="ConsNormal"/>
        <w:ind w:firstLine="737"/>
        <w:jc w:val="both"/>
        <w:rPr/>
      </w:pPr>
      <w:r>
        <w:rPr>
          <w:sz w:val="24"/>
          <w:szCs w:val="24"/>
        </w:rPr>
        <w:t> </w:t>
      </w:r>
      <w:r>
        <w:rPr>
          <w:sz w:val="24"/>
          <w:szCs w:val="24"/>
        </w:rPr>
        <w:t xml:space="preserve">Утвердить дорожный фонд муниципального образования рабочий поселок Шаранга Шарангского муниципального района Нижегородской области в сумме 2 383,9 тыс. рублей. </w:t>
      </w:r>
    </w:p>
    <w:p>
      <w:pPr>
        <w:pStyle w:val="Normal"/>
        <w:ind w:firstLine="73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     </w:t>
      </w:r>
      <w:r>
        <w:rPr>
          <w:rFonts w:cs="Arial" w:ascii="Arial" w:hAnsi="Arial"/>
          <w:b/>
          <w:sz w:val="24"/>
          <w:szCs w:val="24"/>
        </w:rPr>
        <w:t>Статья 11.</w:t>
      </w:r>
    </w:p>
    <w:p>
      <w:pPr>
        <w:pStyle w:val="Normal"/>
        <w:ind w:firstLine="737"/>
        <w:jc w:val="both"/>
        <w:rPr/>
      </w:pPr>
      <w:r>
        <w:rPr>
          <w:rFonts w:cs="Arial" w:ascii="Arial" w:hAnsi="Arial"/>
          <w:sz w:val="24"/>
          <w:szCs w:val="24"/>
        </w:rPr>
        <w:t> </w:t>
      </w:r>
      <w:r>
        <w:rPr>
          <w:rFonts w:cs="Arial" w:ascii="Arial" w:hAnsi="Arial"/>
          <w:sz w:val="24"/>
          <w:szCs w:val="24"/>
        </w:rPr>
        <w:t>Утвердить в составе межбюджетных трансфертов объем иных межбюджетных трансфертов, передаваемых  из бюджета поселения на осуществление части полномочий по решению вопросов местного значения в соответствии с заключенным соглашением в сумме  14 324,8 тыс.рублей.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     </w:t>
      </w:r>
      <w:r>
        <w:rPr>
          <w:rFonts w:cs="Arial" w:ascii="Arial" w:hAnsi="Arial"/>
          <w:b/>
          <w:sz w:val="24"/>
          <w:szCs w:val="24"/>
        </w:rPr>
        <w:t>Статья 12.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</w:rPr>
        <w:t xml:space="preserve">           </w:t>
      </w:r>
      <w:r>
        <w:rPr>
          <w:rFonts w:cs="Arial" w:ascii="Arial" w:hAnsi="Arial"/>
          <w:bCs/>
          <w:sz w:val="24"/>
          <w:szCs w:val="24"/>
        </w:rPr>
        <w:t>1.Установить верхний предел муниципального внутреннего долга рабочего поселка Шаранга Шарангского муниципального района на 1 января 2022 года в размере 0,0 тыс.рублей, в том числе установить верхний предел долга по муниципальным гарантиям на 1 января 2022 года в размере 0,0 тыс.рублей.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19"/>
        <w:spacing w:lineRule="auto" w:line="240"/>
        <w:ind w:left="180" w:firstLine="180"/>
        <w:jc w:val="both"/>
        <w:rPr/>
      </w:pPr>
      <w:r>
        <w:rPr>
          <w:rFonts w:eastAsia="Arial" w:cs="Arial"/>
          <w:bCs/>
          <w:sz w:val="24"/>
          <w:szCs w:val="24"/>
        </w:rPr>
        <w:t xml:space="preserve">   </w:t>
      </w:r>
      <w:r>
        <w:rPr>
          <w:rFonts w:cs="Arial"/>
          <w:bCs/>
          <w:sz w:val="24"/>
          <w:szCs w:val="24"/>
        </w:rPr>
        <w:t>Статья 13.</w:t>
      </w:r>
    </w:p>
    <w:p>
      <w:pPr>
        <w:pStyle w:val="Style19"/>
        <w:ind w:left="180" w:firstLine="18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</w:t>
      </w:r>
      <w:r>
        <w:rPr>
          <w:rFonts w:cs="Arial"/>
          <w:b w:val="false"/>
          <w:sz w:val="24"/>
          <w:szCs w:val="24"/>
        </w:rPr>
        <w:t>Настоящее решение вступает в силу с 1 января 2021 года.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М.В.Михеева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Normal"/>
        <w:rPr/>
      </w:pPr>
      <w:r>
        <w:rPr>
          <w:rFonts w:eastAsia="Arial" w:cs="Arial" w:ascii="Arial" w:hAnsi="Arial"/>
          <w:b/>
          <w:sz w:val="22"/>
          <w:szCs w:val="22"/>
        </w:rPr>
        <w:t xml:space="preserve">                   </w:t>
      </w:r>
      <w:r>
        <w:rPr>
          <w:rFonts w:eastAsia="Arial" w:cs="Arial" w:ascii="Arial" w:hAnsi="Arial"/>
          <w:sz w:val="22"/>
          <w:szCs w:val="22"/>
        </w:rPr>
        <w:t xml:space="preserve">                                                                        </w:t>
      </w:r>
    </w:p>
    <w:p>
      <w:pPr>
        <w:pStyle w:val="Style19"/>
        <w:rPr/>
      </w:pPr>
      <w:r>
        <w:rPr>
          <w:rFonts w:eastAsia="Arial"/>
        </w:rPr>
        <w:t xml:space="preserve">                 </w:t>
      </w:r>
      <w:r>
        <w:rPr/>
        <w:t>Перечень  главных администраторов доходов бюджета  поселения</w:t>
      </w:r>
    </w:p>
    <w:tbl>
      <w:tblPr>
        <w:tblW w:w="9757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693"/>
        <w:gridCol w:w="5680"/>
      </w:tblGrid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Ведомство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Коды бюджетной классификации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Главный администратор  доходов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Управление Федерального казначейства по Нижегородской области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10302</w:t>
            </w:r>
            <w:r>
              <w:rPr>
                <w:rFonts w:cs="Arial" w:ascii="Arial" w:hAnsi="Arial"/>
                <w:lang w:val="en-US"/>
              </w:rPr>
              <w:t>23</w:t>
            </w:r>
            <w:r>
              <w:rPr>
                <w:rFonts w:cs="Arial" w:ascii="Arial" w:hAnsi="Arial"/>
              </w:rPr>
              <w:t>1010000110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overflowPunct w:val="false"/>
              <w:ind w:hanging="0"/>
              <w:textAlignment w:val="baseline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Управление Федеральной налоговой службы по Нижегородской области </w:t>
            </w:r>
            <w:r>
              <w:rPr>
                <w:kern w:val="2"/>
              </w:rPr>
              <w:t xml:space="preserve">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3">
              <w:r>
                <w:rPr>
                  <w:kern w:val="2"/>
                </w:rPr>
                <w:t>статьями 227</w:t>
              </w:r>
            </w:hyperlink>
            <w:r>
              <w:rPr>
                <w:kern w:val="2"/>
              </w:rPr>
              <w:t xml:space="preserve">, </w:t>
            </w:r>
            <w:hyperlink r:id="rId4">
              <w:r>
                <w:rPr>
                  <w:kern w:val="2"/>
                </w:rPr>
                <w:t>227</w:t>
              </w:r>
              <w:r>
                <w:rPr>
                  <w:kern w:val="2"/>
                  <w:vertAlign w:val="superscript"/>
                </w:rPr>
                <w:t>1</w:t>
              </w:r>
              <w:r>
                <w:rPr>
                  <w:kern w:val="2"/>
                </w:rPr>
                <w:t xml:space="preserve"> </w:t>
              </w:r>
            </w:hyperlink>
            <w:r>
              <w:rPr>
                <w:kern w:val="2"/>
              </w:rPr>
              <w:t xml:space="preserve">и </w:t>
            </w:r>
            <w:hyperlink r:id="rId5">
              <w:r>
                <w:rPr>
                  <w:kern w:val="2"/>
                </w:rPr>
                <w:t>228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6">
              <w:r>
                <w:rPr>
                  <w:kern w:val="2"/>
                </w:rPr>
                <w:t>статьей 227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источником которых является налоговый агент, за исключением доходов ,в отношении которых исчисление и уплата налога осуществляются  в соответствии со </w:t>
            </w:r>
            <w:hyperlink r:id="rId7">
              <w:r>
                <w:rPr>
                  <w:kern w:val="2"/>
                </w:rPr>
                <w:t>статьей 227,227.1 и 228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overflowPunct w:val="false"/>
              <w:ind w:hanging="0"/>
              <w:textAlignment w:val="baseline"/>
              <w:rPr>
                <w:kern w:val="2"/>
              </w:rPr>
            </w:pPr>
            <w:r>
              <w:rPr>
                <w:kern w:val="2"/>
              </w:rPr>
              <w:t xml:space="preserve">Единый сельскохозяйственный налог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0"/>
              </w:rPr>
              <w:t>106010301</w:t>
            </w:r>
            <w:r>
              <w:rPr>
                <w:rFonts w:cs="Arial"/>
                <w:b w:val="false"/>
                <w:sz w:val="20"/>
                <w:lang w:val="en-US"/>
              </w:rPr>
              <w:t>3</w:t>
            </w:r>
            <w:r>
              <w:rPr>
                <w:rFonts w:cs="Arial"/>
                <w:b w:val="false"/>
                <w:sz w:val="20"/>
              </w:rPr>
              <w:t>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10606033130000110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организаций, обладающих земельным участком, расположенным в границах городских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10606043130000110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физических лиц, обладающих земельным участком, расположенным в границах городских поселений</w:t>
            </w:r>
          </w:p>
        </w:tc>
      </w:tr>
      <w:tr>
        <w:trPr>
          <w:trHeight w:val="553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11105013130000120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Доходы, полученные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</w:tr>
      <w:tr>
        <w:trPr>
          <w:trHeight w:val="530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11105025130000120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Доходы, полученные в виде арендной платы, а также средства от продажи права на заключение договоров аренды за земли, находящиеся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</w:tc>
      </w:tr>
      <w:tr>
        <w:trPr>
          <w:trHeight w:val="901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11406013130000430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11701050130000130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Невыясненные поступления, зачисляемые в бюджеты городских поселений.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11705050100000180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неналоговые доходы бюджетов городских 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20215001130000150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Дотации бюджетам городских поселений на выравнивание бюджетной обеспеченности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20235118130110150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 xml:space="preserve">20245160130000150  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20249999130000150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Прочие межбюджетные трансферты, передаваемые бюджетам городских поселений </w:t>
            </w:r>
          </w:p>
        </w:tc>
      </w:tr>
    </w:tbl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cs="Arial"/>
        </w:rPr>
      </w:pPr>
      <w:r>
        <w:rPr>
          <w:rFonts w:eastAsia="Arial"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Перечень главных администраторов источников финансирования дефицита бюджета поселения</w:t>
      </w:r>
    </w:p>
    <w:tbl>
      <w:tblPr>
        <w:tblW w:w="9910" w:type="dxa"/>
        <w:jc w:val="left"/>
        <w:tblInd w:w="-1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552"/>
        <w:gridCol w:w="5902"/>
      </w:tblGrid>
      <w:tr>
        <w:trPr>
          <w:trHeight w:val="915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Ведомство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Главный администратор источников</w:t>
            </w:r>
          </w:p>
        </w:tc>
      </w:tr>
      <w:tr>
        <w:trPr>
          <w:trHeight w:val="540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67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01050201100000510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Увеличение прочих остатков денежных средств бюджета поселения</w:t>
            </w:r>
          </w:p>
        </w:tc>
      </w:tr>
      <w:tr>
        <w:trPr>
          <w:trHeight w:val="419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01050201100000610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Уменьшение прочих остатков денежных средств бюджета поселения</w:t>
            </w:r>
          </w:p>
        </w:tc>
      </w:tr>
    </w:tbl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Style19"/>
        <w:spacing w:lineRule="auto" w:line="240"/>
        <w:jc w:val="right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Приложение №3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clear" w:pos="720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2021 год</w:t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cs="Arial" w:ascii="Arial" w:hAnsi="Arial"/>
          <w:sz w:val="18"/>
          <w:szCs w:val="18"/>
        </w:rPr>
        <w:t>(тыс. рублей)</w:t>
      </w:r>
    </w:p>
    <w:tbl>
      <w:tblPr>
        <w:tblW w:w="9899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985"/>
        <w:gridCol w:w="128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Код бюджетной классификации Российской Федерации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Наименование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 Налоговые и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18101,1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 xml:space="preserve">8215,5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8215,5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8133,4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10102020010000110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43,5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10300000000000000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10302000010000110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10302231010000110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 </w:t>
            </w:r>
            <w:r>
              <w:rPr/>
              <w:t>1098,9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10302241010000110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10302251010000110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1478,0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10302261010000110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-200,2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10500000000000000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1.3. Налоги на совокупный доход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1.3.1. Единый сельскохозяйственный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      </w:t>
            </w:r>
            <w:r>
              <w:rPr/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10600000000000000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1.4. Налоги на имущество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6279,4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      </w:t>
            </w:r>
            <w:r>
              <w:rPr/>
              <w:t>2693,9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10606000000000110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 Земельный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3585,5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 Земельный налог с организаций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  Земельный налог  с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lang w:val="en-US"/>
              </w:rPr>
              <w:t>1</w:t>
            </w:r>
            <w:r>
              <w:rPr/>
              <w:t>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11105000000000120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11105013130000120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836,8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11105025130000120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11400000000000000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11406013130000430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11705000000000180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1.7. Прочие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11705050130000180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1.7.1. Прочие неналоговые доходы бюджетов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20000000000000000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27623,2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27274,8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20210000000000150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20215001130000150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20230000000000150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343,0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20235118130000150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2.1.2.1.Субвенции бюджетам сельских поселений на осуществление первичного воинского учета на территориях, </w:t>
            </w:r>
            <w:r>
              <w:rPr>
                <w:i/>
              </w:rPr>
              <w:t>где отсутствуют военные комиссариаты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343,0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20240000000000150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2.1.3. Иные межбюджетные трансферты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23436,6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2.1.3.1. Межбюджетные трансферты ,передаваемые бюджетам городским поселений для компенсации дополнительных расходов, возникших в результате решений ,принятых органами власти другого уровня (на капитальный ремонт и ремонт автомобильных дорог общего пользования местного значения)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  <w:t>2500,0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 Прочие межбюджетные трансферты, передаваемые бюджетам городских  поселений -всего, в т.ч.: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20936,6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/>
            </w:pPr>
            <w:r>
              <w:rPr/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2.1.3.2.1. Прочие межбюджетные трансферты, передаваемые бюджетам городских поселений (на поддержку мер по обеспечению сбалансированности бюджетов)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  <w:t>10628,5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/>
            </w:pPr>
            <w:r>
              <w:rPr/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2.1.3.2.2. Прочие межбюджетные трансферты, передаваемые бюджетам городских поселений (на  реализацию проектов комплексного развития сельских территорий (сельских агломераций))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  <w:t>1455,4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/>
            </w:pPr>
            <w:r>
              <w:rPr/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2.1.3.2.3. Прочие межбюджетные трансферты, передаваемые бюджетам городских поселений (на  проектирование и строительство(реконструкцию) автомобильных дорог общего пользования местного значения)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 xml:space="preserve">  </w:t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  <w:t xml:space="preserve">  </w:t>
            </w:r>
            <w:r>
              <w:rPr/>
              <w:t>4200,0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/>
            </w:pPr>
            <w:r>
              <w:rPr/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2.1.3.2.4. Прочие межбюджетные трансферты, передаваемые бюджетам городских поселений(на поддержку государственных программ субъектов Российской Федерации и муниципальных программ формирования современной городской среды)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4552,7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 xml:space="preserve">   </w:t>
            </w:r>
            <w:r>
              <w:rPr>
                <w:b/>
              </w:rPr>
              <w:t>45724,3</w:t>
            </w:r>
          </w:p>
        </w:tc>
      </w:tr>
    </w:tbl>
    <w:p>
      <w:pPr>
        <w:pStyle w:val="Normal"/>
        <w:tabs>
          <w:tab w:val="clear" w:pos="720"/>
          <w:tab w:val="left" w:pos="5442" w:leader="none"/>
        </w:tabs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  <w:b/>
        </w:rPr>
        <w:t>на 2021 год</w:t>
      </w:r>
    </w:p>
    <w:p>
      <w:pPr>
        <w:pStyle w:val="Normal"/>
        <w:ind w:firstLine="360"/>
        <w:jc w:val="right"/>
        <w:rPr>
          <w:rFonts w:cs="Arial"/>
        </w:rPr>
      </w:pPr>
      <w:r>
        <w:rPr>
          <w:rFonts w:cs="Arial" w:ascii="Arial" w:hAnsi="Arial"/>
        </w:rPr>
        <w:t>(тыс.рублей)</w:t>
      </w:r>
    </w:p>
    <w:tbl>
      <w:tblPr>
        <w:tblW w:w="10800" w:type="dxa"/>
        <w:jc w:val="left"/>
        <w:tblInd w:w="-1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0,0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№5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на 2021 год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>
          <w:rFonts w:eastAsia="Arial" w:cs="Arial" w:ascii="Arial" w:hAnsi="Arial"/>
          <w:kern w:val="2"/>
          <w:sz w:val="22"/>
          <w:szCs w:val="22"/>
        </w:rPr>
        <w:t xml:space="preserve"> </w:t>
      </w:r>
      <w:r>
        <w:rPr/>
        <w:t>(тыс. рублей)</w:t>
      </w:r>
    </w:p>
    <w:tbl>
      <w:tblPr>
        <w:tblW w:w="9806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0"/>
        <w:gridCol w:w="1843"/>
        <w:gridCol w:w="1417"/>
        <w:gridCol w:w="1286"/>
      </w:tblGrid>
      <w:tr>
        <w:trPr>
          <w:trHeight w:val="300" w:hRule="atLeast"/>
        </w:trPr>
        <w:tc>
          <w:tcPr>
            <w:tcW w:w="5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15 276,2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4 883,9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4 883,9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4 883,9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4 883,9</w:t>
            </w:r>
          </w:p>
        </w:tc>
      </w:tr>
      <w:tr>
        <w:trPr>
          <w:trHeight w:val="135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29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13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14.2.00.00000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75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224,5</w:t>
            </w:r>
          </w:p>
        </w:tc>
      </w:tr>
      <w:tr>
        <w:trPr>
          <w:trHeight w:val="113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118,5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 годы»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19.0.00.0000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4552,7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 дворовых территорий муниципальных жилых домов р.п.Шаранга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.F2.5555A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4 552,7</w:t>
            </w:r>
          </w:p>
        </w:tc>
      </w:tr>
      <w:tr>
        <w:trPr>
          <w:trHeight w:val="100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19.2.F2.5555A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4 552,7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5 655,5</w:t>
            </w:r>
          </w:p>
        </w:tc>
      </w:tr>
      <w:tr>
        <w:trPr>
          <w:trHeight w:val="29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Благоустройство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1 455,5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Реализация проектов комплексного развития сельских территорий (сельских агломераций)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22.0.02.S2020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1 455,5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22.0.02.S2020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1 455,5</w:t>
            </w:r>
          </w:p>
        </w:tc>
      </w:tr>
      <w:tr>
        <w:trPr>
          <w:trHeight w:val="45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Прочее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135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55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27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30199,7</w:t>
            </w:r>
          </w:p>
        </w:tc>
      </w:tr>
      <w:tr>
        <w:trPr>
          <w:trHeight w:val="41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30199,7</w:t>
            </w:r>
          </w:p>
        </w:tc>
      </w:tr>
      <w:tr>
        <w:trPr>
          <w:trHeight w:val="45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2 791,9</w:t>
            </w:r>
          </w:p>
        </w:tc>
      </w:tr>
      <w:tr>
        <w:trPr>
          <w:trHeight w:val="276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1 796,5</w:t>
            </w:r>
          </w:p>
        </w:tc>
      </w:tr>
      <w:tr>
        <w:trPr>
          <w:trHeight w:val="169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1 185,9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610,6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169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169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55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7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41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12 983,0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475,0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475,0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88.8.06.</w:t>
            </w:r>
            <w:r>
              <w:rPr>
                <w:rFonts w:cs="Arial" w:ascii="Arial" w:hAnsi="Arial"/>
                <w:color w:val="000000"/>
                <w:lang w:val="en-US"/>
              </w:rPr>
              <w:t>05030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679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88.8.06.</w:t>
            </w:r>
            <w:r>
              <w:rPr>
                <w:rFonts w:cs="Arial" w:ascii="Arial" w:hAnsi="Arial"/>
                <w:color w:val="000000"/>
                <w:lang w:val="en-US"/>
              </w:rPr>
              <w:t>05030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4 201,3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4 201,3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270,0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270,0</w:t>
            </w:r>
          </w:p>
        </w:tc>
      </w:tr>
      <w:tr>
        <w:trPr>
          <w:trHeight w:val="49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248,5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248,5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7 533,2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7 533,2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57,0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57,0</w:t>
            </w:r>
          </w:p>
        </w:tc>
      </w:tr>
      <w:tr>
        <w:trPr>
          <w:trHeight w:val="33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45724,3</w:t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2"/>
          <w:szCs w:val="22"/>
        </w:rPr>
      </w:pPr>
      <w:r>
        <w:rPr>
          <w:rFonts w:cs="Arial" w:ascii="Arial" w:hAnsi="Arial"/>
          <w:b/>
          <w:kern w:val="2"/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№6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  <w:bCs/>
        </w:rPr>
        <w:t>Ведомственная структура расходов бюджета поселения на 2021 год</w:t>
      </w:r>
    </w:p>
    <w:tbl>
      <w:tblPr>
        <w:tblW w:w="9806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807"/>
        <w:gridCol w:w="709"/>
        <w:gridCol w:w="759"/>
        <w:gridCol w:w="1663"/>
        <w:gridCol w:w="838"/>
        <w:gridCol w:w="1134"/>
        <w:gridCol w:w="10"/>
      </w:tblGrid>
      <w:tr>
        <w:trPr>
          <w:trHeight w:val="394" w:hRule="atLeast"/>
        </w:trPr>
        <w:tc>
          <w:tcPr>
            <w:tcW w:w="3886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5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663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972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3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Ведомство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3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1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630" w:hRule="atLeast"/>
        </w:trPr>
        <w:tc>
          <w:tcPr>
            <w:tcW w:w="38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6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3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4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169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45724,3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2 848,9</w:t>
            </w:r>
          </w:p>
        </w:tc>
      </w:tr>
      <w:tr>
        <w:trPr>
          <w:trHeight w:val="166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2 600,1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2 600,1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2 600,1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2 600,1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1 796,5</w:t>
            </w:r>
          </w:p>
        </w:tc>
      </w:tr>
      <w:tr>
        <w:trPr>
          <w:trHeight w:val="21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1 185,9</w:t>
            </w:r>
          </w:p>
        </w:tc>
      </w:tr>
      <w:tr>
        <w:trPr>
          <w:trHeight w:val="117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610,6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88.8.01.20800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803,6</w:t>
            </w:r>
          </w:p>
        </w:tc>
      </w:tr>
      <w:tr>
        <w:trPr>
          <w:trHeight w:val="193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88.8.01.20800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803,6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 местных администраций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42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245,8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1995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57,0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88.8.06.92035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57,0</w:t>
            </w:r>
          </w:p>
        </w:tc>
      </w:tr>
      <w:tr>
        <w:trPr>
          <w:trHeight w:val="109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88.8.06.92035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57,0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69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70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211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224,5</w:t>
            </w:r>
          </w:p>
        </w:tc>
      </w:tr>
      <w:tr>
        <w:trPr>
          <w:trHeight w:val="133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118,5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89,5</w:t>
            </w:r>
          </w:p>
        </w:tc>
      </w:tr>
      <w:tr>
        <w:trPr>
          <w:trHeight w:val="236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пожарной безопасности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12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9 083,9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Дорожное хозяйство (дорожные фонды)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9 083,9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4 883,9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4 883,9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4 883,9</w:t>
            </w:r>
          </w:p>
        </w:tc>
      </w:tr>
      <w:tr>
        <w:trPr>
          <w:trHeight w:val="9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4 883,9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Прочее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236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22.0.03.S2200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114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22.0.03.S2200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18 736,2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105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18261,2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19.0.00.0000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4 552,7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 дворовых территорий муниципальных жилых домов р.п.Шаранга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.F2.5555A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4 552,7</w:t>
            </w:r>
          </w:p>
        </w:tc>
      </w:tr>
      <w:tr>
        <w:trPr>
          <w:trHeight w:val="109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.F2.5555A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4 552,7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1 455,5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1 455,5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Реализация проектов комплексного развития сельских территорий (сельских агломераций)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22.0.02.S2020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1 455,5</w:t>
            </w:r>
          </w:p>
        </w:tc>
      </w:tr>
      <w:tr>
        <w:trPr>
          <w:trHeight w:val="90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22.0.02.S2020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1 455,5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12 253,0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12 253,0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12 253,0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4 201,3</w:t>
            </w:r>
          </w:p>
        </w:tc>
      </w:tr>
      <w:tr>
        <w:trPr>
          <w:trHeight w:val="886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4 201,3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88.8.06.60302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72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88.8.06.60302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88.8.06.60402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248,5</w:t>
            </w:r>
          </w:p>
        </w:tc>
      </w:tr>
      <w:tr>
        <w:trPr>
          <w:trHeight w:val="7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88.8.06.60402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248,5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7 533,2</w:t>
            </w:r>
          </w:p>
        </w:tc>
      </w:tr>
      <w:tr>
        <w:trPr>
          <w:trHeight w:val="108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7 533,2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14324,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14324,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14324,</w:t>
            </w:r>
            <w:r>
              <w:rPr>
                <w:rFonts w:cs="Arial" w:ascii="Arial" w:hAnsi="Arial"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14324,</w:t>
            </w:r>
            <w:r>
              <w:rPr>
                <w:rFonts w:cs="Arial" w:ascii="Arial" w:hAnsi="Arial"/>
                <w:color w:val="000000"/>
                <w:lang w:val="en-US"/>
              </w:rPr>
              <w:t>8</w:t>
            </w:r>
          </w:p>
        </w:tc>
      </w:tr>
      <w:tr>
        <w:trPr>
          <w:trHeight w:val="202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88.8.03.02106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420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88.8.03.02106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298,0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169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88.8.06.</w:t>
            </w:r>
            <w:r>
              <w:rPr>
                <w:rFonts w:cs="Arial" w:ascii="Arial" w:hAnsi="Arial"/>
                <w:color w:val="000000"/>
                <w:lang w:val="en-US"/>
              </w:rPr>
              <w:t>05030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64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88.8.06.05030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88.8.06.14010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76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88.8.06.14010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45375,9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Style19"/>
        <w:spacing w:lineRule="auto" w:line="240"/>
        <w:jc w:val="right"/>
        <w:rPr/>
      </w:pPr>
      <w:bookmarkStart w:id="0" w:name="_GoBack"/>
      <w:bookmarkEnd w:id="0"/>
      <w:r>
        <w:rPr>
          <w:rFonts w:eastAsia="Arial"/>
          <w:szCs w:val="28"/>
        </w:rPr>
        <w:t xml:space="preserve"> </w:t>
      </w:r>
      <w:r>
        <w:rPr>
          <w:rFonts w:cs="Arial"/>
          <w:szCs w:val="28"/>
        </w:rPr>
        <w:t>Приложение №7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2021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18.12.2020 №28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9948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1050"/>
        <w:gridCol w:w="1417"/>
        <w:gridCol w:w="1276"/>
        <w:gridCol w:w="1775"/>
        <w:gridCol w:w="10"/>
      </w:tblGrid>
      <w:tr>
        <w:trPr>
          <w:trHeight w:val="780" w:hRule="atLeast"/>
        </w:trPr>
        <w:tc>
          <w:tcPr>
            <w:tcW w:w="9938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Распределение бюджетных ассигнований по разделам, подразделам, группам видов расходов классификации расходов бюджета поселения на 2021 год</w:t>
            </w:r>
          </w:p>
        </w:tc>
      </w:tr>
      <w:tr>
        <w:trPr>
          <w:trHeight w:val="394" w:hRule="atLeast"/>
        </w:trPr>
        <w:tc>
          <w:tcPr>
            <w:tcW w:w="442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051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4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78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585" w:hRule="atLeast"/>
        </w:trPr>
        <w:tc>
          <w:tcPr>
            <w:tcW w:w="4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7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2 848,9</w:t>
            </w:r>
          </w:p>
        </w:tc>
      </w:tr>
      <w:tr>
        <w:trPr>
          <w:trHeight w:val="1692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2 600,1</w:t>
            </w:r>
          </w:p>
        </w:tc>
      </w:tr>
      <w:tr>
        <w:trPr>
          <w:trHeight w:val="1703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1 989,5</w:t>
            </w:r>
          </w:p>
        </w:tc>
      </w:tr>
      <w:tr>
        <w:trPr>
          <w:trHeight w:val="627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610,6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52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общегосударственные вопросы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245,8</w:t>
            </w:r>
          </w:p>
        </w:tc>
      </w:tr>
      <w:tr>
        <w:trPr>
          <w:trHeight w:val="158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990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57,0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691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224,5</w:t>
            </w:r>
          </w:p>
        </w:tc>
      </w:tr>
      <w:tr>
        <w:trPr>
          <w:trHeight w:val="89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118,5</w:t>
            </w:r>
          </w:p>
        </w:tc>
      </w:tr>
      <w:tr>
        <w:trPr>
          <w:trHeight w:val="1013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354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91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9 083,9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Дорожное хозяйство (дорожные фонды)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9 083,9</w:t>
            </w:r>
          </w:p>
        </w:tc>
      </w:tr>
      <w:tr>
        <w:trPr>
          <w:trHeight w:val="8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4 883,9</w:t>
            </w:r>
          </w:p>
        </w:tc>
      </w:tr>
      <w:tr>
        <w:trPr>
          <w:trHeight w:val="703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18 736,2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Жилищное хозяйство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103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18261,2</w:t>
            </w:r>
          </w:p>
        </w:tc>
      </w:tr>
      <w:tr>
        <w:trPr>
          <w:trHeight w:val="106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18261,2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Культура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660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1092" w:right="317" w:hanging="2651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298,0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населения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4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69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45724,3</w:t>
            </w:r>
          </w:p>
        </w:tc>
      </w:tr>
    </w:tbl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4"/>
      <w:szCs w:val="24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</w:rPr>
  </w:style>
  <w:style w:type="character" w:styleId="WW8Num27z0">
    <w:name w:val="WW8Num27z0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>
      <w:rFonts w:ascii="Times New Roman" w:hAnsi="Times New Roman" w:cs="Times New Roman"/>
    </w:rPr>
  </w:style>
  <w:style w:type="character" w:styleId="WW8Num37z0">
    <w:name w:val="WW8Num37z0"/>
    <w:qFormat/>
    <w:rPr>
      <w:rFonts w:ascii="Times New Roman" w:hAnsi="Times New Roman" w:eastAsia="Times New Roman" w:cs="Times New Roman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7z3">
    <w:name w:val="WW8Num37z3"/>
    <w:qFormat/>
    <w:rPr>
      <w:rFonts w:ascii="Symbol" w:hAnsi="Symbol" w:cs="Symbol"/>
    </w:rPr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3">
    <w:name w:val="Верхний колонтитул Знак"/>
    <w:basedOn w:val="Style11"/>
    <w:qFormat/>
    <w:rPr/>
  </w:style>
  <w:style w:type="character" w:styleId="Style14">
    <w:name w:val="Номер страницы"/>
    <w:basedOn w:val="Style11"/>
    <w:rPr/>
  </w:style>
  <w:style w:type="character" w:styleId="Style15">
    <w:name w:val="Нижний колонтитул Знак"/>
    <w:basedOn w:val="Style11"/>
    <w:qFormat/>
    <w:rPr/>
  </w:style>
  <w:style w:type="character" w:styleId="Style16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next w:val="Style19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8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9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врезки"/>
    <w:basedOn w:val="Normal"/>
    <w:qFormat/>
    <w:pPr/>
    <w:rPr/>
  </w:style>
  <w:style w:type="paragraph" w:styleId="Style34">
    <w:name w:val="Содержимое таблицы"/>
    <w:basedOn w:val="Normal"/>
    <w:qFormat/>
    <w:pPr>
      <w:widowControl w:val="false"/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183EB478FB1B8F121DD7B73E034B1FBAD8CA3DC50BB847197535F0F07363D4BC422B5BE7E6B6FtEF" TargetMode="External"/><Relationship Id="rId4" Type="http://schemas.openxmlformats.org/officeDocument/2006/relationships/hyperlink" Target="consultantplus://offline/ref=1183EB478FB1B8F121DD7B73E034B1FBAD8CA3DC50BB847197535F0F07363D4BC422B5B87B626Ft5F" TargetMode="External"/><Relationship Id="rId5" Type="http://schemas.openxmlformats.org/officeDocument/2006/relationships/hyperlink" Target="consultantplus://offline/ref=1183EB478FB1B8F121DD7B73E034B1FBAD8CA3DC50BB847197535F0F07363D4BC422B5BC7E6BF3F06DtAF" TargetMode="External"/><Relationship Id="rId6" Type="http://schemas.openxmlformats.org/officeDocument/2006/relationships/hyperlink" Target="consultantplus://offline/ref=3F1302EAC6728A67476F57BCC152AF941C8587E2237F3C150484C184BE35D3B578696661E55EoCu1F" TargetMode="External"/><Relationship Id="rId7" Type="http://schemas.openxmlformats.org/officeDocument/2006/relationships/hyperlink" Target="consultantplus://offline/ref=6BF47E39319B04FB6DD9619E0D3801F34C8C5181E915A6FF8BF2CD9B6B6C95B71B7AD282A62BE079b7v9F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649</TotalTime>
  <Application>LibreOffice/7.0.3.1$Windows_X86_64 LibreOffice_project/d7547858d014d4cf69878db179d326fc3483e082</Application>
  <Pages>26</Pages>
  <Words>4610</Words>
  <Characters>33718</Characters>
  <CharactersWithSpaces>37527</CharactersWithSpaces>
  <Paragraphs>1448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2016-12-19T20:31:00Z</dcterms:created>
  <dc:creator>Катышева Е. В.</dc:creator>
  <dc:description/>
  <cp:keywords> </cp:keywords>
  <dc:language>ru-RU</dc:language>
  <cp:lastModifiedBy>Комьютер</cp:lastModifiedBy>
  <cp:lastPrinted>2020-12-17T08:16:00Z</cp:lastPrinted>
  <dcterms:modified xsi:type="dcterms:W3CDTF">2020-12-28T15:16:00Z</dcterms:modified>
  <cp:revision>52</cp:revision>
  <dc:subject/>
  <dc:title>ПОСТАНОВЛЕНИЕ</dc:title>
</cp:coreProperties>
</file>