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17.03.2020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8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32"/>
          <w:szCs w:val="32"/>
        </w:rPr>
        <w:t>О внесении изменений  в решение поселкового Совета рабочего поселка Шаранга Шарангского муниципального района Нижегородской области от 23.12.2019  года №33 «О бюджете поселения на 2020 год»</w:t>
      </w:r>
    </w:p>
    <w:p>
      <w:pPr>
        <w:pStyle w:val="ConsPlusNormal1"/>
        <w:widowControl/>
        <w:bidi w:val="0"/>
        <w:ind w:firstLine="567"/>
        <w:jc w:val="left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ConsPlusTitle"/>
        <w:widowControl/>
        <w:bidi w:val="0"/>
        <w:ind w:firstLine="567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В соответствии с Уставом рабочего поселка Шаранга Шарангского муниципального района Нижегородской области,  поселковый Совет рабочего посёлка Шаранга Шарангского муниципального района Нижегородской области РЕШИЛ: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1.Внести в решение поселкового Совета рабочего поселка Шаранга Шарангского муниципального района Нижегородской области от 23.12.2019 года №33 «О бюджете поселения на 2020 год» следующие изменения :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1.1. «Статью 1 изложить в следующей редакции :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Статья 1.  Утвердить основные характеристики бюджета поселения на 2020 год: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общий объем доходов в сумме   44494,1 тыс. рублей;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общий объем расходов в сумме  44494,1 тыс. рублей.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размер дефицита в сумме 0,0 тыс.рублей.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1.2. Приложения 3-7 изложить в новой редакции согласно приложению.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Настоящее решение вступает в силу со дня его официального подписания.</w:t>
      </w:r>
    </w:p>
    <w:p>
      <w:pPr>
        <w:pStyle w:val="Normal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left="360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М.В.Михеева</w:t>
      </w:r>
    </w:p>
    <w:p>
      <w:pPr>
        <w:pStyle w:val="Normal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Приложение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17.03.2020 №8</w:t>
      </w:r>
    </w:p>
    <w:p>
      <w:pPr>
        <w:pStyle w:val="Style20"/>
        <w:jc w:val="right"/>
        <w:rPr/>
      </w:pPr>
      <w:r>
        <w:rPr>
          <w:rFonts w:cs="Arial" w:ascii="Arial" w:hAnsi="Arial"/>
          <w:sz w:val="20"/>
          <w:szCs w:val="20"/>
        </w:rPr>
        <w:t>«Приложение №3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23.12.2019 №33</w:t>
      </w:r>
    </w:p>
    <w:p>
      <w:pPr>
        <w:pStyle w:val="Normal"/>
        <w:tabs>
          <w:tab w:val="clear" w:pos="708"/>
          <w:tab w:val="left" w:pos="5442" w:leader="none"/>
        </w:tabs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Поступление доходов по группам, подгруппам и статьям</w:t>
      </w:r>
    </w:p>
    <w:p>
      <w:pPr>
        <w:pStyle w:val="Normal"/>
        <w:tabs>
          <w:tab w:val="clear" w:pos="708"/>
          <w:tab w:val="left" w:pos="5442" w:leader="none"/>
        </w:tabs>
        <w:jc w:val="center"/>
        <w:rPr/>
      </w:pPr>
      <w:r>
        <w:rPr>
          <w:rFonts w:cs="Arial" w:ascii="Arial" w:hAnsi="Arial"/>
          <w:b/>
        </w:rPr>
        <w:t>бюджетной классификации на 2020 год</w:t>
      </w:r>
    </w:p>
    <w:p>
      <w:pPr>
        <w:pStyle w:val="Normal"/>
        <w:tabs>
          <w:tab w:val="clear" w:pos="708"/>
          <w:tab w:val="left" w:pos="5442" w:leader="none"/>
        </w:tabs>
        <w:jc w:val="both"/>
        <w:rPr>
          <w:rFonts w:cs="Arial"/>
        </w:rPr>
      </w:pPr>
      <w:r>
        <w:rPr>
          <w:rFonts w:eastAsia="Arial" w:cs="Arial" w:ascii="Arial" w:hAnsi="Arial"/>
          <w:b/>
        </w:rPr>
        <w:t xml:space="preserve">                                                                                                                                               </w:t>
      </w:r>
      <w:r>
        <w:rPr>
          <w:rFonts w:cs="Arial" w:ascii="Arial" w:hAnsi="Arial"/>
        </w:rPr>
        <w:t>тыс. руб.</w:t>
      </w:r>
    </w:p>
    <w:tbl>
      <w:tblPr>
        <w:tblW w:w="9332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580"/>
        <w:gridCol w:w="1124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Наименование доходов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 Налоговые и неналоговые доходы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17515,4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1.1. Налоги на прибыль, доходы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 </w:t>
            </w:r>
            <w:r>
              <w:rPr>
                <w:rFonts w:cs="Arial" w:ascii="Arial" w:hAnsi="Arial"/>
                <w:b/>
              </w:rPr>
              <w:t>7982,1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 Налог на доходы физических лиц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</w:t>
            </w:r>
            <w:r>
              <w:rPr>
                <w:rFonts w:cs="Arial" w:ascii="Arial" w:hAnsi="Arial"/>
              </w:rPr>
              <w:t>7982,1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7875,8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10102020010000110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</w:t>
            </w:r>
            <w:r>
              <w:rPr>
                <w:rFonts w:cs="Arial" w:ascii="Arial" w:hAnsi="Arial"/>
              </w:rPr>
              <w:t>61,5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10102030010000110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1.1.1.3. Налог на доходы физических лиц с доходов,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44,8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2637,4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10302000010000110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2637,4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10302231010000110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1198,7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10302241010000110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10302251010000110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1610,4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10302261010000110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 ,установленным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-180,7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10500000000000000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1.3. Налоги на совокупный доход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24,5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10503010010000110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1.3.1. Единый сельскохозяйственный налог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</w:t>
            </w:r>
            <w:r>
              <w:rPr>
                <w:rFonts w:cs="Arial" w:ascii="Arial" w:hAnsi="Arial"/>
              </w:rPr>
              <w:t>24,5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10600000000000000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1.4. Налоги на имущество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5642,5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10601030130000110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городских поселений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</w:t>
            </w:r>
            <w:r>
              <w:rPr>
                <w:rFonts w:cs="Arial" w:ascii="Arial" w:hAnsi="Arial"/>
              </w:rPr>
              <w:t>2154,1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10606000000000110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 Земельный налог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3488,4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10606030000000110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 Земельный налог с организаций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</w:t>
            </w:r>
            <w:r>
              <w:rPr>
                <w:rFonts w:cs="Arial" w:ascii="Arial" w:hAnsi="Arial"/>
              </w:rPr>
              <w:t>2026,5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10606033130000110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</w:t>
            </w:r>
            <w:r>
              <w:rPr>
                <w:rFonts w:cs="Arial" w:ascii="Arial" w:hAnsi="Arial"/>
              </w:rPr>
              <w:t>2026,5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10606040000000110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1.4.2.2.  Земельный налог  с физических лиц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/>
            </w:pPr>
            <w:r>
              <w:rPr>
                <w:rFonts w:cs="Arial" w:ascii="Arial" w:hAnsi="Arial"/>
                <w:lang w:val="en-US"/>
              </w:rPr>
              <w:t>1</w:t>
            </w:r>
            <w:r>
              <w:rPr>
                <w:rFonts w:cs="Arial" w:ascii="Arial" w:hAnsi="Arial"/>
              </w:rPr>
              <w:t>461,9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10606043130000110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1461,9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   </w:t>
            </w:r>
            <w:r>
              <w:rPr>
                <w:rFonts w:cs="Arial" w:ascii="Arial" w:hAnsi="Arial"/>
                <w:b/>
              </w:rPr>
              <w:t>833,9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11105000000000120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833,9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rFonts w:cs="Arial" w:ascii="Arial" w:hAnsi="Arial"/>
              </w:rPr>
              <w:t>11105013130000120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833,9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11400000000000000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1.6. Доходы от продажи материальных и нематериальных активов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    </w:t>
            </w:r>
            <w:r>
              <w:rPr>
                <w:rFonts w:cs="Arial" w:ascii="Arial" w:hAnsi="Arial"/>
                <w:b/>
              </w:rPr>
              <w:t>200,0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11406000000000430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1.6.1. Доходы от продажи земельных участков, находящихся в государственной и муниципальной собственности (за исключением земельных участков бюджетных и  автономных учреждений)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50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 </w:t>
            </w:r>
            <w:r>
              <w:rPr>
                <w:rFonts w:cs="Arial" w:ascii="Arial" w:hAnsi="Arial"/>
              </w:rPr>
              <w:t>200,0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11406013130000430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  <w:r>
              <w:rPr>
                <w:rFonts w:cs="Arial" w:ascii="Arial" w:hAnsi="Arial"/>
              </w:rPr>
              <w:t>50,0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</w:rPr>
              <w:t>11406025130000430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1.6.1.2. Доходы от продажи земельных участков,находящихся в собственности городских поселений (за исключением земельных участков муниципальных бюджетных и автономных учреждений)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    </w:t>
            </w:r>
            <w:r>
              <w:rPr>
                <w:rFonts w:cs="Arial" w:ascii="Arial" w:hAnsi="Arial"/>
              </w:rPr>
              <w:t>150,0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11705000000000180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1.7. Прочие неналоговые доходы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195,0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11705050130000180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1.7.1. Прочие неналоговые доходы бюджетов городских поселений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195,0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 Безвозмездные поступления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26978,7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26978,7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20210000000000150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3626,7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20215001130000150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3626,7  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20230000000000150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 </w:t>
            </w:r>
            <w:r>
              <w:rPr>
                <w:rFonts w:cs="Arial" w:ascii="Arial" w:hAnsi="Arial"/>
                <w:b/>
              </w:rPr>
              <w:t>295,8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20235118130110150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  </w:t>
            </w:r>
            <w:r>
              <w:rPr>
                <w:rFonts w:cs="Arial" w:ascii="Arial" w:hAnsi="Arial"/>
              </w:rPr>
              <w:t>295,8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20240000000000150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2.1.3. Иные межбюджетные трансферты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 xml:space="preserve">23056,2  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20245160130000150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2.1.3.1. Межбюджетные трансферты,передаваемые бюджетам городским поселений для компенсации дополнительных расходов,возникших в результате решений,принятых органами власти другого уровня , в том числе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11093,3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2.1.3.1.1..Межбюджетные трансферты,передаваемые бюджетам городским поселений для компенсации дополнительных расходов,возникших в результате решений,принятых органами власти другого уровня</w:t>
            </w:r>
          </w:p>
          <w:p>
            <w:pPr>
              <w:pStyle w:val="Normal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1093,3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2.1.3.1.2.Межбюджетные трансферты,передаваемые бюджетам городским поселений для компенсации дополнительных расходов,возникших в результате решений,принятых органами власти другого уровня ( на реализацию общественно значимых проектов)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10000,0</w:t>
            </w:r>
          </w:p>
        </w:tc>
      </w:tr>
      <w:tr>
        <w:trPr>
          <w:trHeight w:val="28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20249999130000150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2.1.3.2. Прочие межбюджетные трансферты, передаваемые бюджетам городских поселений(на поддержку мер по обеспечению сбалансированности бюджетов)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eastAsia="Arial" w:cs="Arial"/>
              </w:rPr>
            </w:pPr>
            <w:r>
              <w:rPr>
                <w:rFonts w:eastAsia="Arial" w:cs="Arial" w:ascii="Arial" w:hAnsi="Arial"/>
              </w:rPr>
              <w:t xml:space="preserve">  </w:t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11962,9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Всего доходов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eastAsia="Arial" w:cs="Arial" w:ascii="Arial" w:hAnsi="Arial"/>
                <w:b/>
              </w:rPr>
              <w:t xml:space="preserve">  </w:t>
            </w:r>
            <w:r>
              <w:rPr>
                <w:rFonts w:cs="Arial" w:ascii="Arial" w:hAnsi="Arial"/>
                <w:b/>
              </w:rPr>
              <w:t>44494,1</w:t>
            </w:r>
          </w:p>
        </w:tc>
      </w:tr>
    </w:tbl>
    <w:p>
      <w:pPr>
        <w:pStyle w:val="Normal"/>
        <w:tabs>
          <w:tab w:val="clear" w:pos="708"/>
          <w:tab w:val="left" w:pos="5442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</w:t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№4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23.12.2019 №33</w:t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Normal"/>
        <w:ind w:firstLine="360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  <w:t>Источники финансирования дефицита бюджета поселения</w:t>
      </w:r>
    </w:p>
    <w:p>
      <w:pPr>
        <w:pStyle w:val="Normal"/>
        <w:ind w:firstLine="360"/>
        <w:jc w:val="center"/>
        <w:rPr/>
      </w:pPr>
      <w:r>
        <w:rPr>
          <w:rFonts w:cs="Arial" w:ascii="Arial" w:hAnsi="Arial"/>
          <w:b/>
        </w:rPr>
        <w:t>на 2020 год</w:t>
      </w:r>
    </w:p>
    <w:p>
      <w:pPr>
        <w:pStyle w:val="Normal"/>
        <w:ind w:firstLine="360"/>
        <w:jc w:val="right"/>
        <w:rPr>
          <w:rFonts w:cs="Arial"/>
        </w:rPr>
      </w:pPr>
      <w:r>
        <w:rPr>
          <w:rFonts w:cs="Arial" w:ascii="Arial" w:hAnsi="Arial"/>
        </w:rPr>
        <w:t>тыс.руб.</w:t>
      </w:r>
    </w:p>
    <w:tbl>
      <w:tblPr>
        <w:tblW w:w="10800" w:type="dxa"/>
        <w:jc w:val="left"/>
        <w:tblInd w:w="-3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8"/>
        <w:gridCol w:w="1701"/>
        <w:gridCol w:w="10"/>
        <w:gridCol w:w="1141"/>
        <w:gridCol w:w="10"/>
      </w:tblGrid>
      <w:tr>
        <w:trPr>
          <w:tblHeader w:val="true"/>
          <w:trHeight w:val="571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Наименование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 xml:space="preserve">Сумма 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/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17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0,0</w:t>
            </w:r>
          </w:p>
        </w:tc>
        <w:tc>
          <w:tcPr>
            <w:tcW w:w="1151" w:type="dxa"/>
            <w:tcBorders>
              <w:left w:val="single" w:sz="4" w:space="0" w:color="000000"/>
            </w:tcBorders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260" w:hRule="atLeast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0,0</w:t>
            </w:r>
          </w:p>
        </w:tc>
        <w:tc>
          <w:tcPr>
            <w:tcW w:w="1151" w:type="dxa"/>
            <w:gridSpan w:val="2"/>
            <w:tcBorders>
              <w:lef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</w:tbl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360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№5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23.12.2019 №33</w:t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  <w:t xml:space="preserve">Распределение бюджетных ассигнований </w:t>
      </w:r>
    </w:p>
    <w:p>
      <w:pPr>
        <w:pStyle w:val="Normal"/>
        <w:overflowPunct w:val="false"/>
        <w:autoSpaceDE w:val="false"/>
        <w:jc w:val="center"/>
        <w:textAlignment w:val="baseline"/>
        <w:rPr/>
      </w:pPr>
      <w:r>
        <w:rPr>
          <w:rFonts w:cs="Arial" w:ascii="Arial" w:hAnsi="Arial"/>
          <w:b/>
          <w:kern w:val="2"/>
        </w:rPr>
        <w:t>по целевым статьям (муниципальным программам и непрограммным направлениям деятельности), группам видов расходов классификации расходов бюджета                                          на 2020 год</w:t>
      </w:r>
    </w:p>
    <w:p>
      <w:pPr>
        <w:pStyle w:val="Normal"/>
        <w:overflowPunct w:val="false"/>
        <w:autoSpaceDE w:val="false"/>
        <w:jc w:val="right"/>
        <w:textAlignment w:val="baseline"/>
        <w:rPr>
          <w:rFonts w:cs="Arial"/>
        </w:rPr>
      </w:pPr>
      <w:r>
        <w:rPr>
          <w:rFonts w:cs="Arial" w:ascii="Arial" w:hAnsi="Arial"/>
          <w:kern w:val="2"/>
        </w:rPr>
        <w:t>(тыс. рублей)</w:t>
      </w:r>
    </w:p>
    <w:tbl>
      <w:tblPr>
        <w:tblW w:w="9229" w:type="dxa"/>
        <w:jc w:val="left"/>
        <w:tblInd w:w="9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2"/>
        <w:gridCol w:w="11"/>
        <w:gridCol w:w="1701"/>
        <w:gridCol w:w="1134"/>
        <w:gridCol w:w="1711"/>
      </w:tblGrid>
      <w:tr>
        <w:trPr>
          <w:tblHeader w:val="true"/>
          <w:trHeight w:val="143" w:hRule="atLeast"/>
        </w:trPr>
        <w:tc>
          <w:tcPr>
            <w:tcW w:w="4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2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7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blHeader w:val="true"/>
          <w:trHeight w:val="315" w:hRule="atLeast"/>
        </w:trPr>
        <w:tc>
          <w:tcPr>
            <w:tcW w:w="4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blHeader w:val="true"/>
          <w:trHeight w:val="637" w:hRule="atLeast"/>
        </w:trPr>
        <w:tc>
          <w:tcPr>
            <w:tcW w:w="4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1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Целевая статья расходов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71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/>
            </w:pPr>
            <w:r>
              <w:rPr>
                <w:rFonts w:cs="Arial" w:ascii="Arial" w:hAnsi="Arial"/>
                <w:b/>
                <w:bCs/>
              </w:rPr>
              <w:t>2637,4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2637,4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2637,4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Муниципальная программа «Пожарная безопасность объектов и населенных пунктов Шарангского муниципального района на 2018-2020годы»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08 0 30 03000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08 0  03 03000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11374,1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            </w:t>
            </w:r>
            <w:r>
              <w:rPr>
                <w:rFonts w:cs="Arial" w:ascii="Arial" w:hAnsi="Arial"/>
                <w:bCs/>
              </w:rPr>
              <w:t>11374,1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на компенсацию дополнительных расходов ,возникших в результате решений ,принятых органами власти другого уровня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10000,0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10000,0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Повышение финансовой самостоятельности бюджетов поселения района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1374,1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295,8</w:t>
            </w:r>
          </w:p>
        </w:tc>
      </w:tr>
      <w:tr>
        <w:trPr>
          <w:trHeight w:val="1164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выполнении функций государственными(муниципальными) органами ,казенными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14 2 20 51180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213,5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14 2 20 51180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           </w:t>
            </w:r>
            <w:r>
              <w:rPr>
                <w:rFonts w:cs="Arial" w:ascii="Arial" w:hAnsi="Arial"/>
                <w:bCs/>
              </w:rPr>
              <w:t>82,3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14 2 20 </w:t>
            </w:r>
            <w:r>
              <w:rPr>
                <w:rFonts w:cs="Arial" w:ascii="Arial" w:hAnsi="Arial"/>
                <w:bCs/>
                <w:lang w:val="en-US"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1078,3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14 2 20 </w:t>
            </w:r>
            <w:r>
              <w:rPr>
                <w:rFonts w:cs="Arial" w:ascii="Arial" w:hAnsi="Arial"/>
                <w:bCs/>
                <w:lang w:val="en-US"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1078,3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2018-2022годы"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19 0 00 00000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                  </w:t>
            </w:r>
            <w:r>
              <w:rPr>
                <w:rFonts w:cs="Arial" w:ascii="Arial" w:hAnsi="Arial"/>
                <w:b/>
                <w:bCs/>
              </w:rPr>
              <w:t>4354,6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Благоустройство территории общего пользования и мест массового отдыха населения р.п.Шаранга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19 2</w:t>
            </w:r>
            <w:r>
              <w:rPr>
                <w:rFonts w:cs="Arial" w:ascii="Arial" w:hAnsi="Arial"/>
                <w:bCs/>
                <w:lang w:val="en-US"/>
              </w:rPr>
              <w:t>F2 5555А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4354,6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19 2</w:t>
            </w:r>
            <w:r>
              <w:rPr>
                <w:rFonts w:cs="Arial" w:ascii="Arial" w:hAnsi="Arial"/>
                <w:bCs/>
                <w:lang w:val="en-US"/>
              </w:rPr>
              <w:t>F2 5555А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4354,6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</w:t>
            </w:r>
            <w:r>
              <w:rPr>
                <w:rFonts w:cs="Arial" w:ascii="Arial" w:hAnsi="Arial"/>
                <w:b/>
                <w:bCs/>
              </w:rPr>
              <w:t>26106,5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88 8 00 00000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 xml:space="preserve">26106,5       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88 8 01 00000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2757,0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1 761,6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1 185,9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575,7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803,6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803,6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Межбюджетные трансферты из бюджетов поселений бюджету муниципального района из 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88 8 03 00000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</w:t>
            </w:r>
            <w:r>
              <w:rPr>
                <w:rFonts w:cs="Arial" w:ascii="Arial" w:hAnsi="Arial"/>
                <w:b/>
                <w:bCs/>
              </w:rPr>
              <w:t>10362,9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10362,9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Межбюджетные трансферты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10362,9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Прочие непрограммные расходы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88 8 06 00000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</w:t>
            </w:r>
            <w:r>
              <w:rPr>
                <w:rFonts w:cs="Arial" w:ascii="Arial" w:hAnsi="Arial"/>
                <w:b/>
                <w:bCs/>
              </w:rPr>
              <w:t>12986,6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жилищного хозяйства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88 8 06 21801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88 8 06 21801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 </w:t>
            </w:r>
            <w:r>
              <w:rPr>
                <w:rFonts w:cs="Arial" w:ascii="Arial" w:hAnsi="Arial"/>
              </w:rPr>
              <w:t>4248,0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88 8 06 60102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4248,0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Озеленение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Организация и содержание мест захоронения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248,5</w:t>
            </w:r>
          </w:p>
        </w:tc>
      </w:tr>
      <w:tr>
        <w:trPr>
          <w:trHeight w:val="753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248,5</w:t>
            </w:r>
          </w:p>
        </w:tc>
      </w:tr>
      <w:tr>
        <w:trPr>
          <w:trHeight w:val="45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rFonts w:cs="Arial" w:ascii="Arial" w:hAnsi="Arial"/>
                <w:bCs/>
              </w:rPr>
              <w:t>7</w:t>
            </w:r>
            <w:r>
              <w:rPr>
                <w:rFonts w:cs="Arial" w:ascii="Arial" w:hAnsi="Arial"/>
                <w:bCs/>
                <w:lang w:val="en-US"/>
              </w:rPr>
              <w:t>320</w:t>
            </w:r>
            <w:r>
              <w:rPr>
                <w:rFonts w:cs="Arial" w:ascii="Arial" w:hAnsi="Arial"/>
                <w:bCs/>
              </w:rPr>
              <w:t>,</w:t>
            </w:r>
            <w:r>
              <w:rPr>
                <w:rFonts w:cs="Arial" w:ascii="Arial" w:hAnsi="Arial"/>
                <w:bCs/>
                <w:lang w:val="en-US"/>
              </w:rPr>
              <w:t>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rFonts w:cs="Arial" w:ascii="Arial" w:hAnsi="Arial"/>
                <w:bCs/>
              </w:rPr>
              <w:t>7</w:t>
            </w:r>
            <w:r>
              <w:rPr>
                <w:rFonts w:cs="Arial" w:ascii="Arial" w:hAnsi="Arial"/>
                <w:bCs/>
                <w:lang w:val="en-US"/>
              </w:rPr>
              <w:t>320</w:t>
            </w:r>
            <w:r>
              <w:rPr>
                <w:rFonts w:cs="Arial" w:ascii="Arial" w:hAnsi="Arial"/>
                <w:bCs/>
              </w:rPr>
              <w:t>,</w:t>
            </w:r>
            <w:r>
              <w:rPr>
                <w:rFonts w:cs="Arial" w:ascii="Arial" w:hAnsi="Arial"/>
                <w:bCs/>
                <w:lang w:val="en-US"/>
              </w:rPr>
              <w:t>7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73,0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" w:hAnsi="Arial"/>
                <w:bCs/>
              </w:rPr>
              <w:t xml:space="preserve">88 8 06 </w:t>
            </w:r>
            <w:r>
              <w:rPr>
                <w:rFonts w:cs="Arial" w:ascii="Arial" w:hAnsi="Arial"/>
                <w:bCs/>
                <w:lang w:val="en-US"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000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rFonts w:cs="Arial" w:ascii="Arial" w:hAnsi="Arial"/>
                <w:bCs/>
                <w:lang w:val="en-US"/>
              </w:rPr>
              <w:t>68</w:t>
            </w:r>
            <w:r>
              <w:rPr>
                <w:rFonts w:cs="Arial" w:ascii="Arial" w:hAnsi="Arial"/>
                <w:bCs/>
              </w:rPr>
              <w:t>,</w:t>
            </w:r>
            <w:r>
              <w:rPr>
                <w:rFonts w:cs="Arial" w:ascii="Arial" w:hAnsi="Arial"/>
                <w:bCs/>
                <w:lang w:val="en-US"/>
              </w:rPr>
              <w:t>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88 8 06 </w:t>
            </w:r>
            <w:r>
              <w:rPr>
                <w:rFonts w:cs="Arial" w:ascii="Arial" w:hAnsi="Arial"/>
                <w:bCs/>
                <w:lang w:val="en-US"/>
              </w:rPr>
              <w:t>S2190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  <w:lang w:val="en-US"/>
              </w:rPr>
            </w:pPr>
            <w:r>
              <w:rPr>
                <w:rFonts w:cs="Arial" w:ascii="Arial" w:hAnsi="Arial"/>
                <w:bCs/>
                <w:lang w:val="en-US"/>
              </w:rPr>
              <w:t>200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/>
            </w:pPr>
            <w:r>
              <w:rPr>
                <w:rFonts w:cs="Arial" w:ascii="Arial" w:hAnsi="Arial"/>
                <w:bCs/>
                <w:lang w:val="en-US"/>
              </w:rPr>
              <w:t>68</w:t>
            </w:r>
            <w:r>
              <w:rPr>
                <w:rFonts w:cs="Arial" w:ascii="Arial" w:hAnsi="Arial"/>
                <w:bCs/>
              </w:rPr>
              <w:t>,</w:t>
            </w:r>
            <w:r>
              <w:rPr>
                <w:rFonts w:cs="Arial" w:ascii="Arial" w:hAnsi="Arial"/>
                <w:bCs/>
                <w:lang w:val="en-US"/>
              </w:rPr>
              <w:t>4</w:t>
            </w:r>
          </w:p>
        </w:tc>
      </w:tr>
      <w:tr>
        <w:trPr>
          <w:trHeight w:val="315" w:hRule="atLeast"/>
        </w:trPr>
        <w:tc>
          <w:tcPr>
            <w:tcW w:w="46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  <w:b/>
              </w:rPr>
              <w:t xml:space="preserve"> </w:t>
            </w:r>
            <w:r>
              <w:rPr>
                <w:rFonts w:cs="Arial" w:ascii="Arial" w:hAnsi="Arial"/>
                <w:b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44494,1</w:t>
            </w:r>
          </w:p>
        </w:tc>
      </w:tr>
    </w:tbl>
    <w:p>
      <w:pPr>
        <w:pStyle w:val="Normal"/>
        <w:overflowPunct w:val="false"/>
        <w:autoSpaceDE w:val="false"/>
        <w:jc w:val="right"/>
        <w:textAlignment w:val="baseline"/>
        <w:rPr>
          <w:rFonts w:ascii="Arial" w:hAnsi="Arial" w:cs="Arial"/>
          <w:kern w:val="2"/>
        </w:rPr>
      </w:pPr>
      <w:r>
        <w:rPr>
          <w:rFonts w:cs="Arial" w:ascii="Arial" w:hAnsi="Arial"/>
          <w:kern w:val="2"/>
        </w:rPr>
      </w:r>
    </w:p>
    <w:p>
      <w:pPr>
        <w:pStyle w:val="Normal"/>
        <w:overflowPunct w:val="false"/>
        <w:autoSpaceDE w:val="false"/>
        <w:jc w:val="center"/>
        <w:textAlignment w:val="baseline"/>
        <w:rPr>
          <w:rFonts w:ascii="Arial" w:hAnsi="Arial" w:cs="Arial"/>
          <w:b/>
          <w:b/>
          <w:kern w:val="2"/>
        </w:rPr>
      </w:pPr>
      <w:r>
        <w:rPr>
          <w:rFonts w:cs="Arial" w:ascii="Arial" w:hAnsi="Arial"/>
          <w:b/>
          <w:kern w:val="2"/>
        </w:rPr>
      </w:r>
    </w:p>
    <w:p>
      <w:pPr>
        <w:pStyle w:val="Style20"/>
        <w:jc w:val="right"/>
        <w:rPr>
          <w:rFonts w:ascii="Arial" w:hAnsi="Arial" w:cs="Arial"/>
          <w:b w:val="false"/>
          <w:b w:val="false"/>
          <w:kern w:val="2"/>
          <w:sz w:val="20"/>
          <w:szCs w:val="20"/>
        </w:rPr>
      </w:pPr>
      <w:r>
        <w:rPr>
          <w:rFonts w:cs="Arial" w:ascii="Arial" w:hAnsi="Arial"/>
          <w:b w:val="false"/>
          <w:kern w:val="2"/>
          <w:sz w:val="20"/>
          <w:szCs w:val="20"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№6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23.12.2019 №33</w:t>
      </w:r>
    </w:p>
    <w:p>
      <w:pPr>
        <w:pStyle w:val="ConsPlusNormal1"/>
        <w:bidi w:val="0"/>
        <w:jc w:val="left"/>
        <w:rPr>
          <w:b/>
          <w:b/>
        </w:rPr>
      </w:pPr>
      <w:r>
        <w:rPr>
          <w:b/>
        </w:rPr>
        <w:t>Ведомственная структура расходов бюджета поселения на 2020 год</w:t>
      </w:r>
    </w:p>
    <w:tbl>
      <w:tblPr>
        <w:tblW w:w="9791" w:type="dxa"/>
        <w:jc w:val="left"/>
        <w:tblInd w:w="-606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6"/>
        <w:gridCol w:w="851"/>
        <w:gridCol w:w="28"/>
        <w:gridCol w:w="680"/>
        <w:gridCol w:w="709"/>
        <w:gridCol w:w="1701"/>
        <w:gridCol w:w="851"/>
        <w:gridCol w:w="1275"/>
        <w:gridCol w:w="10"/>
      </w:tblGrid>
      <w:tr>
        <w:trPr>
          <w:trHeight w:val="264" w:hRule="atLeast"/>
        </w:trPr>
        <w:tc>
          <w:tcPr>
            <w:tcW w:w="3686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79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5216" w:type="dxa"/>
            <w:gridSpan w:val="5"/>
            <w:tcBorders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(тыс. рублей)</w:t>
            </w:r>
          </w:p>
          <w:p>
            <w:pPr>
              <w:pStyle w:val="Normal"/>
              <w:jc w:val="right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64" w:hRule="atLeast"/>
        </w:trPr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48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6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Ведом-ство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Раздел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Подраздел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Целевая статья расходов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2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7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487</w:t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44494,1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Общегосударственные вопросы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2830,0</w:t>
            </w:r>
          </w:p>
        </w:tc>
      </w:tr>
      <w:tr>
        <w:trPr>
          <w:trHeight w:val="816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2565,2</w:t>
            </w:r>
          </w:p>
        </w:tc>
      </w:tr>
      <w:tr>
        <w:trPr>
          <w:trHeight w:val="447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2565,2</w:t>
            </w:r>
          </w:p>
        </w:tc>
      </w:tr>
      <w:tr>
        <w:trPr>
          <w:trHeight w:val="447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2565,2</w:t>
            </w:r>
          </w:p>
        </w:tc>
      </w:tr>
      <w:tr>
        <w:trPr>
          <w:trHeight w:val="343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ind w:firstLine="34"/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2565,2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1761,6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1185,9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88 8 01 20401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575,7</w:t>
            </w:r>
          </w:p>
        </w:tc>
      </w:tr>
      <w:tr>
        <w:trPr>
          <w:trHeight w:val="612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88 8 01 20800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803,6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88 8 01 20800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803,6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88 8 01 07005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261,8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 программное направление деятельности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3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261,8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88 8 01 93990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88 8 06 92035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 оборона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14 0 00 0000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выполнении функций государственными(муниципальными) 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213,5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02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14 2 20 51180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82,3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273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08 0 03 03000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21,5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экономика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2637,4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   </w:t>
            </w:r>
            <w:r>
              <w:rPr>
                <w:rFonts w:cs="Arial" w:ascii="Arial" w:hAnsi="Arial"/>
                <w:b/>
                <w:bCs/>
              </w:rPr>
              <w:t>2637,4</w:t>
            </w:r>
          </w:p>
        </w:tc>
      </w:tr>
      <w:tr>
        <w:trPr>
          <w:trHeight w:val="11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Муниципальная программа «Развитие транспортной системы в Шарангском муниципальном районе Нижегородской области на 2018-2020годы»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2637,4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Ремонт и содержание автомобильных дорог общего пользования в Шарангском мунипальном районе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2637,4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06 2 02 07080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2637,4           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</w:t>
            </w:r>
            <w:r>
              <w:rPr>
                <w:rFonts w:cs="Arial" w:ascii="Arial" w:hAnsi="Arial"/>
                <w:b/>
                <w:bCs/>
              </w:rPr>
              <w:t xml:space="preserve">28063,5 </w:t>
            </w:r>
          </w:p>
        </w:tc>
      </w:tr>
      <w:tr>
        <w:trPr>
          <w:trHeight w:val="493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Жилищное хозяйство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жилищного хозяйства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88 8 06 03503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Благоустройство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</w:t>
            </w:r>
            <w:r>
              <w:rPr>
                <w:rFonts w:cs="Arial" w:ascii="Arial" w:hAnsi="Arial"/>
                <w:b/>
                <w:bCs/>
              </w:rPr>
              <w:t>27588,5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11078,3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11078,3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Иные межбюджетные трансферты на компенсацию дополнительных расходов ,возникших в результате решений ,принятых органами власти другого уровня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10000,0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14 2 10 04516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10000,0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</w:t>
            </w:r>
            <w:r>
              <w:rPr>
                <w:rFonts w:cs="Arial" w:ascii="Arial" w:hAnsi="Arial"/>
                <w:bCs/>
              </w:rPr>
              <w:t xml:space="preserve">14 2 20 </w:t>
            </w:r>
            <w:r>
              <w:rPr>
                <w:rFonts w:cs="Arial" w:ascii="Arial" w:hAnsi="Arial"/>
                <w:bCs/>
                <w:lang w:val="en-US"/>
              </w:rPr>
              <w:t>S2190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1078,3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</w:t>
            </w:r>
            <w:r>
              <w:rPr>
                <w:rFonts w:cs="Arial" w:ascii="Arial" w:hAnsi="Arial"/>
                <w:bCs/>
              </w:rPr>
              <w:t xml:space="preserve">14 2 20 </w:t>
            </w:r>
            <w:r>
              <w:rPr>
                <w:rFonts w:cs="Arial" w:ascii="Arial" w:hAnsi="Arial"/>
                <w:bCs/>
                <w:lang w:val="en-US"/>
              </w:rPr>
              <w:t>S2190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1078,3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Муниципальная программа «Формирование комфортной городской среды р.п.Шаранга Шарангского муниципального района Нижегородской области на 2018-2022годы»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4354,6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Благоустройство территорий общего пользования и мест массового отдыха населения р.п.Шаранга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19 2 </w:t>
            </w:r>
            <w:r>
              <w:rPr>
                <w:rFonts w:cs="Arial" w:ascii="Arial" w:hAnsi="Arial"/>
                <w:bCs/>
                <w:lang w:val="en-US"/>
              </w:rPr>
              <w:t xml:space="preserve">F2 </w:t>
            </w:r>
            <w:r>
              <w:rPr>
                <w:rFonts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  <w:lang w:val="en-US"/>
              </w:rPr>
              <w:t>5555А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4354,6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19 2 </w:t>
            </w:r>
            <w:r>
              <w:rPr>
                <w:rFonts w:cs="Arial" w:ascii="Arial" w:hAnsi="Arial"/>
                <w:bCs/>
                <w:lang w:val="en-US"/>
              </w:rPr>
              <w:t xml:space="preserve">F2 </w:t>
            </w:r>
            <w:r>
              <w:rPr>
                <w:rFonts w:cs="Arial" w:ascii="Arial" w:hAnsi="Arial"/>
                <w:bCs/>
              </w:rPr>
              <w:t xml:space="preserve"> </w:t>
            </w:r>
            <w:r>
              <w:rPr>
                <w:rFonts w:cs="Arial" w:ascii="Arial" w:hAnsi="Arial"/>
                <w:bCs/>
                <w:lang w:val="en-US"/>
              </w:rPr>
              <w:t>5555А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4354,6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</w:t>
            </w:r>
            <w:r>
              <w:rPr>
                <w:rFonts w:cs="Arial" w:ascii="Arial" w:hAnsi="Arial"/>
                <w:b/>
                <w:bCs/>
              </w:rPr>
              <w:t>12155,6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12155,6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не 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12155,6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Уличное освещение за счет средств местного бюджета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88 8 06 60102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4248,0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88 8 06 60102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4248,0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Озеленение за счет средств местного бюджета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88 8 06 60302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270,0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Организация и содержание мест захоронения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248,5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88 8 06 60402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248,5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7320,7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88 8 06 60503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7320,7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" w:hAnsi="Arial"/>
                <w:bCs/>
              </w:rPr>
              <w:t xml:space="preserve">88 8 06 </w:t>
            </w:r>
            <w:r>
              <w:rPr>
                <w:rFonts w:cs="Arial" w:ascii="Arial" w:hAnsi="Arial"/>
                <w:bCs/>
                <w:lang w:val="en-US"/>
              </w:rPr>
              <w:t>S</w:t>
            </w:r>
            <w:r>
              <w:rPr>
                <w:rFonts w:cs="Arial" w:ascii="Arial" w:hAnsi="Arial"/>
                <w:bCs/>
              </w:rPr>
              <w:t>2190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68,4</w:t>
            </w:r>
          </w:p>
        </w:tc>
      </w:tr>
      <w:tr>
        <w:trPr>
          <w:trHeight w:val="408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" w:hAnsi="Arial"/>
                <w:bCs/>
              </w:rPr>
              <w:t xml:space="preserve">88 8 06 </w:t>
            </w:r>
            <w:r>
              <w:rPr>
                <w:rFonts w:cs="Arial" w:ascii="Arial" w:hAnsi="Arial"/>
                <w:bCs/>
                <w:lang w:val="en-US"/>
              </w:rPr>
              <w:t>S</w:t>
            </w:r>
            <w:r>
              <w:rPr>
                <w:rFonts w:cs="Arial" w:ascii="Arial" w:hAnsi="Arial"/>
                <w:bCs/>
              </w:rPr>
              <w:t>2190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68,4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Культура, кинематография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</w:t>
            </w:r>
            <w:r>
              <w:rPr>
                <w:rFonts w:cs="Arial" w:ascii="Arial" w:hAnsi="Arial"/>
                <w:b/>
                <w:bCs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</w:t>
            </w:r>
            <w:r>
              <w:rPr>
                <w:rFonts w:cs="Arial" w:ascii="Arial" w:hAnsi="Arial"/>
                <w:b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   </w:t>
            </w:r>
            <w:r>
              <w:rPr>
                <w:rFonts w:cs="Arial" w:ascii="Arial" w:hAnsi="Arial"/>
                <w:bCs/>
              </w:rPr>
              <w:t>10362,9</w:t>
            </w:r>
          </w:p>
        </w:tc>
      </w:tr>
      <w:tr>
        <w:trPr>
          <w:trHeight w:val="816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10362,9</w:t>
            </w:r>
          </w:p>
        </w:tc>
      </w:tr>
      <w:tr>
        <w:trPr>
          <w:trHeight w:val="816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Межбюджетные трансферты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88 8 03 02106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Социальная политика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283,0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88 8 06 21801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88 8 06 21801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88 0 00 00000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88 8 00 00000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Прочие непрограммные расходы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88 8 06 00000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06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>88 8 06 14010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Всего расходов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8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44494,1</w:t>
            </w:r>
          </w:p>
        </w:tc>
      </w:tr>
    </w:tbl>
    <w:p>
      <w:pPr>
        <w:pStyle w:val="ConsPlusNormal1"/>
        <w:bidi w:val="0"/>
        <w:jc w:val="left"/>
        <w:rPr>
          <w:b/>
          <w:b/>
        </w:rPr>
      </w:pPr>
      <w:r>
        <w:rPr>
          <w:b/>
        </w:rPr>
      </w:r>
    </w:p>
    <w:p>
      <w:pPr>
        <w:pStyle w:val="ConsPlusNormal1"/>
        <w:bidi w:val="0"/>
        <w:jc w:val="left"/>
        <w:rPr>
          <w:b/>
          <w:b/>
        </w:rPr>
      </w:pPr>
      <w:r>
        <w:rPr>
          <w:b/>
        </w:rPr>
      </w:r>
    </w:p>
    <w:p>
      <w:pPr>
        <w:pStyle w:val="Style20"/>
        <w:jc w:val="right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Приложение №7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к  решению поселкового Совета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 xml:space="preserve">рабочего посёлка Шаранга 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Шарангского муниципального района</w:t>
      </w:r>
    </w:p>
    <w:p>
      <w:pPr>
        <w:pStyle w:val="Style20"/>
        <w:jc w:val="right"/>
        <w:rPr>
          <w:rFonts w:ascii="Arial" w:hAnsi="Arial" w:cs="Arial"/>
          <w:b w:val="false"/>
          <w:b w:val="false"/>
          <w:sz w:val="20"/>
          <w:szCs w:val="20"/>
        </w:rPr>
      </w:pPr>
      <w:r>
        <w:rPr>
          <w:rFonts w:cs="Arial" w:ascii="Arial" w:hAnsi="Arial"/>
          <w:b w:val="false"/>
          <w:sz w:val="20"/>
          <w:szCs w:val="20"/>
        </w:rPr>
        <w:t>Нижегородской области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«О бюджете поселения на 2020 год»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23.12.2019 №33</w:t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Normal"/>
        <w:jc w:val="center"/>
        <w:rPr>
          <w:rFonts w:cs="Arial"/>
        </w:rPr>
      </w:pPr>
      <w:r>
        <w:rPr>
          <w:rFonts w:cs="Arial" w:ascii="Arial" w:hAnsi="Arial"/>
          <w:b/>
        </w:rPr>
        <w:t>Распределение бюджетных ассигнований по разделам, подразделам, группам видов расходов классификации расходов бюджета поселения на 2020 год</w:t>
      </w:r>
    </w:p>
    <w:tbl>
      <w:tblPr>
        <w:tblW w:w="9791" w:type="dxa"/>
        <w:jc w:val="left"/>
        <w:tblInd w:w="-606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1"/>
        <w:gridCol w:w="1134"/>
        <w:gridCol w:w="1276"/>
        <w:gridCol w:w="1559"/>
        <w:gridCol w:w="2561"/>
      </w:tblGrid>
      <w:tr>
        <w:trPr>
          <w:trHeight w:val="264" w:hRule="atLeast"/>
        </w:trPr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39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25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Сумма</w:t>
            </w:r>
          </w:p>
        </w:tc>
      </w:tr>
      <w:tr>
        <w:trPr>
          <w:trHeight w:val="408" w:hRule="atLeast"/>
        </w:trPr>
        <w:tc>
          <w:tcPr>
            <w:tcW w:w="326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Раздел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Подраздел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256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Общегосударственные вопросы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2 830,0</w:t>
            </w:r>
          </w:p>
        </w:tc>
      </w:tr>
      <w:tr>
        <w:trPr>
          <w:trHeight w:val="1241" w:hRule="atLeast"/>
          <w:cantSplit w:val="true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2 565,2</w:t>
            </w:r>
          </w:p>
        </w:tc>
      </w:tr>
      <w:tr>
        <w:trPr>
          <w:trHeight w:val="154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100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1989,5</w:t>
            </w:r>
          </w:p>
        </w:tc>
      </w:tr>
      <w:tr>
        <w:trPr>
          <w:trHeight w:val="447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575,7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Резервные фонды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Другие общегосударственные вопросы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261,8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Прочие выплаты по обязательствам муниципального образования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 оборона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02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295,8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213,5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82,3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21,5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21,5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экономика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2637,4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Дорожное хозяйство (дорожные фонды)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     </w:t>
            </w:r>
            <w:r>
              <w:rPr>
                <w:rFonts w:cs="Arial" w:ascii="Arial" w:hAnsi="Arial"/>
                <w:bCs/>
              </w:rPr>
              <w:t xml:space="preserve">2637,4 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04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09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2637,4</w:t>
            </w:r>
          </w:p>
        </w:tc>
      </w:tr>
      <w:tr>
        <w:trPr>
          <w:trHeight w:val="719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               </w:t>
            </w:r>
            <w:r>
              <w:rPr>
                <w:rFonts w:cs="Arial" w:ascii="Arial" w:hAnsi="Arial"/>
                <w:b/>
                <w:bCs/>
              </w:rPr>
              <w:t>28063,5</w:t>
            </w:r>
          </w:p>
        </w:tc>
      </w:tr>
      <w:tr>
        <w:trPr>
          <w:trHeight w:val="27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Жилищное хозяйство</w:t>
            </w:r>
          </w:p>
          <w:p>
            <w:pPr>
              <w:pStyle w:val="Normal"/>
              <w:numPr>
                <w:ilvl w:val="0"/>
                <w:numId w:val="0"/>
              </w:numPr>
              <w:ind w:left="-391" w:hanging="0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eastAsia="Arial" w:cs="Arial" w:ascii="Arial" w:hAnsi="Arial"/>
                <w:bCs/>
              </w:rPr>
              <w:t xml:space="preserve">          </w:t>
            </w: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1066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475,0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Благоустройство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27588,5</w:t>
            </w:r>
          </w:p>
        </w:tc>
      </w:tr>
      <w:tr>
        <w:trPr>
          <w:trHeight w:val="408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05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27588,5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Культура, кинематография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</w:t>
            </w:r>
            <w:r>
              <w:rPr>
                <w:rFonts w:cs="Arial" w:ascii="Arial" w:hAnsi="Arial"/>
                <w:b/>
                <w:bCs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Культура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08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  </w:t>
            </w:r>
            <w:r>
              <w:rPr>
                <w:rFonts w:cs="Arial" w:ascii="Arial" w:hAnsi="Arial"/>
                <w:b/>
                <w:bCs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</w:rPr>
              <w:t xml:space="preserve"> </w:t>
            </w:r>
            <w:r>
              <w:rPr>
                <w:rFonts w:cs="Arial" w:ascii="Arial" w:hAnsi="Arial"/>
              </w:rPr>
              <w:t>Межбюджетные трансферты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08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eastAsia="Arial" w:cs="Arial" w:ascii="Arial" w:hAnsi="Arial"/>
                <w:bCs/>
              </w:rPr>
              <w:t xml:space="preserve">             </w:t>
            </w:r>
            <w:r>
              <w:rPr>
                <w:rFonts w:cs="Arial" w:ascii="Arial" w:hAnsi="Arial"/>
                <w:bCs/>
              </w:rPr>
              <w:t>10362,9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Социальная политика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283,0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населения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Cs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300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</w:tr>
      <w:tr>
        <w:trPr>
          <w:trHeight w:val="375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268,0</w:t>
            </w:r>
          </w:p>
        </w:tc>
      </w:tr>
      <w:tr>
        <w:trPr>
          <w:trHeight w:val="264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  <w:bCs/>
              </w:rPr>
              <w:t xml:space="preserve">Закупка товаров, работ и услуг для обеспечения государственных (муниципальных) нужд                 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06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200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268,0</w:t>
            </w:r>
          </w:p>
        </w:tc>
      </w:tr>
      <w:tr>
        <w:trPr>
          <w:trHeight w:val="313" w:hRule="atLeast"/>
        </w:trPr>
        <w:tc>
          <w:tcPr>
            <w:tcW w:w="326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Всего расходов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4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559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eastAsia="Arial" w:cs="Arial" w:ascii="Arial" w:hAnsi="Arial"/>
                <w:b/>
                <w:bCs/>
              </w:rPr>
              <w:t xml:space="preserve">            </w:t>
            </w:r>
            <w:r>
              <w:rPr>
                <w:rFonts w:cs="Arial" w:ascii="Arial" w:hAnsi="Arial"/>
                <w:b/>
                <w:bCs/>
              </w:rPr>
              <w:t>44494,1</w:t>
            </w:r>
          </w:p>
        </w:tc>
      </w:tr>
    </w:tbl>
    <w:p>
      <w:pPr>
        <w:pStyle w:val="Normal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  <w:font w:name="Times New Roman CYR">
    <w:charset w:val="cc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2">
    <w:name w:val="Текст выноски Знак"/>
    <w:basedOn w:val="Style11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Style13">
    <w:name w:val="Основной текст Знак"/>
    <w:basedOn w:val="Style11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character" w:styleId="ConsPlusNormal">
    <w:name w:val="ConsPlusNormal Знак"/>
    <w:basedOn w:val="Style11"/>
    <w:qFormat/>
    <w:rPr>
      <w:rFonts w:ascii="Arial" w:hAnsi="Arial" w:eastAsia="Times New Roman" w:cs="Arial"/>
      <w:lang w:val="ru-RU" w:bidi="ar-SA"/>
    </w:rPr>
  </w:style>
  <w:style w:type="character" w:styleId="21">
    <w:name w:val="Заголовок 2 Знак"/>
    <w:basedOn w:val="Style11"/>
    <w:qFormat/>
    <w:rPr>
      <w:rFonts w:ascii="Arial" w:hAnsi="Arial" w:eastAsia="Times New Roman" w:cs="Arial"/>
      <w:sz w:val="24"/>
    </w:rPr>
  </w:style>
  <w:style w:type="character" w:styleId="31">
    <w:name w:val="Заголовок 3 Знак"/>
    <w:basedOn w:val="Style11"/>
    <w:qFormat/>
    <w:rPr>
      <w:rFonts w:ascii="Arial" w:hAnsi="Arial" w:eastAsia="Times New Roman" w:cs="Arial"/>
      <w:b/>
      <w:bCs/>
      <w:sz w:val="22"/>
    </w:rPr>
  </w:style>
  <w:style w:type="character" w:styleId="Style14">
    <w:name w:val="Основной текст с отступом Знак"/>
    <w:basedOn w:val="Style11"/>
    <w:qFormat/>
    <w:rPr>
      <w:rFonts w:ascii="Arial" w:hAnsi="Arial" w:eastAsia="Times New Roman" w:cs="Arial"/>
      <w:sz w:val="26"/>
    </w:rPr>
  </w:style>
  <w:style w:type="character" w:styleId="22">
    <w:name w:val="Основной текст с отступом 2 Знак"/>
    <w:basedOn w:val="Style11"/>
    <w:qFormat/>
    <w:rPr>
      <w:rFonts w:ascii="Arial" w:hAnsi="Arial" w:eastAsia="Times New Roman" w:cs="Arial"/>
      <w:sz w:val="26"/>
    </w:rPr>
  </w:style>
  <w:style w:type="character" w:styleId="Style15">
    <w:name w:val="Верхний колонтитул Знак"/>
    <w:basedOn w:val="Style11"/>
    <w:qFormat/>
    <w:rPr>
      <w:rFonts w:ascii="Times New Roman" w:hAnsi="Times New Roman" w:eastAsia="Times New Roman" w:cs="Times New Roman"/>
    </w:rPr>
  </w:style>
  <w:style w:type="character" w:styleId="Style16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rFonts w:ascii="Arial" w:hAnsi="Arial" w:eastAsia="Times New Roman" w:cs="Arial"/>
      <w:sz w:val="24"/>
    </w:rPr>
  </w:style>
  <w:style w:type="character" w:styleId="32">
    <w:name w:val="Основной текст 3 Знак"/>
    <w:basedOn w:val="Style11"/>
    <w:qFormat/>
    <w:rPr>
      <w:rFonts w:ascii="Arial" w:hAnsi="Arial" w:eastAsia="Times New Roman" w:cs="Arial"/>
      <w:b/>
      <w:bCs/>
      <w:sz w:val="26"/>
    </w:rPr>
  </w:style>
  <w:style w:type="character" w:styleId="Style17">
    <w:name w:val="Текст Знак"/>
    <w:basedOn w:val="Style11"/>
    <w:qFormat/>
    <w:rPr>
      <w:rFonts w:ascii="Courier New" w:hAnsi="Courier New" w:eastAsia="Times New Roman" w:cs="Courier New"/>
    </w:rPr>
  </w:style>
  <w:style w:type="character" w:styleId="33">
    <w:name w:val="Основной текст с отступом 3 Знак"/>
    <w:basedOn w:val="Style11"/>
    <w:qFormat/>
    <w:rPr>
      <w:rFonts w:ascii="Arial" w:hAnsi="Arial" w:eastAsia="MS Mincho;ＭＳ 明朝" w:cs="Arial"/>
      <w:sz w:val="24"/>
    </w:rPr>
  </w:style>
  <w:style w:type="character" w:styleId="Style18">
    <w:name w:val="Нижний колонтитул Знак"/>
    <w:basedOn w:val="Style11"/>
    <w:qFormat/>
    <w:rPr>
      <w:rFonts w:ascii="Times New Roman" w:hAnsi="Times New Roman" w:eastAsia="Times New Roman" w:cs="Times New Roman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paragraph" w:styleId="Style19">
    <w:name w:val="Заголовок"/>
    <w:next w:val="Style20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20">
    <w:name w:val="Body Text"/>
    <w:basedOn w:val="Normal"/>
    <w:pPr>
      <w:jc w:val="center"/>
    </w:pPr>
    <w:rPr>
      <w:b/>
      <w:bCs/>
      <w:sz w:val="28"/>
      <w:szCs w:val="24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5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6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7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8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29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30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31">
    <w:name w:val="Footer"/>
    <w:basedOn w:val="Normal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sz w:val="24"/>
      <w:szCs w:val="24"/>
    </w:rPr>
  </w:style>
  <w:style w:type="paragraph" w:styleId="Style210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2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3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Style34">
    <w:name w:val="Содержимое таблицы"/>
    <w:basedOn w:val="Normal"/>
    <w:qFormat/>
    <w:pPr>
      <w:suppressLineNumbers/>
    </w:pPr>
    <w:rPr/>
  </w:style>
  <w:style w:type="paragraph" w:styleId="Style35">
    <w:name w:val="Заголовок таблицы"/>
    <w:basedOn w:val="Style3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1011</TotalTime>
  <Application>LibreOffice/6.4.2.2$Windows_X86_64 LibreOffice_project/4e471d8c02c9c90f512f7f9ead8875b57fcb1ec3</Application>
  <Pages>33</Pages>
  <Words>3760</Words>
  <Characters>24439</Characters>
  <CharactersWithSpaces>27837</CharactersWithSpaces>
  <Paragraphs>1137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2019-11-26T16:31:00Z</cp:lastPrinted>
  <dcterms:modified xsi:type="dcterms:W3CDTF">2020-03-31T07:36:00Z</dcterms:modified>
  <cp:revision>82</cp:revision>
  <dc:subject/>
  <dc:title/>
</cp:coreProperties>
</file>