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28.12.2020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12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6"/>
        <w:spacing w:lineRule="auto" w:line="240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О наделении полномочиями администратора</w:t>
      </w:r>
    </w:p>
    <w:p>
      <w:pPr>
        <w:pStyle w:val="Style16"/>
        <w:spacing w:lineRule="auto" w:line="240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доходов бюджета на 2021 год</w:t>
      </w:r>
    </w:p>
    <w:p>
      <w:pPr>
        <w:pStyle w:val="Style16"/>
        <w:spacing w:lineRule="auto" w:line="24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Style16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eastAsia="Arial" w:cs="Arial"/>
          <w:b w:val="false"/>
          <w:sz w:val="22"/>
          <w:szCs w:val="22"/>
        </w:rPr>
        <w:t xml:space="preserve">                 </w:t>
      </w:r>
      <w:r>
        <w:rPr>
          <w:rFonts w:cs="Arial"/>
          <w:b w:val="false"/>
          <w:sz w:val="22"/>
          <w:szCs w:val="22"/>
        </w:rPr>
        <w:t>В соответствии со статьей 160.1 Бюджетного кодекса Российской Федерации:</w:t>
      </w:r>
    </w:p>
    <w:p>
      <w:pPr>
        <w:pStyle w:val="Style16"/>
        <w:spacing w:lineRule="auto" w:line="240"/>
        <w:jc w:val="both"/>
        <w:rPr/>
      </w:pPr>
      <w:r>
        <w:rPr>
          <w:rFonts w:eastAsia="Arial" w:cs="Arial"/>
          <w:b w:val="false"/>
          <w:sz w:val="22"/>
          <w:szCs w:val="22"/>
        </w:rPr>
        <w:t xml:space="preserve">            </w:t>
      </w:r>
      <w:r>
        <w:rPr>
          <w:rFonts w:cs="Arial"/>
          <w:b w:val="false"/>
          <w:sz w:val="22"/>
          <w:szCs w:val="22"/>
        </w:rPr>
        <w:t>1. Закрепить за  Администрацией рабочего поселка Шаранга Шарангского муниципального района Нижегородской области  (код главного администратора 487) источники доходов по кодам бюджетной классификации Российской Федерации согласно приложению 1.</w:t>
      </w:r>
    </w:p>
    <w:p>
      <w:pPr>
        <w:pStyle w:val="Style16"/>
        <w:spacing w:lineRule="auto" w:line="240"/>
        <w:jc w:val="both"/>
        <w:rPr/>
      </w:pPr>
      <w:r>
        <w:rPr>
          <w:rFonts w:eastAsia="Arial" w:cs="Arial"/>
          <w:b w:val="false"/>
          <w:sz w:val="22"/>
          <w:szCs w:val="22"/>
        </w:rPr>
        <w:t xml:space="preserve">           </w:t>
      </w:r>
      <w:r>
        <w:rPr>
          <w:rFonts w:cs="Arial"/>
          <w:b w:val="false"/>
          <w:sz w:val="22"/>
          <w:szCs w:val="22"/>
        </w:rPr>
        <w:t xml:space="preserve">2.Наделить </w:t>
      </w:r>
      <w:r>
        <w:rPr>
          <w:b w:val="false"/>
          <w:sz w:val="22"/>
          <w:szCs w:val="22"/>
        </w:rPr>
        <w:t xml:space="preserve">Администрацию рабочего поселка Шаранга  Шарангского муниципального  района Нижегородской области </w:t>
      </w:r>
      <w:r>
        <w:rPr>
          <w:rFonts w:cs="Arial"/>
          <w:b w:val="false"/>
          <w:sz w:val="22"/>
          <w:szCs w:val="22"/>
        </w:rPr>
        <w:t>следующими полномочиями администратора доходов  бюджета поселения:</w:t>
      </w:r>
    </w:p>
    <w:p>
      <w:pPr>
        <w:pStyle w:val="Style16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>- начисление, учет и контроль за правильностью исчисления, полнотой и своевременностью  осуществления платежей в бюджет, пеней и штрафов по ним;</w:t>
      </w:r>
    </w:p>
    <w:p>
      <w:pPr>
        <w:pStyle w:val="Style16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>- взыскание задолженности по платежам в бюджет, пеней и штрафов;</w:t>
      </w:r>
    </w:p>
    <w:p>
      <w:pPr>
        <w:pStyle w:val="Style16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>- принятие решений о возврате излишне уплаченных (взысканных) платежей в бюджет,  пеней и штрафов, а также процентов за несвоевременное осуществление такого возврата и процентов, начисленных на излишне взысканные суммы, и представление документов  в Управление федерального казначейства по Нижегородской области   для осуществления возврата в порядке, установленном Министерством финансов Российской Федерации;</w:t>
      </w:r>
    </w:p>
    <w:p>
      <w:pPr>
        <w:pStyle w:val="Style16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>- принятие решения о зачете (уточнении) платежей в районный бюджет и представление  уведомлений в Управление федерального казначейства по Нижегородской области;</w:t>
      </w:r>
    </w:p>
    <w:p>
      <w:pPr>
        <w:pStyle w:val="ConsPlusNormal1"/>
        <w:ind w:hanging="0"/>
        <w:jc w:val="both"/>
        <w:rPr>
          <w:sz w:val="22"/>
          <w:szCs w:val="22"/>
        </w:rPr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>- предоставление информации, необходимой для уплаты денежных средств физическими и юридическими лицами за государственные и муниципальные услуги, а также иных платежей, являющихся источниками формирования доходов бюджетов бюджетной системы Российской Федерации, в Государственную информационную систему о государственных и муниципальных платежах в соответствии с порядком, установленным Федеральном законом от 27 июля 2010 года N 210-ФЗ "Об организации предоставления государственных и муниципальных услуг";</w:t>
      </w:r>
    </w:p>
    <w:p>
      <w:pPr>
        <w:pStyle w:val="Style16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>- формирование и представление сведений и бюджетной отчетности, необходимой для осуществления полномочий администратора доходов бюджета;</w:t>
      </w:r>
    </w:p>
    <w:p>
      <w:pPr>
        <w:pStyle w:val="Style16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eastAsia="Arial" w:cs="Arial"/>
          <w:b w:val="false"/>
          <w:sz w:val="22"/>
          <w:szCs w:val="22"/>
        </w:rPr>
        <w:t xml:space="preserve"> </w:t>
      </w:r>
      <w:r>
        <w:rPr>
          <w:rFonts w:cs="Arial"/>
          <w:b w:val="false"/>
          <w:sz w:val="22"/>
          <w:szCs w:val="22"/>
        </w:rPr>
        <w:t xml:space="preserve">- принятие решений о признании безнадежной к взысканию задолженности по платежам в бюджет; </w:t>
      </w:r>
    </w:p>
    <w:p>
      <w:pPr>
        <w:pStyle w:val="Style16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eastAsia="Arial" w:cs="Arial"/>
          <w:b w:val="false"/>
          <w:sz w:val="22"/>
          <w:szCs w:val="22"/>
        </w:rPr>
        <w:t xml:space="preserve"> </w:t>
      </w:r>
      <w:r>
        <w:rPr>
          <w:rFonts w:cs="Arial"/>
          <w:b w:val="false"/>
          <w:sz w:val="22"/>
          <w:szCs w:val="22"/>
        </w:rPr>
        <w:t>- осуществление иных бюджетных полномочий, установленных Бюджетным кодексом Российской Федерации и принятие в соответствии с ним муниципальных правовых актов, регулирующих бюджетные правоотношения.</w:t>
      </w:r>
    </w:p>
    <w:p>
      <w:pPr>
        <w:pStyle w:val="Style16"/>
        <w:spacing w:lineRule="auto" w:line="240"/>
        <w:jc w:val="both"/>
        <w:rPr/>
      </w:pPr>
      <w:r>
        <w:rPr>
          <w:rFonts w:eastAsia="Arial" w:cs="Arial"/>
          <w:b w:val="false"/>
          <w:sz w:val="22"/>
          <w:szCs w:val="22"/>
        </w:rPr>
        <w:t xml:space="preserve">           </w:t>
      </w:r>
      <w:r>
        <w:rPr>
          <w:rFonts w:cs="Arial"/>
          <w:b w:val="false"/>
          <w:sz w:val="22"/>
          <w:szCs w:val="22"/>
        </w:rPr>
        <w:t xml:space="preserve">3. Считать утратившим силу с 1 января 2021 года распоряжение администрации рабочего поселка Шаранга Шарангского муниципального  района от 30 декабря  2019 года № 17 «О наделении полномочиями администратора доходов бюджета на 2020 год» с внесенными в него изменениями и дополнениями. </w:t>
      </w:r>
    </w:p>
    <w:p>
      <w:pPr>
        <w:pStyle w:val="Style16"/>
        <w:spacing w:lineRule="auto" w:line="240"/>
        <w:ind w:left="75" w:hanging="0"/>
        <w:jc w:val="both"/>
        <w:rPr/>
      </w:pPr>
      <w:r>
        <w:rPr>
          <w:rFonts w:eastAsia="Arial" w:cs="Arial"/>
          <w:b w:val="false"/>
          <w:sz w:val="22"/>
          <w:szCs w:val="22"/>
        </w:rPr>
        <w:t xml:space="preserve">        </w:t>
      </w:r>
      <w:r>
        <w:rPr>
          <w:rFonts w:cs="Arial"/>
          <w:b w:val="false"/>
          <w:sz w:val="22"/>
          <w:szCs w:val="22"/>
        </w:rPr>
        <w:t>4.  Контроль за исполнением настоящего распоряжения оставляю за собой.</w:t>
      </w:r>
    </w:p>
    <w:p>
      <w:pPr>
        <w:pStyle w:val="Style16"/>
        <w:spacing w:lineRule="auto" w:line="240"/>
        <w:ind w:left="75" w:hanging="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>УТВЕРЖДЕН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распоряжением администрации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Style16"/>
        <w:spacing w:lineRule="auto" w:line="240"/>
        <w:jc w:val="right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 xml:space="preserve">от 28.12.2020 №12 </w:t>
      </w:r>
    </w:p>
    <w:p>
      <w:pPr>
        <w:pStyle w:val="Style16"/>
        <w:spacing w:lineRule="auto" w:line="24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Перечень источников доходов  бюджета поселения, полномочия по администрированию которых возложены  на администрацию рабочего поселка Шаранга Шарангского муниципального района Нижегородской области</w:t>
      </w:r>
    </w:p>
    <w:p>
      <w:pPr>
        <w:pStyle w:val="Style16"/>
        <w:spacing w:lineRule="auto" w:line="24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tbl>
      <w:tblPr>
        <w:tblW w:w="9808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410"/>
        <w:gridCol w:w="6439"/>
      </w:tblGrid>
      <w:tr>
        <w:trPr>
          <w:trHeight w:val="797" w:hRule="atLeast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napToGrid w:val="false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</w:tc>
        <w:tc>
          <w:tcPr>
            <w:tcW w:w="6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530" w:hRule="atLeast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11105013130000120</w:t>
            </w:r>
          </w:p>
        </w:tc>
        <w:tc>
          <w:tcPr>
            <w:tcW w:w="6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Доходы, полученные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</w:tr>
      <w:tr>
        <w:trPr>
          <w:trHeight w:val="1144" w:hRule="atLeast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11406013130000430</w:t>
            </w:r>
          </w:p>
        </w:tc>
        <w:tc>
          <w:tcPr>
            <w:tcW w:w="6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городских поселений</w:t>
            </w:r>
          </w:p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</w:tc>
      </w:tr>
      <w:tr>
        <w:trPr/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11406025130000430</w:t>
            </w:r>
          </w:p>
        </w:tc>
        <w:tc>
          <w:tcPr>
            <w:tcW w:w="6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Доходы от продажи земельных участков, находящихся в собственности городских поселений(за исключением земельных участков муниципальных бюджетных и автономных учреждений)</w:t>
            </w:r>
          </w:p>
        </w:tc>
      </w:tr>
      <w:tr>
        <w:trPr/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  <w:lang w:val="en-US"/>
              </w:rPr>
            </w:pPr>
            <w:r>
              <w:rPr>
                <w:rFonts w:cs="Arial"/>
                <w:b w:val="false"/>
                <w:sz w:val="20"/>
                <w:lang w:val="en-US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11701050130000180</w:t>
            </w:r>
          </w:p>
        </w:tc>
        <w:tc>
          <w:tcPr>
            <w:tcW w:w="6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Невыясненные поступления, зачисляемые в бюджеты городских поселений</w:t>
            </w:r>
          </w:p>
        </w:tc>
      </w:tr>
      <w:tr>
        <w:trPr/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11705050130000180</w:t>
            </w:r>
          </w:p>
        </w:tc>
        <w:tc>
          <w:tcPr>
            <w:tcW w:w="6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Прочие неналоговые доходы бюджетов городских  поселений</w:t>
            </w:r>
          </w:p>
        </w:tc>
      </w:tr>
      <w:tr>
        <w:trPr/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20215001130000150</w:t>
            </w:r>
          </w:p>
        </w:tc>
        <w:tc>
          <w:tcPr>
            <w:tcW w:w="6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 xml:space="preserve">Дотации бюджетам городских поселений на выравнивание бюджетной обеспеченности </w:t>
            </w:r>
          </w:p>
        </w:tc>
      </w:tr>
      <w:tr>
        <w:trPr/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20235118130110150</w:t>
            </w:r>
          </w:p>
        </w:tc>
        <w:tc>
          <w:tcPr>
            <w:tcW w:w="6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 xml:space="preserve">Субвенции бюджетам городских поселений на осуществление первичного воинского учета на территориях, где отсутствуют военные комиссариаты за счет средств федерального бюджета </w:t>
            </w:r>
          </w:p>
        </w:tc>
      </w:tr>
      <w:tr>
        <w:trPr/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 </w:t>
            </w:r>
            <w:r>
              <w:rPr>
                <w:rFonts w:cs="Arial"/>
                <w:b w:val="false"/>
                <w:sz w:val="20"/>
              </w:rPr>
              <w:t xml:space="preserve">20245160130000150  </w:t>
            </w:r>
          </w:p>
        </w:tc>
        <w:tc>
          <w:tcPr>
            <w:tcW w:w="6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Межбюджетные трансферты, передаваемые бюджетам городских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>
        <w:trPr/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 </w:t>
            </w:r>
            <w:r>
              <w:rPr>
                <w:rFonts w:cs="Arial"/>
                <w:b w:val="false"/>
                <w:sz w:val="20"/>
              </w:rPr>
              <w:t>20249999130000150</w:t>
            </w:r>
          </w:p>
        </w:tc>
        <w:tc>
          <w:tcPr>
            <w:tcW w:w="6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 xml:space="preserve">Прочие межбюджетные трансферты, передаваемые бюджетам городских поселений </w:t>
            </w:r>
          </w:p>
        </w:tc>
      </w:tr>
      <w:tr>
        <w:trPr/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20249000139000150</w:t>
            </w:r>
          </w:p>
        </w:tc>
        <w:tc>
          <w:tcPr>
            <w:tcW w:w="6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Прочие межбюджетные трансферты, передаваемые бюджетам городских поселений по проекту по поддержке местных инициатив</w:t>
            </w:r>
          </w:p>
        </w:tc>
      </w:tr>
      <w:tr>
        <w:trPr>
          <w:trHeight w:val="1479" w:hRule="atLeast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204 05099139000150</w:t>
            </w:r>
          </w:p>
        </w:tc>
        <w:tc>
          <w:tcPr>
            <w:tcW w:w="6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Прочие безвозмездные поступления от негосударственных организаций в бюджеты городских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</w:tr>
      <w:tr>
        <w:trPr>
          <w:trHeight w:val="802" w:hRule="atLeast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20705030139000150</w:t>
            </w:r>
          </w:p>
        </w:tc>
        <w:tc>
          <w:tcPr>
            <w:tcW w:w="6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Прочие безвозмездные поступления в бюджеты  городских поселений (средства безвозмездных поступлений от физических лиц по проекту по поддержке местных инициатив)</w:t>
            </w:r>
          </w:p>
        </w:tc>
      </w:tr>
    </w:tbl>
    <w:p>
      <w:pPr>
        <w:pStyle w:val="Style16"/>
        <w:spacing w:lineRule="auto" w:line="24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Style16"/>
        <w:spacing w:lineRule="auto" w:line="24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Style16"/>
        <w:rPr>
          <w:rFonts w:eastAsia="Arial"/>
          <w:sz w:val="20"/>
        </w:rPr>
      </w:pPr>
      <w:r>
        <w:rPr>
          <w:rFonts w:eastAsia="Arial"/>
          <w:sz w:val="20"/>
        </w:rPr>
        <w:t xml:space="preserve">       </w:t>
      </w:r>
    </w:p>
    <w:p>
      <w:pPr>
        <w:pStyle w:val="Style16"/>
        <w:rPr>
          <w:sz w:val="20"/>
        </w:rPr>
      </w:pPr>
      <w:r>
        <w:rPr>
          <w:sz w:val="20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Основной текст Знак"/>
    <w:basedOn w:val="Style11"/>
    <w:qFormat/>
    <w:rPr>
      <w:rFonts w:ascii="Arial" w:hAnsi="Arial" w:cs="Arial"/>
      <w:b/>
      <w:sz w:val="28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371</TotalTime>
  <Application>LibreOffice/7.0.3.1$Windows_X86_64 LibreOffice_project/d7547858d014d4cf69878db179d326fc3483e082</Application>
  <Pages>3</Pages>
  <Words>575</Words>
  <Characters>4386</Characters>
  <CharactersWithSpaces>5000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2020-12-29T10:10:00Z</cp:lastPrinted>
  <dcterms:modified xsi:type="dcterms:W3CDTF">2020-12-29T09:13:00Z</dcterms:modified>
  <cp:revision>45</cp:revision>
  <dc:subject/>
  <dc:title>ПОСТАНОВЛЕНИЕ</dc:title>
</cp:coreProperties>
</file>