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ПОСТАНОВЛЕНИЕ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31.07.2020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94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Об утверждении отчета об исполнении бюджета поселения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за 2 квартал 2020 года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   </w:t>
      </w:r>
      <w:r>
        <w:rPr>
          <w:rFonts w:cs="Arial" w:ascii="Arial" w:hAnsi="Arial"/>
          <w:sz w:val="24"/>
          <w:szCs w:val="24"/>
        </w:rPr>
        <w:t>В соответствии со ст.264.2 Бюджетного кодекса Российской Федерации, Уставом рабочего поселка Шаранга Шарангского муниципального района Нижегородской области, администрация рабочего посёлка Шаранга Шарангского муниципального района Нижегородской области (далее – администрация)</w:t>
      </w:r>
    </w:p>
    <w:p>
      <w:pPr>
        <w:pStyle w:val="ConsPlusNormal1"/>
        <w:bidi w:val="0"/>
        <w:ind w:hanging="0"/>
        <w:jc w:val="both"/>
        <w:rPr/>
      </w:pPr>
      <w:r>
        <w:rPr>
          <w:rFonts w:eastAsia="Arial"/>
          <w:sz w:val="24"/>
          <w:szCs w:val="24"/>
        </w:rPr>
        <w:t xml:space="preserve"> </w:t>
      </w:r>
      <w:r>
        <w:rPr>
          <w:b/>
          <w:sz w:val="24"/>
          <w:szCs w:val="24"/>
        </w:rPr>
        <w:t>п о с т а н о в л я е т: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 xml:space="preserve">Утвердить отчет об исполнении бюджета рабочего поселка Шаранга за 2 квартал 2020 года по доходам в сумме 14650,4 тыс.рублей, по расходам в сумме </w:t>
      </w:r>
      <w:r>
        <w:rPr>
          <w:rFonts w:cs="Arial" w:ascii="Arial" w:hAnsi="Arial"/>
          <w:color w:val="000000"/>
          <w:sz w:val="24"/>
          <w:szCs w:val="24"/>
        </w:rPr>
        <w:t>14733,3</w:t>
      </w:r>
      <w:r>
        <w:rPr>
          <w:rFonts w:cs="Arial" w:ascii="Arial" w:hAnsi="Arial"/>
          <w:sz w:val="24"/>
          <w:szCs w:val="24"/>
        </w:rPr>
        <w:t xml:space="preserve">тыс.рублей, </w:t>
      </w:r>
      <w:r>
        <w:rPr>
          <w:rFonts w:cs="Arial" w:ascii="Arial" w:hAnsi="Arial"/>
          <w:color w:val="000000"/>
          <w:sz w:val="24"/>
          <w:szCs w:val="24"/>
        </w:rPr>
        <w:t>с превышением расходов над доходами (дефицит бюджета поселения) в сумме 82,9 тыс</w:t>
      </w:r>
      <w:r>
        <w:rPr>
          <w:rFonts w:cs="Arial" w:ascii="Arial" w:hAnsi="Arial"/>
          <w:sz w:val="24"/>
          <w:szCs w:val="24"/>
        </w:rPr>
        <w:t>.рублей и со следующими показателями: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1) доходов бюджета поселения по кодам классификации доходов бюджета поселения за 2 квартал 2020 года согласно приложению 1;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3) расходов бюджета поселения по ведомственной структуре расходов бюджета поселения за2 квартал 2020 года согласно приложению 2;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4) расходов бюджета поселения по разделам и подразделам классификации расходов бюджета поселения, по целевым статьям (муниципальным программам и непрограммным направлениям деятельности) и группам видов расходов за 2 квартал 2020 года согласно приложению 3;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ab/>
        <w:t>5) источников финансирования дефицита бюджета поселения за 2 квартал 2020 года согласно приложению 4.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2. Направить отчет об исполнении бюджета поселения за 2 квартал 2020 год в поселковый Совет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3.Обнародовать настоящее постановление в порядке, установленном Уставом рабочего поселка Шаранга Шарангского муниципального района Нижегородской области.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sectPr>
          <w:type w:val="nextPage"/>
          <w:pgSz w:w="11906" w:h="16838"/>
          <w:pgMar w:left="1701" w:right="851" w:header="0" w:top="851" w:footer="0" w:bottom="1276" w:gutter="0"/>
          <w:pgNumType w:fmt="decimal"/>
          <w:formProt w:val="false"/>
          <w:textDirection w:val="lrTb"/>
          <w:docGrid w:type="default" w:linePitch="381" w:charSpace="0"/>
        </w:sectPr>
        <w:pStyle w:val="Normal"/>
        <w:rPr/>
      </w:pPr>
      <w:r>
        <w:rPr>
          <w:rFonts w:cs="Arial" w:ascii="Arial" w:hAnsi="Arial"/>
          <w:sz w:val="24"/>
          <w:szCs w:val="24"/>
        </w:rPr>
        <w:t>Глава администрации                                                                                   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cs="Arial"/>
          <w:szCs w:val="28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№1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bidi w:val="0"/>
        <w:jc w:val="right"/>
        <w:rPr/>
      </w:pPr>
      <w:r>
        <w:rPr/>
        <w:t>бюджета  поселения  за 2 квартал 2020 года»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31.07.2020 №94</w:t>
      </w:r>
    </w:p>
    <w:p>
      <w:pPr>
        <w:pStyle w:val="Normal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4"/>
          <w:szCs w:val="24"/>
        </w:rPr>
        <w:t>Доходы бюджета поселения по кодам классификации доходов бюджета поселения за 2 квартал 2020 год</w:t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b/>
          <w:b/>
          <w:sz w:val="24"/>
          <w:szCs w:val="24"/>
        </w:rPr>
      </w:pPr>
      <w:r>
        <w:rPr>
          <w:rFonts w:cs="Arial"/>
          <w:b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p>
      <w:pPr>
        <w:sectPr>
          <w:type w:val="nextPage"/>
          <w:pgSz w:w="11906" w:h="16838"/>
          <w:pgMar w:left="1418" w:right="850" w:header="0" w:top="851" w:footer="0" w:bottom="993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ConsPlusNormal1"/>
        <w:bidi w:val="0"/>
        <w:ind w:left="4536" w:firstLine="567"/>
        <w:jc w:val="right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15286" w:type="dxa"/>
        <w:jc w:val="left"/>
        <w:tblInd w:w="-5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2"/>
        <w:gridCol w:w="6878"/>
        <w:gridCol w:w="1560"/>
        <w:gridCol w:w="1984"/>
        <w:gridCol w:w="2562"/>
      </w:tblGrid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Код бюджетной классификации Российской Федерации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Наименование показателя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План на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2020год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Исполнено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За2квартал2020года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1"/>
              <w:spacing w:before="40" w:after="0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 xml:space="preserve">% </w:t>
            </w:r>
          </w:p>
          <w:p>
            <w:pPr>
              <w:pStyle w:val="1"/>
              <w:rPr>
                <w:b w:val="false"/>
                <w:b w:val="false"/>
                <w:sz w:val="20"/>
              </w:rPr>
            </w:pPr>
            <w:r>
              <w:rPr>
                <w:b w:val="false"/>
                <w:sz w:val="20"/>
              </w:rPr>
              <w:t>исполнения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 Налоговые и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17075,0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6387,5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37,4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1.1. Налоги на прибыль,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7982,1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3448,9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43,2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 Налог на доходы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7982,1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3448,9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43,2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Федерации(сумма платежа(перерасчеты ,недоимка и задолженность по соответствующему платежу ,в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7875,8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3441,6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43,7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1.1.1.2.Налог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1.1.1.3.Налог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суммы денежных взысканий (штрафов) по соответствующему платежу согласно законодательству Российской Федерации)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-10,7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10102010014000110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1.1.1.4.Налог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Федерации( прочие поступления)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-7,0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10102020011000110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1.1.1.5. 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статьей 227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61,5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6,8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1.1.1.6. Налог на доходы физических лиц с доходов, полученных физическими лицами в соответствии со статьей 228 Налогового кодекса Российской Федерации(сумма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44,8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12,4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27,7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10102030013000110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1.1.1.7. Налог на доходы физических лиц с доходов, полученных физическими лицами в соответствии со статьей 228 Налогового кодекса Российской Федерации(суммы денежных взысканий(штрафов) соответствующему платежу согласно законодательству Российской Федерации)</w:t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10300000000000000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2197,0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994,0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45,2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10302000010000110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1.2.1. Акцизы по подакцизным товарам (продукции), производимым на территории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994,0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45,2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10302231010000110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1.2.1.1.Доходы от уплаты акцизов на дизельное топливо, подлежащие распределению 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997,0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470,9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47,2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10302241010000110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1.2.1.2.Доходы от уплаты акцизов на моторные масла для дизельных и (или) карбюраторных (инжекторных)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47,7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10302251010000110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1399,4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613,7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43,9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/>
              <w:t>10302261010000110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/>
            </w:pPr>
            <w:r>
              <w:rPr/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-205,9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-93,7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45,5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10500000000000000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1.3. Налоги на совокупный доход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24,5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793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1.3.1. Единый сельскохозяйственный налог(сумма платежа(перерасчеты, недоимка и задолженность по соответствующему платежу, 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24,5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787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1.3.2.Единый сельскохозяйственный налог(пени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10503010013100110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1.3.3.Единый сельскохозяйственный налог(суммы денежных взысканий(штрафов) по соответствующему платежу согласно законодательству Российской  Федерации)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0,5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10600000000000000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1.4. Налоги на имущество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5642,5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1303,7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23,1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1.4.1.Налог на имущество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126,3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5,9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1.4.1.1. Налог на имущество физических лиц, взимаемый по ставкам, применяемым к объектам налогообложения, расположенным в границах городских поселений(сумма платежа(перерасчеты, недоимка и задолженность по соответствующему платежу ,в том числе по отмененному)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2154,1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118,9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10601030132100110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1.4.1.2. Налог на имущество физических лиц, взимаемый по ставкам, применяемым к объектам налогообложения, расположенным в границах 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10606000000000110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 Земельный налог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3488,4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1177,4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33,8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 Земельный налог с организаций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1104,2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54,5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1.4.2.1.1. Земельный налог с организаций, обладающих земельным участком, расположенным в </w:t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</w:r>
          </w:p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2026,5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1101,1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54,3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10606033132100110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1.4.2.1.2. Земельный налог с организаций, обладающих земельным участком, расположенным в границах городских поселений( 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3,1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10606040000000110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  Земельный налог  с физических лиц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73,2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5,0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10606043131000110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1.4.2.2.1. Земельный налог с физических лиц, обладающих земельным участком, расположенным в границах городских поселений(сумма платежа(перерасчеты,недоимка и задолженность по соответствующему платежу,в том числе по отмененному)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1461,9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68,5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10606043132100110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1.4.2.2.2. Земельный налог с физических лиц, обладающих земельным участком, расположенным в границах городских поселений(пени по соответствующему платежу)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11100000000000000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1.5.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833,9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405,7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48,6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11105013130000120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1.5.1.1. Доходы, получаемые в виде арендной платы за земельные участки, государственная собственность на которые не разграничена и которые расположены в границах городских поселений, а также средства от продажи права на заключение договоров аренды указанных земельных участков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833,9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405,7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48,6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11400000000000000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1.6. Доходы от продажи материальных и нематериальных активов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200,0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11406013130000430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1.6.1.1. Доходы от продажи земельных участков,  государственная собственность на которые не разграничена и которые расположены в границах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5,4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2,7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11406025130000430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1.6.1.2. Доходы от продажи земельных участков, находящихся в собственности городских поселений(за исключением земельных участков муниципальных бюджетных и автономных учреждений)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11600000000000000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1.7. Штрафы, неустойки ,пени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11607010130000140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1.7.1. Штрафы ,неустойки, пени, уплаченные в случае просрочки исполнения поставщиком (подрядчиком, исполнителем)обязательств ,предусмотренных муниципальным контрактом, заключенным муниципальным органом ,казенным учреждением городского поселения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11705000000000180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>
                <w:b/>
              </w:rPr>
              <w:t>1.8. Прочие неналоговые доходы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195,0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32,3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16,6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11705050130000180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1.8.1. Прочие неналоговые доходы бюджетов городских поселений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195,0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32,3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16,6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20000000000000000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 Безвозмездные поступления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42581,4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8262,9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19,4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20200000000000000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42180,4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8204,5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19,5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20210000000000150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3626,7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1722,8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47,5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20215001130000150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2.1.1.1. Дотации бюджетам городских поселений на выравнивание бюджетной обеспеченности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3626,7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1722,8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47,5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20230000000000150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2.1.2.Субвенции бюджетам субъектов Российской Федерации и муниципальных образований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295,8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147,8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50,0</w:t>
            </w:r>
          </w:p>
        </w:tc>
      </w:tr>
      <w:tr>
        <w:trPr>
          <w:trHeight w:val="996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20235118130000150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2.1.2.1.Субвенции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295,8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147,8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50,0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20240000000000150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2.1.3. Иные межбюджетные трансферты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38257,9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6333,9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16,6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2.1.3.1Межбюджетные трансферты ,передаваемые бюджетам городских поселений для компенсации дополнительных расходов ,возникших в результате решений, принятых органами власти другого уровня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2463,5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191,0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7,8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20245160130220150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2.1.3.2.Межбюджетные трансферты ,передаваемые бюджетам городских поселений для компенсации дополнительных расходов ,возникших в результате решений ,принятых органами власти другого уровня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12109,2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105,5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0,87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 xml:space="preserve">2.1.3.3. Прочие межбюджетные трансферты, передаваемые бюджетам городских поселений 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13041,2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/>
            </w:pPr>
            <w:r>
              <w:rPr/>
              <w:t>6037,4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/>
            </w:pPr>
            <w:r>
              <w:rPr/>
              <w:t>46,3</w:t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20249999130220150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2.1.3.4. Прочие межбюджетные трансферты, передаваемые бюджетам городских поселений  , за счет средств областного бюджета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7694,8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/>
            </w:pPr>
            <w:r>
              <w:rPr/>
            </w:r>
          </w:p>
        </w:tc>
      </w:tr>
      <w:tr>
        <w:trPr>
          <w:trHeight w:val="868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20249999139000150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/>
            </w:pPr>
            <w:r>
              <w:rPr/>
              <w:t>2.1.3.5. Прочие межбюджетные трансферты, передаваемые бюджетам городских поселений по поддержке местных инициатив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/>
            </w:pPr>
            <w:r>
              <w:rPr/>
              <w:t>2949,2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center"/>
              <w:rPr/>
            </w:pPr>
            <w:r>
              <w:rPr/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20405099139000150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2.2.Прочие безвозмездные поступления от негосударственных организаций в бюджеты городских поселений(средства безвозмездных поступлений от организаций и фондов по проекту по поддержке местных инициатив)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250,0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right"/>
              <w:rPr>
                <w:b/>
                <w:b/>
              </w:rPr>
            </w:pPr>
            <w:r>
              <w:rPr>
                <w:b/>
              </w:rPr>
            </w:r>
          </w:p>
        </w:tc>
      </w:tr>
      <w:tr>
        <w:trPr>
          <w:trHeight w:val="285" w:hRule="atLeast"/>
        </w:trPr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20705039139000180</w:t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2.3. .Прочие безвозмездные поступления от негосударственных организаций в бюджеты городских поселений(средства безвозмездных поступлений от физических лиц по проекту по поддержке местных инициатив)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rPr>
                <w:b/>
                <w:b/>
              </w:rPr>
            </w:pPr>
            <w:r>
              <w:rPr>
                <w:b/>
              </w:rPr>
              <w:t>151,0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58,4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38,7</w:t>
            </w:r>
          </w:p>
        </w:tc>
      </w:tr>
      <w:tr>
        <w:trPr/>
        <w:tc>
          <w:tcPr>
            <w:tcW w:w="2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snapToGrid w:val="false"/>
              <w:jc w:val="both"/>
              <w:rPr>
                <w:b/>
                <w:b/>
              </w:rPr>
            </w:pPr>
            <w:r>
              <w:rPr>
                <w:b/>
              </w:rPr>
            </w:r>
          </w:p>
        </w:tc>
        <w:tc>
          <w:tcPr>
            <w:tcW w:w="68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both"/>
              <w:rPr>
                <w:b/>
                <w:b/>
              </w:rPr>
            </w:pPr>
            <w:r>
              <w:rPr>
                <w:b/>
              </w:rPr>
              <w:t>Всего доходов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59656,4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center"/>
              <w:rPr>
                <w:b/>
                <w:b/>
              </w:rPr>
            </w:pPr>
            <w:r>
              <w:rPr>
                <w:b/>
              </w:rPr>
              <w:t>14650,4</w:t>
            </w:r>
          </w:p>
        </w:tc>
        <w:tc>
          <w:tcPr>
            <w:tcW w:w="2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tabs>
                <w:tab w:val="clear" w:pos="720"/>
                <w:tab w:val="left" w:pos="5442" w:leader="none"/>
              </w:tabs>
              <w:jc w:val="right"/>
              <w:rPr>
                <w:b/>
                <w:b/>
              </w:rPr>
            </w:pPr>
            <w:r>
              <w:rPr>
                <w:b/>
              </w:rPr>
              <w:t>24,6</w:t>
            </w:r>
          </w:p>
        </w:tc>
      </w:tr>
    </w:tbl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№2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bidi w:val="0"/>
        <w:jc w:val="right"/>
        <w:rPr/>
      </w:pPr>
      <w:r>
        <w:rPr/>
        <w:t>бюджета  поселения  за 2 квартал 2020 года»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31.07.2020 №94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Расходы бюджета поселения</w:t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по ведомственной структуре расходов бюджета поселения за 2 квартал 2020 год</w:t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tbl>
      <w:tblPr>
        <w:tblW w:w="1517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823"/>
        <w:gridCol w:w="974"/>
        <w:gridCol w:w="2157"/>
        <w:gridCol w:w="464"/>
        <w:gridCol w:w="953"/>
        <w:gridCol w:w="2444"/>
        <w:gridCol w:w="700"/>
        <w:gridCol w:w="2565"/>
        <w:gridCol w:w="1134"/>
        <w:gridCol w:w="1249"/>
        <w:gridCol w:w="818"/>
      </w:tblGrid>
      <w:tr>
        <w:trPr>
          <w:trHeight w:val="255" w:hRule="atLeast"/>
        </w:trPr>
        <w:tc>
          <w:tcPr>
            <w:tcW w:w="119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 xml:space="preserve">Исполнено </w:t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eastAsia="Arial" w:cs="Arial" w:ascii="Arial" w:hAnsi="Arial"/>
                <w:b/>
                <w:bCs/>
                <w:sz w:val="17"/>
                <w:szCs w:val="17"/>
              </w:rPr>
              <w:t xml:space="preserve"> </w:t>
            </w:r>
            <w:r>
              <w:rPr>
                <w:rFonts w:cs="Arial" w:ascii="Arial" w:hAnsi="Arial"/>
                <w:b/>
                <w:bCs/>
                <w:sz w:val="17"/>
                <w:szCs w:val="17"/>
              </w:rPr>
              <w:t>За2квартал  2020 год</w:t>
            </w:r>
          </w:p>
        </w:tc>
        <w:tc>
          <w:tcPr>
            <w:tcW w:w="8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</w:tr>
      <w:tr>
        <w:trPr>
          <w:trHeight w:val="52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Ведом-ство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62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9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8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215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262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95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  <w:tc>
          <w:tcPr>
            <w:tcW w:w="818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11</w:t>
            </w:r>
          </w:p>
        </w:tc>
      </w:tr>
      <w:tr>
        <w:trPr>
          <w:trHeight w:val="467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  <w:t>487</w:t>
            </w:r>
          </w:p>
        </w:tc>
        <w:tc>
          <w:tcPr>
            <w:tcW w:w="11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 Narrow" w:hAnsi="Arial Narrow"/>
                <w:b/>
                <w:bCs/>
                <w:sz w:val="18"/>
                <w:szCs w:val="18"/>
              </w:rPr>
              <w:t>АДМИНИСТРАЦИЯ РАБОЧЕГО ПОСЕЛКА ШАРАНГА   ШАРАНГСКОГО МУНИЦИПАЛЬНОГО РАЙОНА НИЖЕГОРОДСКОЙ ОБЛАСТИ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8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  <w:tr>
        <w:trPr>
          <w:trHeight w:val="521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257" w:type="dxa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1261,4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44,6</w:t>
            </w:r>
          </w:p>
        </w:tc>
      </w:tr>
      <w:tr>
        <w:trPr>
          <w:trHeight w:val="415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cs="Arial" w:ascii="Arial" w:hAnsi="Arial"/>
                <w:b/>
                <w:bCs/>
              </w:rPr>
              <w:t>0</w:t>
            </w:r>
            <w:r>
              <w:rPr>
                <w:rFonts w:cs="Arial" w:ascii="Arial" w:hAnsi="Arial"/>
                <w:b/>
                <w:bCs/>
                <w:lang w:val="en-US"/>
              </w:rPr>
              <w:t>4</w:t>
            </w:r>
          </w:p>
        </w:tc>
        <w:tc>
          <w:tcPr>
            <w:tcW w:w="9283" w:type="dxa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  <w:lang w:val="en-US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1130,5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44,1</w:t>
            </w:r>
          </w:p>
        </w:tc>
      </w:tr>
      <w:tr>
        <w:trPr>
          <w:trHeight w:val="421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491,3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41,4</w:t>
            </w:r>
          </w:p>
        </w:tc>
      </w:tr>
      <w:tr>
        <w:trPr>
          <w:trHeight w:val="844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267,8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46,5</w:t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  <w:lang w:val="en-US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Резервные фонды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6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130,9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47,9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43,0</w:t>
            </w:r>
          </w:p>
        </w:tc>
      </w:tr>
      <w:tr>
        <w:trPr>
          <w:trHeight w:val="55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55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bookmarkStart w:id="0" w:name="RANGE!A19%3AH20"/>
            <w:bookmarkEnd w:id="0"/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НАЦИОНАЛЬНАЯ  ОБОРОНА 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547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02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295,8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1279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110,8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51,9</w:t>
            </w:r>
          </w:p>
        </w:tc>
      </w:tr>
      <w:tr>
        <w:trPr>
          <w:trHeight w:val="1279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26,8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>
          <w:trHeight w:val="50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7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21,5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7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8,0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59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ЭКОНОМИКА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36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0620207080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1836,7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1663,3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90,6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06203S2210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5818,3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 S2600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472,0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0630201020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1157,1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104,3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9,0</w:t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06302L3840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,работы для целей капитальных вложений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3096,3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5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754,0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1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ЖИЛИЩНО-КОММУНАЛЬНОЕ ХОЗЯЙСТВО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33803,8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18,8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278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475,0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33328,8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19,1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10053,9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53,9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0,54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1422074800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трансферты на предоставление грантов на награждение победителей смотра-конкурса на звание «Лучшее муниципальное образование НО в сфере благоустройства и дорожной деятельности»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2109,2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105,5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2195,2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4354,6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88803S2600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1382,0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8880660102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4248,0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1685,5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39,7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270,0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175,2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64,9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84,1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33,8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8880660503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7295,7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3087,1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42,3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 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888С160503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Прочая закупка товаров ,работ и услуг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81,2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  <w:bCs/>
              </w:rPr>
              <w:t>КУЛЬТУРА, КИНЕМАТОГРАФИЯ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345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b/>
                <w:b/>
              </w:rPr>
            </w:pPr>
            <w:r>
              <w:rPr>
                <w:rFonts w:cs="Arial" w:ascii="Arial Narrow" w:hAnsi="Arial Narrow"/>
                <w:b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40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Культура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8880302106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500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10362,9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5181,4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50,0</w:t>
            </w:r>
          </w:p>
        </w:tc>
      </w:tr>
      <w:tr>
        <w:trPr>
          <w:trHeight w:val="597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257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ПОЛИТИКА 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9,5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10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03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300</w:t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49" w:hRule="atLeast"/>
        </w:trPr>
        <w:tc>
          <w:tcPr>
            <w:tcW w:w="89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823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7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15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41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4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2565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4,5</w:t>
            </w:r>
          </w:p>
        </w:tc>
      </w:tr>
      <w:tr>
        <w:trPr>
          <w:trHeight w:val="1073" w:hRule="atLeast"/>
        </w:trPr>
        <w:tc>
          <w:tcPr>
            <w:tcW w:w="8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sz w:val="16"/>
                <w:szCs w:val="16"/>
              </w:rPr>
            </w:r>
          </w:p>
        </w:tc>
        <w:tc>
          <w:tcPr>
            <w:tcW w:w="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9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</w:t>
            </w:r>
          </w:p>
        </w:tc>
        <w:tc>
          <w:tcPr>
            <w:tcW w:w="21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4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8880614010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12,0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4,5</w:t>
            </w:r>
          </w:p>
        </w:tc>
      </w:tr>
      <w:tr>
        <w:trPr>
          <w:trHeight w:val="420" w:hRule="atLeast"/>
        </w:trPr>
        <w:tc>
          <w:tcPr>
            <w:tcW w:w="1197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81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</w:tbl>
    <w:p>
      <w:pPr>
        <w:pStyle w:val="ConsPlusNormal1"/>
        <w:bidi w:val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Style18"/>
        <w:spacing w:lineRule="auto" w:line="240"/>
        <w:jc w:val="right"/>
        <w:rPr>
          <w:rFonts w:cs="Arial"/>
          <w:sz w:val="24"/>
          <w:szCs w:val="28"/>
        </w:rPr>
      </w:pPr>
      <w:r>
        <w:rPr>
          <w:rFonts w:cs="Arial"/>
          <w:sz w:val="24"/>
          <w:szCs w:val="28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№3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bidi w:val="0"/>
        <w:jc w:val="right"/>
        <w:rPr/>
      </w:pPr>
      <w:r>
        <w:rPr/>
        <w:t>бюджета  поселения  за 2 квартал 2020 года»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31.07.2020 №94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Расходы бюджета поселения по разделам и подразделам классификации расходов бюджета поселения,</w:t>
      </w:r>
    </w:p>
    <w:p>
      <w:pPr>
        <w:pStyle w:val="Normal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  <w:t>по целевым статьям (муниципальным программам и непрограммным направлениям деятельности)</w:t>
      </w:r>
    </w:p>
    <w:p>
      <w:pPr>
        <w:pStyle w:val="Style18"/>
        <w:spacing w:lineRule="auto" w:line="240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  <w:t>и  группам видов расходов за 2 квартал 2020 год</w:t>
      </w:r>
    </w:p>
    <w:p>
      <w:pPr>
        <w:pStyle w:val="Style18"/>
        <w:spacing w:lineRule="auto" w:line="240"/>
        <w:rPr>
          <w:rFonts w:cs="Arial"/>
          <w:bCs/>
          <w:sz w:val="24"/>
          <w:szCs w:val="24"/>
        </w:rPr>
      </w:pPr>
      <w:r>
        <w:rPr>
          <w:rFonts w:cs="Arial"/>
          <w:bCs/>
          <w:sz w:val="24"/>
          <w:szCs w:val="24"/>
        </w:rPr>
      </w:r>
    </w:p>
    <w:tbl>
      <w:tblPr>
        <w:tblW w:w="15178" w:type="dxa"/>
        <w:jc w:val="left"/>
        <w:tblInd w:w="10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920"/>
        <w:gridCol w:w="2412"/>
        <w:gridCol w:w="142"/>
        <w:gridCol w:w="1062"/>
        <w:gridCol w:w="144"/>
        <w:gridCol w:w="2328"/>
        <w:gridCol w:w="700"/>
        <w:gridCol w:w="2712"/>
        <w:gridCol w:w="992"/>
        <w:gridCol w:w="1244"/>
        <w:gridCol w:w="1673"/>
      </w:tblGrid>
      <w:tr>
        <w:trPr>
          <w:trHeight w:val="255" w:hRule="atLeast"/>
        </w:trPr>
        <w:tc>
          <w:tcPr>
            <w:tcW w:w="11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  <w:t>Код бюджетной классификации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План на 2020 год</w:t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  <w:lang w:val="en-US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Исполнено  за 2квартал 2020 год</w:t>
            </w:r>
          </w:p>
        </w:tc>
        <w:tc>
          <w:tcPr>
            <w:tcW w:w="16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% исп.</w:t>
            </w:r>
          </w:p>
        </w:tc>
      </w:tr>
      <w:tr>
        <w:trPr>
          <w:trHeight w:val="420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Раздел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Подраздел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раздела, подраздела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КЦСР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целевой статьи расходов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КВР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  <w:t>Наименование вида расхода</w:t>
            </w:r>
          </w:p>
        </w:tc>
        <w:tc>
          <w:tcPr>
            <w:tcW w:w="99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2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  <w:tc>
          <w:tcPr>
            <w:tcW w:w="167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7"/>
                <w:szCs w:val="17"/>
              </w:rPr>
            </w:pPr>
            <w:r>
              <w:rPr>
                <w:rFonts w:cs="Arial" w:ascii="Arial" w:hAnsi="Arial"/>
                <w:b/>
                <w:bCs/>
                <w:sz w:val="17"/>
                <w:szCs w:val="17"/>
              </w:rPr>
            </w:r>
          </w:p>
        </w:tc>
      </w:tr>
      <w:tr>
        <w:trPr>
          <w:trHeight w:val="18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2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3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4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5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6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7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8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9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  <w:t>10</w:t>
            </w:r>
          </w:p>
        </w:tc>
      </w:tr>
      <w:tr>
        <w:trPr>
          <w:trHeight w:val="319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  <w:sz w:val="14"/>
                <w:szCs w:val="14"/>
              </w:rPr>
            </w:pPr>
            <w:r>
              <w:rPr>
                <w:rFonts w:cs="Arial" w:ascii="Arial" w:hAnsi="Arial"/>
                <w:b/>
                <w:bCs/>
                <w:sz w:val="14"/>
                <w:szCs w:val="14"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10420" w:type="dxa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ОБЩЕГОСУДАРСТВЕННЫЕ ВОПРОСЫ 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2830,0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1261,4</w:t>
            </w:r>
          </w:p>
        </w:tc>
        <w:tc>
          <w:tcPr>
            <w:tcW w:w="1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44,6</w:t>
            </w:r>
          </w:p>
        </w:tc>
      </w:tr>
      <w:tr>
        <w:trPr>
          <w:trHeight w:val="40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2565,2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1130,5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44,1</w:t>
            </w:r>
          </w:p>
        </w:tc>
      </w:tr>
      <w:tr>
        <w:trPr>
          <w:trHeight w:val="604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</w:rPr>
            </w:pPr>
            <w:r>
              <w:rPr>
                <w:rFonts w:cs="Arial" w:ascii="Arial Narrow" w:hAnsi="Arial Narrow"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lang w:val="en-US"/>
              </w:rPr>
            </w:pPr>
            <w:r>
              <w:rPr>
                <w:rFonts w:cs="Arial" w:ascii="Arial Narrow" w:hAnsi="Arial Narrow"/>
              </w:rPr>
              <w:t>0</w:t>
            </w:r>
            <w:r>
              <w:rPr>
                <w:rFonts w:cs="Arial" w:ascii="Arial Narrow" w:hAnsi="Arial Narrow"/>
                <w:lang w:val="en-US"/>
              </w:rPr>
              <w:t>4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20401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1185,9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491,3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41,4</w:t>
            </w:r>
          </w:p>
        </w:tc>
      </w:tr>
      <w:tr>
        <w:trPr>
          <w:trHeight w:val="604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04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20401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2</w:t>
            </w:r>
            <w:r>
              <w:rPr>
                <w:rFonts w:cs="Arial" w:ascii="Arial Narrow" w:hAnsi="Arial Narrow"/>
                <w:sz w:val="16"/>
                <w:szCs w:val="16"/>
              </w:rPr>
              <w:t>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575,7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267,8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46,5</w:t>
            </w:r>
          </w:p>
        </w:tc>
      </w:tr>
      <w:tr>
        <w:trPr>
          <w:trHeight w:val="278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888</w:t>
            </w:r>
            <w:r>
              <w:rPr>
                <w:rFonts w:cs="Arial" w:ascii="Arial Narrow" w:hAnsi="Arial Narrow"/>
                <w:sz w:val="16"/>
                <w:szCs w:val="16"/>
              </w:rPr>
              <w:t>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1</w:t>
            </w:r>
            <w:r>
              <w:rPr>
                <w:rFonts w:cs="Arial" w:ascii="Arial Narrow" w:hAnsi="Arial Narrow"/>
                <w:sz w:val="16"/>
                <w:szCs w:val="16"/>
              </w:rPr>
              <w:t>20800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803,6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371,4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46,2</w:t>
            </w:r>
          </w:p>
        </w:tc>
      </w:tr>
      <w:tr>
        <w:trPr>
          <w:trHeight w:val="278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11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</w:t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8880107005</w:t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Резервные фонды местных администраций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470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</w:t>
            </w:r>
          </w:p>
        </w:tc>
        <w:tc>
          <w:tcPr>
            <w:tcW w:w="2554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261,8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130,9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8880193990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Учреждения по обеспечению хозяйственного обслуживания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188,8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47,9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57,0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24,5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43,0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общегосударственные вопросы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8880692035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выплаты по обязательствам муниципального образования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НАЦИОНАЛЬНАЯ ОБОРОНА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40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295,8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137,6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46,5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выплату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213,5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110,8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51,9</w:t>
            </w:r>
          </w:p>
        </w:tc>
      </w:tr>
      <w:tr>
        <w:trPr>
          <w:trHeight w:val="51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02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Мобилизационная и вневойсковая подготовка</w:t>
            </w:r>
          </w:p>
        </w:tc>
        <w:tc>
          <w:tcPr>
            <w:tcW w:w="12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1422051180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Межбюджетные трансферты за счет субвенции на осуществление государственных полномочий РФ по первичному воинскому учету на территориях, где отсутствуют военные комиссариаты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82,3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26,8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32,6</w:t>
            </w:r>
          </w:p>
        </w:tc>
      </w:tr>
      <w:tr>
        <w:trPr>
          <w:trHeight w:val="52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 </w:t>
            </w:r>
            <w:r>
              <w:rPr>
                <w:rFonts w:cs="Arial" w:ascii="Arial" w:hAnsi="Arial"/>
                <w:b/>
                <w:bCs/>
              </w:rPr>
              <w:t>НАЦИОНАЛЬНАЯ БЕЗОПАСНОСТЬ И ПРАВООХРАНИТЕЛЬНАЯ ДЕЯТЕЛЬНОСТЬ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29,5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359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21,5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25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  <w:t>21,5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25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03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Обеспечение пожарной безопасноти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0800303000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по пожарной безопасности объектов и населенных пунктов Шарангского муниципального района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  <w:t>8,0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Cs/>
              </w:rPr>
            </w:pPr>
            <w:r>
              <w:rPr>
                <w:rFonts w:cs="Arial" w:ascii="Arial Narrow" w:hAnsi="Arial Narrow"/>
                <w:bCs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</w:r>
          </w:p>
        </w:tc>
      </w:tr>
      <w:tr>
        <w:trPr>
          <w:trHeight w:val="561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04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НАЦИОНАЛЬНАЯ  ЭКОНОМИКА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596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color w:val="000000"/>
                <w:sz w:val="16"/>
                <w:szCs w:val="16"/>
              </w:rPr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b/>
                <w:sz w:val="16"/>
                <w:szCs w:val="16"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13134,4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1767,6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13,5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b/>
                <w:b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Дорожное хозяйство (дорожные фонды)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0620207080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Содержание автомобильных дорог общего пользования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1836,7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1663,3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90,6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b/>
                <w:b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 xml:space="preserve">Дорожное хозяйство 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06203S2210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капитальный ремонт и ремонт автомобильных дорог общего пользования местного значения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5818,3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0620 S2600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472,0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0630201020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1157,1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104,3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9,0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06302L3840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Бюджетные инвестиции в объекты государственной собственности бюджетным учреждениям в рамках государственного оборонного заказа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400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Услуги , работы для целей капитальных вложений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3096,3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04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09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Дорожное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754,0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64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ЖИЛИЩНО-КОММУНАЛЬНОЕ  ХОЗЯЙСТВО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33803,8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18,8</w:t>
            </w:r>
          </w:p>
        </w:tc>
      </w:tr>
      <w:tr>
        <w:trPr>
          <w:trHeight w:val="51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Жилищное хозяйство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8880603503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Мероприятия в области жилищного хозяйства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475,0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33328,8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6358,3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19,1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1421004516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/>
            </w:pPr>
            <w:r>
              <w:rPr>
                <w:rFonts w:cs="Arial" w:ascii="Arial Narrow" w:hAnsi="Arial Narrow"/>
                <w:sz w:val="16"/>
                <w:szCs w:val="16"/>
              </w:rPr>
              <w:t>Иные межбюджетные трансферты на компенсацию дополнительных расходов возникших в результате решений, принятых органами власти другого уровня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10053,9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53,9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0,54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1078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3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1078,3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22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14220S2600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2195,2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5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192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F25555А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 территорий  общего пользования и мест массового отдыха населения р.п.Шаранга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4</w:t>
            </w:r>
            <w:r>
              <w:rPr>
                <w:rFonts w:cs="Arial" w:ascii="Arial" w:hAnsi="Arial"/>
                <w:lang w:val="en-US"/>
              </w:rPr>
              <w:t>354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6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557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88803S2600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на реализацию проекта по поддержке местных инициатив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1382,0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right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8880660102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Уличное освещение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4248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1685,5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39,7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8880660302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Озеленение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  <w:lang w:val="en-US"/>
              </w:rPr>
              <w:t>270</w:t>
            </w:r>
            <w:r>
              <w:rPr>
                <w:rFonts w:cs="Arial" w:ascii="Arial" w:hAnsi="Arial"/>
              </w:rPr>
              <w:t>,</w:t>
            </w:r>
            <w:r>
              <w:rPr>
                <w:rFonts w:cs="Arial" w:ascii="Arial" w:hAnsi="Arial"/>
                <w:lang w:val="en-US"/>
              </w:rPr>
              <w:t>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175,2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64,9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8880660402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Организация и содержание мест захоронения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248,5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84,1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33,8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bCs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8880660503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7295,7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3087,1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42,3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  <w:lang w:val="en-US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88806</w:t>
            </w:r>
            <w:r>
              <w:rPr>
                <w:rFonts w:cs="Arial" w:ascii="Arial Narrow" w:hAnsi="Arial Narrow"/>
                <w:sz w:val="16"/>
                <w:szCs w:val="16"/>
                <w:lang w:val="en-US"/>
              </w:rPr>
              <w:t>S2190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Расходы за счет субсидии на реализацию мероприятий по обустройству и восстановлению памятных мест,посвященных Великой Отечественной войне 1941-1945гг.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Закупка товаров, работ и услуг для государственных (муниципальных) нужд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68,4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100,0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05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Благоустройство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888С160503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Предупреждение распространения, профилактики, диагностика и лечение от новой коронавирусной инфекции (COVID-19)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200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Прочая закупка товаров ,работ и услуг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25,0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20,3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81,2</w:t>
            </w:r>
          </w:p>
        </w:tc>
      </w:tr>
      <w:tr>
        <w:trPr>
          <w:trHeight w:val="49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  <w:r>
              <w:rPr>
                <w:rFonts w:cs="Arial" w:ascii="Arial" w:hAnsi="Arial"/>
                <w:b/>
              </w:rPr>
              <w:t>КУЛЬТУРА,  КИНЕМАТОГРАФИЯ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413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08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 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50,0</w:t>
            </w:r>
          </w:p>
        </w:tc>
      </w:tr>
      <w:tr>
        <w:trPr>
          <w:trHeight w:val="765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08</w:t>
            </w:r>
          </w:p>
        </w:tc>
        <w:tc>
          <w:tcPr>
            <w:tcW w:w="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01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Культура</w:t>
            </w:r>
          </w:p>
        </w:tc>
        <w:tc>
          <w:tcPr>
            <w:tcW w:w="12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8880302106</w:t>
            </w:r>
          </w:p>
        </w:tc>
        <w:tc>
          <w:tcPr>
            <w:tcW w:w="24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500</w:t>
            </w:r>
          </w:p>
        </w:tc>
        <w:tc>
          <w:tcPr>
            <w:tcW w:w="2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/>
            </w:pPr>
            <w:r>
              <w:rPr>
                <w:rFonts w:cs="Arial" w:ascii="Arial" w:hAnsi="Arial"/>
                <w:sz w:val="16"/>
                <w:szCs w:val="16"/>
              </w:rPr>
              <w:t>Межбюджетные трансферты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10362,9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5181,4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50,0</w:t>
            </w:r>
          </w:p>
        </w:tc>
      </w:tr>
      <w:tr>
        <w:trPr>
          <w:trHeight w:val="550" w:hRule="atLeast"/>
        </w:trPr>
        <w:tc>
          <w:tcPr>
            <w:tcW w:w="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104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  <w:r>
              <w:rPr>
                <w:rFonts w:cs="Arial" w:ascii="Arial" w:hAnsi="Arial"/>
                <w:b/>
                <w:bCs/>
              </w:rPr>
              <w:t>СОЦИАЛЬНАЯ  ПОЛИТИКА 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283,0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27,0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9,5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15,0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03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населения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8880621801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/>
            </w:pPr>
            <w:r>
              <w:rPr>
                <w:rFonts w:eastAsia="Arial Narrow" w:cs="Arial Narrow" w:ascii="Arial Narrow" w:hAnsi="Arial Narrow"/>
                <w:sz w:val="16"/>
                <w:szCs w:val="16"/>
              </w:rPr>
              <w:t xml:space="preserve"> </w:t>
            </w:r>
            <w:r>
              <w:rPr>
                <w:rFonts w:cs="Arial" w:ascii="Arial Narrow" w:hAnsi="Arial Narrow"/>
                <w:sz w:val="16"/>
                <w:szCs w:val="16"/>
              </w:rPr>
              <w:t>Целевой финансовый резерв для предупреждения и ликвидации последствий чрезвычайных ситуаций и стихийных бедствий природного и техногенного характера</w:t>
            </w:r>
            <w:r>
              <w:rPr>
                <w:rFonts w:cs="Arial" w:ascii="Arial Narrow" w:hAnsi="Arial Narrow"/>
                <w:bCs/>
                <w:sz w:val="16"/>
                <w:szCs w:val="16"/>
              </w:rPr>
              <w:t xml:space="preserve"> п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 Narrow" w:hAnsi="Arial Narrow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/>
                <w:bCs/>
                <w:sz w:val="16"/>
                <w:szCs w:val="16"/>
              </w:rPr>
              <w:t>300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Социальное обеспечение и иные выплаты населению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/>
            </w:pPr>
            <w:r>
              <w:rPr>
                <w:rFonts w:cs="Arial" w:ascii="Arial" w:hAnsi="Arial"/>
                <w:bCs/>
              </w:rPr>
              <w:t>15,0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100,0</w:t>
            </w:r>
          </w:p>
        </w:tc>
      </w:tr>
      <w:tr>
        <w:trPr>
          <w:trHeight w:val="455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10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06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268,0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12,0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1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4,5</w:t>
            </w:r>
          </w:p>
        </w:tc>
      </w:tr>
      <w:tr>
        <w:trPr>
          <w:trHeight w:val="559" w:hRule="atLeast"/>
        </w:trPr>
        <w:tc>
          <w:tcPr>
            <w:tcW w:w="84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10</w:t>
            </w:r>
          </w:p>
        </w:tc>
        <w:tc>
          <w:tcPr>
            <w:tcW w:w="92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1"/>
              <w:rPr>
                <w:rFonts w:ascii="Arial Narrow" w:hAnsi="Arial Narrow" w:cs="Arial"/>
                <w:bCs/>
                <w:sz w:val="16"/>
                <w:szCs w:val="16"/>
              </w:rPr>
            </w:pPr>
            <w:r>
              <w:rPr>
                <w:rFonts w:cs="Arial" w:ascii="Arial Narrow" w:hAnsi="Arial Narrow"/>
                <w:bCs/>
                <w:sz w:val="16"/>
                <w:szCs w:val="16"/>
              </w:rPr>
              <w:t>06</w:t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 Narrow" w:hAnsi="Arial Narrow" w:cs="Arial"/>
                <w:sz w:val="16"/>
                <w:szCs w:val="16"/>
              </w:rPr>
            </w:pPr>
            <w:r>
              <w:rPr>
                <w:rFonts w:cs="Arial" w:ascii="Arial Narrow" w:hAnsi="Arial Narrow"/>
                <w:sz w:val="16"/>
                <w:szCs w:val="16"/>
              </w:rPr>
              <w:t>Другие вопросы в области социальной политики</w:t>
            </w:r>
          </w:p>
        </w:tc>
        <w:tc>
          <w:tcPr>
            <w:tcW w:w="1204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8880614010</w:t>
            </w:r>
          </w:p>
        </w:tc>
        <w:tc>
          <w:tcPr>
            <w:tcW w:w="2472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Мероприятия в области социальной политики</w:t>
            </w:r>
          </w:p>
        </w:tc>
        <w:tc>
          <w:tcPr>
            <w:tcW w:w="70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800</w:t>
            </w:r>
          </w:p>
        </w:tc>
        <w:tc>
          <w:tcPr>
            <w:tcW w:w="271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Иные бюджетные ассигнования</w:t>
            </w:r>
          </w:p>
        </w:tc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268,0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12,0</w:t>
            </w:r>
          </w:p>
        </w:tc>
        <w:tc>
          <w:tcPr>
            <w:tcW w:w="167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right"/>
              <w:outlineLvl w:val="2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4,5</w:t>
            </w:r>
          </w:p>
        </w:tc>
      </w:tr>
      <w:tr>
        <w:trPr>
          <w:trHeight w:val="489" w:hRule="atLeast"/>
        </w:trPr>
        <w:tc>
          <w:tcPr>
            <w:tcW w:w="1126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ИТОГО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60739,4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14733,3</w:t>
            </w:r>
          </w:p>
        </w:tc>
        <w:tc>
          <w:tcPr>
            <w:tcW w:w="1673" w:type="dxa"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b/>
                <w:b/>
              </w:rPr>
            </w:pPr>
            <w:r>
              <w:rPr>
                <w:rFonts w:cs="Arial" w:ascii="Arial" w:hAnsi="Arial"/>
                <w:b/>
              </w:rPr>
              <w:t>24,3</w:t>
            </w:r>
          </w:p>
        </w:tc>
      </w:tr>
    </w:tbl>
    <w:p>
      <w:pPr>
        <w:pStyle w:val="Normal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  <w:bookmarkStart w:id="1" w:name="RANGE!A1%3AE30"/>
      <w:bookmarkStart w:id="2" w:name="RANGE!A1%3AE30"/>
      <w:bookmarkEnd w:id="2"/>
    </w:p>
    <w:p>
      <w:pPr>
        <w:pStyle w:val="Normal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Normal"/>
        <w:ind w:left="-1134" w:firstLine="1134"/>
        <w:jc w:val="right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Normal"/>
        <w:ind w:left="-1134" w:firstLine="1134"/>
        <w:jc w:val="right"/>
        <w:rPr>
          <w:rFonts w:ascii="Arial" w:hAnsi="Arial" w:cs="Arial"/>
          <w:sz w:val="17"/>
          <w:szCs w:val="17"/>
        </w:rPr>
      </w:pPr>
      <w:r>
        <w:rPr>
          <w:rFonts w:cs="Arial" w:ascii="Arial" w:hAnsi="Arial"/>
          <w:sz w:val="17"/>
          <w:szCs w:val="17"/>
        </w:rPr>
      </w:r>
    </w:p>
    <w:p>
      <w:pPr>
        <w:pStyle w:val="Style18"/>
        <w:spacing w:lineRule="auto" w:line="240"/>
        <w:jc w:val="right"/>
        <w:rPr>
          <w:rFonts w:cs="Arial"/>
          <w:szCs w:val="28"/>
        </w:rPr>
      </w:pPr>
      <w:r>
        <w:rPr>
          <w:rFonts w:cs="Arial"/>
          <w:szCs w:val="28"/>
        </w:rPr>
        <w:t>Приложение №4</w:t>
      </w:r>
    </w:p>
    <w:p>
      <w:pPr>
        <w:pStyle w:val="Style18"/>
        <w:spacing w:lineRule="auto" w:line="240"/>
        <w:jc w:val="right"/>
        <w:rPr/>
      </w:pPr>
      <w:r>
        <w:rPr>
          <w:rFonts w:cs="Arial"/>
          <w:b w:val="false"/>
          <w:sz w:val="20"/>
        </w:rPr>
        <w:t xml:space="preserve">к  постановлению администрации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 xml:space="preserve">рабочего посёлка Шаранга 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Шарангского муниципального района</w:t>
      </w:r>
    </w:p>
    <w:p>
      <w:pPr>
        <w:pStyle w:val="Style18"/>
        <w:spacing w:lineRule="auto" w:line="240"/>
        <w:jc w:val="right"/>
        <w:rPr>
          <w:rFonts w:cs="Arial"/>
          <w:b w:val="false"/>
          <w:b w:val="false"/>
          <w:sz w:val="20"/>
        </w:rPr>
      </w:pPr>
      <w:r>
        <w:rPr>
          <w:rFonts w:cs="Arial"/>
          <w:b w:val="false"/>
          <w:sz w:val="20"/>
        </w:rPr>
        <w:t>Нижегородской области</w:t>
      </w:r>
    </w:p>
    <w:p>
      <w:pPr>
        <w:pStyle w:val="ConsPlusNormal1"/>
        <w:bidi w:val="0"/>
        <w:jc w:val="right"/>
        <w:rPr/>
      </w:pPr>
      <w:r>
        <w:rPr/>
        <w:t xml:space="preserve">«Об утверждении отчета об исполнении </w:t>
      </w:r>
    </w:p>
    <w:p>
      <w:pPr>
        <w:pStyle w:val="ConsPlusNormal1"/>
        <w:bidi w:val="0"/>
        <w:jc w:val="right"/>
        <w:rPr/>
      </w:pPr>
      <w:r>
        <w:rPr/>
        <w:t>бюджета  поселения  за 2 квартал 2020 года»</w:t>
      </w:r>
    </w:p>
    <w:p>
      <w:pPr>
        <w:pStyle w:val="ConsPlusNormal1"/>
        <w:bidi w:val="0"/>
        <w:ind w:left="4536" w:firstLine="567"/>
        <w:jc w:val="right"/>
        <w:rPr/>
      </w:pPr>
      <w:r>
        <w:rPr/>
        <w:t>от 31.07.2020 №94</w:t>
      </w:r>
    </w:p>
    <w:p>
      <w:pPr>
        <w:pStyle w:val="ConsPlusNormal1"/>
        <w:bidi w:val="0"/>
        <w:ind w:left="4536" w:firstLine="567"/>
        <w:jc w:val="right"/>
        <w:rPr/>
      </w:pPr>
      <w:r>
        <w:rPr/>
      </w:r>
    </w:p>
    <w:p>
      <w:pPr>
        <w:pStyle w:val="ConsPlusNormal1"/>
        <w:bidi w:val="0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Источники финансирования дефицита бюджета поселения за  2 квартал 2020 год</w:t>
      </w:r>
    </w:p>
    <w:tbl>
      <w:tblPr>
        <w:tblW w:w="15745" w:type="dxa"/>
        <w:jc w:val="left"/>
        <w:tblInd w:w="-60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5"/>
        <w:gridCol w:w="656"/>
        <w:gridCol w:w="1471"/>
        <w:gridCol w:w="458"/>
        <w:gridCol w:w="2093"/>
        <w:gridCol w:w="2552"/>
        <w:gridCol w:w="3118"/>
        <w:gridCol w:w="142"/>
        <w:gridCol w:w="10"/>
      </w:tblGrid>
      <w:tr>
        <w:trPr>
          <w:trHeight w:val="255" w:hRule="atLeast"/>
        </w:trPr>
        <w:tc>
          <w:tcPr>
            <w:tcW w:w="524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656" w:type="dxa"/>
            <w:tcBorders/>
            <w:vAlign w:val="bottom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1929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4645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sz w:val="17"/>
                <w:szCs w:val="17"/>
              </w:rPr>
            </w:pPr>
            <w:r>
              <w:rPr>
                <w:rFonts w:cs="Arial" w:ascii="Arial" w:hAnsi="Arial"/>
                <w:sz w:val="17"/>
                <w:szCs w:val="17"/>
              </w:rPr>
            </w:r>
          </w:p>
        </w:tc>
        <w:tc>
          <w:tcPr>
            <w:tcW w:w="3118" w:type="dxa"/>
            <w:tcBorders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тыс. рублей</w:t>
            </w:r>
          </w:p>
        </w:tc>
        <w:tc>
          <w:tcPr>
            <w:tcW w:w="152" w:type="dxa"/>
            <w:tcBorders/>
            <w:tcMar>
              <w:left w:w="0" w:type="dxa"/>
              <w:right w:w="0" w:type="dxa"/>
            </w:tcMar>
          </w:tcPr>
          <w:p>
            <w:pPr>
              <w:pStyle w:val="Normal"/>
              <w:snapToGrid w:val="false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</w:tr>
      <w:tr>
        <w:trPr>
          <w:trHeight w:val="563" w:hRule="atLeast"/>
        </w:trPr>
        <w:tc>
          <w:tcPr>
            <w:tcW w:w="524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 показателя</w:t>
            </w:r>
          </w:p>
        </w:tc>
        <w:tc>
          <w:tcPr>
            <w:tcW w:w="72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327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ind w:right="191" w:hanging="0"/>
              <w:jc w:val="center"/>
              <w:rPr/>
            </w:pPr>
            <w:r>
              <w:rPr>
                <w:rFonts w:cs="Arial" w:ascii="Arial" w:hAnsi="Arial"/>
                <w:b/>
                <w:bCs/>
              </w:rPr>
              <w:t>Кассовое исполне-ние</w:t>
            </w:r>
          </w:p>
        </w:tc>
      </w:tr>
      <w:tr>
        <w:trPr>
          <w:trHeight w:val="990" w:hRule="atLeast"/>
        </w:trPr>
        <w:tc>
          <w:tcPr>
            <w:tcW w:w="524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/>
            </w:pPr>
            <w:r>
              <w:rPr>
                <w:rFonts w:eastAsia="Arial" w:cs="Arial" w:ascii="Arial" w:hAnsi="Arial"/>
                <w:b/>
                <w:bCs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администратора источника</w:t>
            </w:r>
            <w:r>
              <w:rPr>
                <w:rFonts w:cs="Arial" w:ascii="Arial" w:hAnsi="Arial"/>
                <w:b/>
                <w:bCs/>
                <w:lang w:val="en-US"/>
              </w:rPr>
              <w:t xml:space="preserve"> </w:t>
            </w:r>
            <w:r>
              <w:rPr>
                <w:rFonts w:cs="Arial" w:ascii="Arial" w:hAnsi="Arial"/>
                <w:b/>
                <w:bCs/>
              </w:rPr>
              <w:t>финансирования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источника финансирования</w:t>
            </w:r>
          </w:p>
        </w:tc>
        <w:tc>
          <w:tcPr>
            <w:tcW w:w="327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8"/>
                <w:szCs w:val="18"/>
              </w:rPr>
            </w:pPr>
            <w:r>
              <w:rPr>
                <w:rFonts w:cs="Arial" w:ascii="Arial" w:hAnsi="Arial"/>
                <w:b/>
                <w:bCs/>
                <w:sz w:val="18"/>
                <w:szCs w:val="18"/>
              </w:rPr>
            </w:r>
          </w:p>
        </w:tc>
      </w:tr>
      <w:tr>
        <w:trPr>
          <w:trHeight w:val="240" w:hRule="atLeast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1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2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3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cs="Arial" w:ascii="Arial" w:hAnsi="Arial"/>
                <w:sz w:val="18"/>
                <w:szCs w:val="18"/>
              </w:rPr>
              <w:t>4</w:t>
            </w:r>
          </w:p>
        </w:tc>
      </w:tr>
      <w:tr>
        <w:trPr>
          <w:trHeight w:val="630" w:hRule="atLeast"/>
        </w:trPr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финансирования дефицита бюджета поселения, всего:                                                         в том числе: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45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ИСТОЧНИКИ ВНУТРЕННЕГО ФИНАНСИРОВАНИЯ дефицита  БЮДЖЕТА ПОСЕЛЕНИЯ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27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 них: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45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4645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60" w:type="dxa"/>
            <w:gridSpan w:val="2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0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/>
            </w:pPr>
            <w:r>
              <w:rPr>
                <w:rFonts w:cs="Arial" w:ascii="Arial" w:hAnsi="Arial"/>
                <w:b/>
                <w:bCs/>
              </w:rPr>
              <w:t>Администрация  рабочего поселка Шаранга Шарангского муниципального района Нижегородской области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487</w:t>
            </w:r>
          </w:p>
        </w:tc>
        <w:tc>
          <w:tcPr>
            <w:tcW w:w="51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 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both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Изменение остатков средств на счетах по учету средств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01050000000000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1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  <w:bCs/>
              </w:rPr>
              <w:t>82,9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Поступление финансовых активов</w:t>
            </w:r>
          </w:p>
        </w:tc>
        <w:tc>
          <w:tcPr>
            <w:tcW w:w="2127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500</w:t>
            </w:r>
          </w:p>
        </w:tc>
        <w:tc>
          <w:tcPr>
            <w:tcW w:w="327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- 14650,4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Поступление на счет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510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- 14650,4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Выбытие финансовых активов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600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b/>
                <w:b/>
                <w:bCs/>
                <w:lang w:val="en-US"/>
              </w:rPr>
            </w:pPr>
            <w:r>
              <w:rPr>
                <w:rFonts w:cs="Arial" w:ascii="Arial" w:hAnsi="Arial"/>
                <w:b/>
              </w:rPr>
              <w:t>14733,3</w:t>
            </w:r>
          </w:p>
        </w:tc>
      </w:tr>
      <w:tr>
        <w:trPr>
          <w:trHeight w:val="510" w:hRule="atLeast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Выбытие со счета бюджета</w:t>
            </w:r>
          </w:p>
        </w:tc>
        <w:tc>
          <w:tcPr>
            <w:tcW w:w="21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snapToGrid w:val="false"/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01050201100000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610</w:t>
            </w:r>
          </w:p>
        </w:tc>
        <w:tc>
          <w:tcPr>
            <w:tcW w:w="32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numPr>
                <w:ilvl w:val="0"/>
                <w:numId w:val="0"/>
              </w:numPr>
              <w:jc w:val="center"/>
              <w:outlineLvl w:val="6"/>
              <w:rPr>
                <w:rFonts w:ascii="Arial" w:hAnsi="Arial" w:cs="Arial"/>
                <w:lang w:val="en-US"/>
              </w:rPr>
            </w:pPr>
            <w:r>
              <w:rPr>
                <w:rFonts w:cs="Arial" w:ascii="Arial" w:hAnsi="Arial"/>
              </w:rPr>
              <w:t>14733,3</w:t>
            </w:r>
          </w:p>
        </w:tc>
      </w:tr>
    </w:tbl>
    <w:p>
      <w:pPr>
        <w:pStyle w:val="ConsPlusNormal1"/>
        <w:bidi w:val="0"/>
        <w:ind w:left="4536" w:firstLine="567"/>
        <w:jc w:val="right"/>
        <w:rPr/>
      </w:pPr>
      <w:r>
        <w:rPr/>
      </w:r>
    </w:p>
    <w:sectPr>
      <w:type w:val="nextPage"/>
      <w:pgSz w:orient="landscape" w:w="16838" w:h="11906"/>
      <w:pgMar w:left="992" w:right="851" w:header="0" w:top="1418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  <w:font w:name="Arial Narrow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cs="Times New Roman"/>
    </w:rPr>
  </w:style>
  <w:style w:type="character" w:styleId="WW8Num6z0">
    <w:name w:val="WW8Num6z0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>
      <w:rFonts w:ascii="Times New Roman" w:hAnsi="Times New Roman" w:eastAsia="Times New Roman" w:cs="Times New Roman"/>
    </w:rPr>
  </w:style>
  <w:style w:type="character" w:styleId="WW8Num7z1">
    <w:name w:val="WW8Num7z1"/>
    <w:qFormat/>
    <w:rPr>
      <w:rFonts w:ascii="Courier New" w:hAnsi="Courier New" w:cs="Courier New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8z0">
    <w:name w:val="WW8Num8z0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rFonts w:ascii="Times New Roman" w:hAnsi="Times New Roman" w:cs="Times New Roman"/>
    </w:rPr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2z0">
    <w:name w:val="WW8Num22z0"/>
    <w:qFormat/>
    <w:rPr/>
  </w:style>
  <w:style w:type="character" w:styleId="WW8Num22z1">
    <w:name w:val="WW8Num22z1"/>
    <w:qFormat/>
    <w:rPr/>
  </w:style>
  <w:style w:type="character" w:styleId="WW8Num22z2">
    <w:name w:val="WW8Num22z2"/>
    <w:qFormat/>
    <w:rPr/>
  </w:style>
  <w:style w:type="character" w:styleId="WW8Num22z3">
    <w:name w:val="WW8Num22z3"/>
    <w:qFormat/>
    <w:rPr/>
  </w:style>
  <w:style w:type="character" w:styleId="WW8Num22z4">
    <w:name w:val="WW8Num22z4"/>
    <w:qFormat/>
    <w:rPr/>
  </w:style>
  <w:style w:type="character" w:styleId="WW8Num22z5">
    <w:name w:val="WW8Num22z5"/>
    <w:qFormat/>
    <w:rPr/>
  </w:style>
  <w:style w:type="character" w:styleId="WW8Num22z6">
    <w:name w:val="WW8Num22z6"/>
    <w:qFormat/>
    <w:rPr/>
  </w:style>
  <w:style w:type="character" w:styleId="WW8Num22z7">
    <w:name w:val="WW8Num22z7"/>
    <w:qFormat/>
    <w:rPr/>
  </w:style>
  <w:style w:type="character" w:styleId="WW8Num22z8">
    <w:name w:val="WW8Num22z8"/>
    <w:qFormat/>
    <w:rPr/>
  </w:style>
  <w:style w:type="character" w:styleId="WW8Num23z0">
    <w:name w:val="WW8Num23z0"/>
    <w:qFormat/>
    <w:rPr>
      <w:rFonts w:ascii="Times New Roman" w:hAnsi="Times New Roman" w:cs="Times New Roman"/>
    </w:rPr>
  </w:style>
  <w:style w:type="character" w:styleId="WW8Num24z0">
    <w:name w:val="WW8Num24z0"/>
    <w:qFormat/>
    <w:rPr>
      <w:sz w:val="28"/>
    </w:rPr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/>
  </w:style>
  <w:style w:type="character" w:styleId="WW8Num27z1">
    <w:name w:val="WW8Num27z1"/>
    <w:qFormat/>
    <w:rPr/>
  </w:style>
  <w:style w:type="character" w:styleId="WW8Num27z2">
    <w:name w:val="WW8Num27z2"/>
    <w:qFormat/>
    <w:rPr/>
  </w:style>
  <w:style w:type="character" w:styleId="WW8Num27z3">
    <w:name w:val="WW8Num27z3"/>
    <w:qFormat/>
    <w:rPr/>
  </w:style>
  <w:style w:type="character" w:styleId="WW8Num27z4">
    <w:name w:val="WW8Num27z4"/>
    <w:qFormat/>
    <w:rPr/>
  </w:style>
  <w:style w:type="character" w:styleId="WW8Num27z5">
    <w:name w:val="WW8Num27z5"/>
    <w:qFormat/>
    <w:rPr/>
  </w:style>
  <w:style w:type="character" w:styleId="WW8Num27z6">
    <w:name w:val="WW8Num27z6"/>
    <w:qFormat/>
    <w:rPr/>
  </w:style>
  <w:style w:type="character" w:styleId="WW8Num27z7">
    <w:name w:val="WW8Num27z7"/>
    <w:qFormat/>
    <w:rPr/>
  </w:style>
  <w:style w:type="character" w:styleId="WW8Num27z8">
    <w:name w:val="WW8Num27z8"/>
    <w:qFormat/>
    <w:rPr/>
  </w:style>
  <w:style w:type="character" w:styleId="WW8Num28z0">
    <w:name w:val="WW8Num28z0"/>
    <w:qFormat/>
    <w:rPr>
      <w:rFonts w:ascii="Times New Roman" w:hAnsi="Times New Roman" w:cs="Times New Roman"/>
    </w:rPr>
  </w:style>
  <w:style w:type="character" w:styleId="WW8Num29z0">
    <w:name w:val="WW8Num29z0"/>
    <w:qFormat/>
    <w:rPr/>
  </w:style>
  <w:style w:type="character" w:styleId="WW8Num29z1">
    <w:name w:val="WW8Num29z1"/>
    <w:qFormat/>
    <w:rPr/>
  </w:style>
  <w:style w:type="character" w:styleId="WW8Num29z2">
    <w:name w:val="WW8Num29z2"/>
    <w:qFormat/>
    <w:rPr/>
  </w:style>
  <w:style w:type="character" w:styleId="WW8Num29z3">
    <w:name w:val="WW8Num29z3"/>
    <w:qFormat/>
    <w:rPr/>
  </w:style>
  <w:style w:type="character" w:styleId="WW8Num29z4">
    <w:name w:val="WW8Num29z4"/>
    <w:qFormat/>
    <w:rPr/>
  </w:style>
  <w:style w:type="character" w:styleId="WW8Num29z5">
    <w:name w:val="WW8Num29z5"/>
    <w:qFormat/>
    <w:rPr/>
  </w:style>
  <w:style w:type="character" w:styleId="WW8Num29z6">
    <w:name w:val="WW8Num29z6"/>
    <w:qFormat/>
    <w:rPr/>
  </w:style>
  <w:style w:type="character" w:styleId="WW8Num29z7">
    <w:name w:val="WW8Num29z7"/>
    <w:qFormat/>
    <w:rPr/>
  </w:style>
  <w:style w:type="character" w:styleId="WW8Num29z8">
    <w:name w:val="WW8Num29z8"/>
    <w:qFormat/>
    <w:rPr/>
  </w:style>
  <w:style w:type="character" w:styleId="WW8Num30z0">
    <w:name w:val="WW8Num30z0"/>
    <w:qFormat/>
    <w:rPr/>
  </w:style>
  <w:style w:type="character" w:styleId="WW8Num30z2">
    <w:name w:val="WW8Num30z2"/>
    <w:qFormat/>
    <w:rPr/>
  </w:style>
  <w:style w:type="character" w:styleId="WW8Num30z3">
    <w:name w:val="WW8Num30z3"/>
    <w:qFormat/>
    <w:rPr/>
  </w:style>
  <w:style w:type="character" w:styleId="WW8Num30z4">
    <w:name w:val="WW8Num30z4"/>
    <w:qFormat/>
    <w:rPr/>
  </w:style>
  <w:style w:type="character" w:styleId="WW8Num30z5">
    <w:name w:val="WW8Num30z5"/>
    <w:qFormat/>
    <w:rPr/>
  </w:style>
  <w:style w:type="character" w:styleId="WW8Num30z6">
    <w:name w:val="WW8Num30z6"/>
    <w:qFormat/>
    <w:rPr/>
  </w:style>
  <w:style w:type="character" w:styleId="WW8Num30z7">
    <w:name w:val="WW8Num30z7"/>
    <w:qFormat/>
    <w:rPr/>
  </w:style>
  <w:style w:type="character" w:styleId="WW8Num30z8">
    <w:name w:val="WW8Num30z8"/>
    <w:qFormat/>
    <w:rPr/>
  </w:style>
  <w:style w:type="character" w:styleId="WW8Num31z0">
    <w:name w:val="WW8Num31z0"/>
    <w:qFormat/>
    <w:rPr>
      <w:rFonts w:ascii="Times New Roman" w:hAnsi="Times New Roman" w:cs="Times New Roman"/>
    </w:rPr>
  </w:style>
  <w:style w:type="character" w:styleId="WW8Num32z0">
    <w:name w:val="WW8Num32z0"/>
    <w:qFormat/>
    <w:rPr>
      <w:rFonts w:ascii="Times New Roman" w:hAnsi="Times New Roman" w:cs="Times New Roman"/>
    </w:rPr>
  </w:style>
  <w:style w:type="character" w:styleId="WW8Num33z0">
    <w:name w:val="WW8Num33z0"/>
    <w:qFormat/>
    <w:rPr/>
  </w:style>
  <w:style w:type="character" w:styleId="WW8Num34z0">
    <w:name w:val="WW8Num34z0"/>
    <w:qFormat/>
    <w:rPr/>
  </w:style>
  <w:style w:type="character" w:styleId="WW8Num34z1">
    <w:name w:val="WW8Num34z1"/>
    <w:qFormat/>
    <w:rPr/>
  </w:style>
  <w:style w:type="character" w:styleId="WW8Num34z2">
    <w:name w:val="WW8Num34z2"/>
    <w:qFormat/>
    <w:rPr/>
  </w:style>
  <w:style w:type="character" w:styleId="WW8Num34z3">
    <w:name w:val="WW8Num34z3"/>
    <w:qFormat/>
    <w:rPr/>
  </w:style>
  <w:style w:type="character" w:styleId="WW8Num34z4">
    <w:name w:val="WW8Num34z4"/>
    <w:qFormat/>
    <w:rPr/>
  </w:style>
  <w:style w:type="character" w:styleId="WW8Num34z5">
    <w:name w:val="WW8Num34z5"/>
    <w:qFormat/>
    <w:rPr/>
  </w:style>
  <w:style w:type="character" w:styleId="WW8Num34z6">
    <w:name w:val="WW8Num34z6"/>
    <w:qFormat/>
    <w:rPr/>
  </w:style>
  <w:style w:type="character" w:styleId="WW8Num34z7">
    <w:name w:val="WW8Num34z7"/>
    <w:qFormat/>
    <w:rPr/>
  </w:style>
  <w:style w:type="character" w:styleId="WW8Num34z8">
    <w:name w:val="WW8Num34z8"/>
    <w:qFormat/>
    <w:rPr/>
  </w:style>
  <w:style w:type="character" w:styleId="WW8Num35z0">
    <w:name w:val="WW8Num35z0"/>
    <w:qFormat/>
    <w:rPr>
      <w:rFonts w:ascii="Times New Roman" w:hAnsi="Times New Roman" w:cs="Times New Roman"/>
    </w:rPr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/>
  </w:style>
  <w:style w:type="character" w:styleId="WW8Num38z0">
    <w:name w:val="WW8Num38z0"/>
    <w:qFormat/>
    <w:rPr/>
  </w:style>
  <w:style w:type="character" w:styleId="WW8Num38z1">
    <w:name w:val="WW8Num38z1"/>
    <w:qFormat/>
    <w:rPr/>
  </w:style>
  <w:style w:type="character" w:styleId="WW8Num38z2">
    <w:name w:val="WW8Num38z2"/>
    <w:qFormat/>
    <w:rPr/>
  </w:style>
  <w:style w:type="character" w:styleId="WW8Num38z3">
    <w:name w:val="WW8Num38z3"/>
    <w:qFormat/>
    <w:rPr/>
  </w:style>
  <w:style w:type="character" w:styleId="WW8Num38z4">
    <w:name w:val="WW8Num38z4"/>
    <w:qFormat/>
    <w:rPr/>
  </w:style>
  <w:style w:type="character" w:styleId="WW8Num38z5">
    <w:name w:val="WW8Num38z5"/>
    <w:qFormat/>
    <w:rPr/>
  </w:style>
  <w:style w:type="character" w:styleId="WW8Num38z6">
    <w:name w:val="WW8Num38z6"/>
    <w:qFormat/>
    <w:rPr/>
  </w:style>
  <w:style w:type="character" w:styleId="WW8Num38z7">
    <w:name w:val="WW8Num38z7"/>
    <w:qFormat/>
    <w:rPr/>
  </w:style>
  <w:style w:type="character" w:styleId="WW8Num38z8">
    <w:name w:val="WW8Num38z8"/>
    <w:qFormat/>
    <w:rPr/>
  </w:style>
  <w:style w:type="character" w:styleId="WW8Num39z0">
    <w:name w:val="WW8Num39z0"/>
    <w:qFormat/>
    <w:rPr/>
  </w:style>
  <w:style w:type="character" w:styleId="WW8Num39z1">
    <w:name w:val="WW8Num39z1"/>
    <w:qFormat/>
    <w:rPr/>
  </w:style>
  <w:style w:type="character" w:styleId="WW8Num39z2">
    <w:name w:val="WW8Num39z2"/>
    <w:qFormat/>
    <w:rPr/>
  </w:style>
  <w:style w:type="character" w:styleId="WW8Num39z3">
    <w:name w:val="WW8Num39z3"/>
    <w:qFormat/>
    <w:rPr/>
  </w:style>
  <w:style w:type="character" w:styleId="WW8Num39z4">
    <w:name w:val="WW8Num39z4"/>
    <w:qFormat/>
    <w:rPr/>
  </w:style>
  <w:style w:type="character" w:styleId="WW8Num39z5">
    <w:name w:val="WW8Num39z5"/>
    <w:qFormat/>
    <w:rPr/>
  </w:style>
  <w:style w:type="character" w:styleId="WW8Num39z6">
    <w:name w:val="WW8Num39z6"/>
    <w:qFormat/>
    <w:rPr/>
  </w:style>
  <w:style w:type="character" w:styleId="WW8Num39z7">
    <w:name w:val="WW8Num39z7"/>
    <w:qFormat/>
    <w:rPr/>
  </w:style>
  <w:style w:type="character" w:styleId="WW8Num39z8">
    <w:name w:val="WW8Num39z8"/>
    <w:qFormat/>
    <w:rPr/>
  </w:style>
  <w:style w:type="character" w:styleId="WW8Num40z0">
    <w:name w:val="WW8Num40z0"/>
    <w:qFormat/>
    <w:rPr>
      <w:rFonts w:ascii="Times New Roman" w:hAnsi="Times New Roman" w:cs="Times New Roman"/>
    </w:rPr>
  </w:style>
  <w:style w:type="character" w:styleId="WW8Num41z0">
    <w:name w:val="WW8Num41z0"/>
    <w:qFormat/>
    <w:rPr>
      <w:rFonts w:ascii="Times New Roman" w:hAnsi="Times New Roman" w:eastAsia="Times New Roman" w:cs="Times New Roman"/>
    </w:rPr>
  </w:style>
  <w:style w:type="character" w:styleId="WW8Num41z1">
    <w:name w:val="WW8Num41z1"/>
    <w:qFormat/>
    <w:rPr>
      <w:rFonts w:ascii="Courier New" w:hAnsi="Courier New" w:cs="Courier New"/>
    </w:rPr>
  </w:style>
  <w:style w:type="character" w:styleId="WW8Num41z2">
    <w:name w:val="WW8Num41z2"/>
    <w:qFormat/>
    <w:rPr>
      <w:rFonts w:ascii="Wingdings" w:hAnsi="Wingdings" w:cs="Wingdings"/>
    </w:rPr>
  </w:style>
  <w:style w:type="character" w:styleId="WW8Num41z3">
    <w:name w:val="WW8Num41z3"/>
    <w:qFormat/>
    <w:rPr>
      <w:rFonts w:ascii="Symbol" w:hAnsi="Symbol" w:cs="Symbol"/>
    </w:rPr>
  </w:style>
  <w:style w:type="character" w:styleId="WW8Num42z0">
    <w:name w:val="WW8Num42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21">
    <w:name w:val="Заголовок 2 Знак"/>
    <w:basedOn w:val="Style11"/>
    <w:qFormat/>
    <w:rPr>
      <w:rFonts w:ascii="Arial" w:hAnsi="Arial" w:cs="Arial"/>
      <w:sz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3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  <w:style w:type="numbering" w:styleId="WW8Num40">
    <w:name w:val="WW8Num40"/>
    <w:qFormat/>
  </w:style>
  <w:style w:type="numbering" w:styleId="WW8Num41">
    <w:name w:val="WW8Num41"/>
    <w:qFormat/>
  </w:style>
  <w:style w:type="numbering" w:styleId="WW8Num42">
    <w:name w:val="WW8Num4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738</TotalTime>
  <Application>LibreOffice/6.4.4.2$Windows_x86 LibreOffice_project/3d775be2011f3886db32dfd395a6a6d1ca2630ff</Application>
  <Pages>58</Pages>
  <Words>3794</Words>
  <Characters>27392</Characters>
  <CharactersWithSpaces>30350</CharactersWithSpaces>
  <Paragraphs>1226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/>
  <dc:language>ru-RU</dc:language>
  <cp:lastModifiedBy>Admin</cp:lastModifiedBy>
  <cp:lastPrinted>2020-08-03T09:11:00Z</cp:lastPrinted>
  <dcterms:modified xsi:type="dcterms:W3CDTF">2020-08-03T15:01:00Z</dcterms:modified>
  <cp:revision>56</cp:revision>
  <dc:subject/>
  <dc:title>ПОСТАНОВЛЕНИЕ</dc:title>
</cp:coreProperties>
</file>