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25.06.2020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81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Об утверждении муниципальной программы  «Профилактика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годы»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Федеральным законом  от 06.10.2003  № 131-ФЗ «Об общих принципах организации местного самоуправления в Российской Федерации», </w:t>
      </w:r>
      <w:r>
        <w:rPr>
          <w:kern w:val="2"/>
          <w:sz w:val="24"/>
          <w:szCs w:val="24"/>
        </w:rPr>
        <w:t>Федеральным законом от 08.01.1998 № 3-ФЗ «О наркотических средствах и психотропных веществах»</w:t>
      </w:r>
      <w:r>
        <w:rPr>
          <w:sz w:val="24"/>
          <w:szCs w:val="24"/>
        </w:rPr>
        <w:t>, Законом Нижегородской области от 28.03.2002 № 16-З «О профилактике наркомании и токсикомании», в целях профилактики наркомании и токсикомании на территории</w:t>
      </w:r>
      <w:r>
        <w:rPr>
          <w:bCs/>
          <w:sz w:val="24"/>
          <w:szCs w:val="24"/>
        </w:rPr>
        <w:t xml:space="preserve"> муниципального образования рабочий поселок Шаранга Шарангского муниципального района Нижегородской области</w:t>
      </w:r>
      <w:r>
        <w:rPr>
          <w:sz w:val="24"/>
          <w:szCs w:val="24"/>
        </w:rPr>
        <w:t xml:space="preserve">, администрация рабочего посёлка Шаранга Шарангского муниципального района Нижегородской области </w:t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 xml:space="preserve">1. </w:t>
      </w:r>
      <w:r>
        <w:rPr>
          <w:rFonts w:cs="Arial" w:ascii="Arial" w:hAnsi="Arial"/>
          <w:sz w:val="24"/>
          <w:szCs w:val="24"/>
          <w:shd w:fill="FFFFFF" w:val="clear"/>
        </w:rPr>
        <w:t xml:space="preserve">Утвердить </w:t>
      </w:r>
      <w:r>
        <w:rPr>
          <w:rFonts w:cs="Arial" w:ascii="Arial" w:hAnsi="Arial"/>
          <w:sz w:val="24"/>
          <w:szCs w:val="24"/>
        </w:rPr>
        <w:t xml:space="preserve">муниципальную программу  «Профилактика  наркомании и токсикомании   на территории </w:t>
      </w:r>
      <w:r>
        <w:rPr>
          <w:rFonts w:cs="Arial" w:ascii="Arial" w:hAnsi="Arial"/>
          <w:bCs/>
          <w:sz w:val="24"/>
          <w:szCs w:val="24"/>
        </w:rPr>
        <w:t>муниципального образования рабочий поселок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 на 2020 - 2022 годы»</w:t>
      </w:r>
      <w:r>
        <w:rPr>
          <w:rFonts w:cs="Arial" w:ascii="Arial" w:hAnsi="Arial"/>
          <w:sz w:val="24"/>
          <w:szCs w:val="24"/>
          <w:shd w:fill="FFFFFF" w:val="clear"/>
        </w:rPr>
        <w:t xml:space="preserve"> </w:t>
      </w:r>
      <w:r>
        <w:rPr>
          <w:rFonts w:cs="Arial" w:ascii="Arial" w:hAnsi="Arial"/>
          <w:sz w:val="24"/>
          <w:szCs w:val="24"/>
        </w:rPr>
        <w:t>согласно приложению.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 xml:space="preserve">2. Обнародовать настоящее постановление в соответствии с Уставом </w:t>
      </w:r>
      <w:r>
        <w:rPr>
          <w:rFonts w:cs="Arial" w:ascii="Arial" w:hAnsi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3. Настоящее постановление вступает в силу со дня его обнародования.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4. Контроль за исполнением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jc w:val="both"/>
        <w:rPr>
          <w:sz w:val="24"/>
          <w:szCs w:val="24"/>
          <w:lang w:eastAsia="ar-SA"/>
        </w:rPr>
      </w:pPr>
      <w:r>
        <w:rPr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ind w:left="540" w:hanging="0"/>
        <w:jc w:val="right"/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Утвержден</w:t>
      </w:r>
    </w:p>
    <w:p>
      <w:pPr>
        <w:pStyle w:val="Normal"/>
        <w:numPr>
          <w:ilvl w:val="0"/>
          <w:numId w:val="0"/>
        </w:numPr>
        <w:autoSpaceDE w:val="false"/>
        <w:ind w:left="540" w:hanging="0"/>
        <w:jc w:val="right"/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постановлением администрации </w:t>
      </w:r>
    </w:p>
    <w:p>
      <w:pPr>
        <w:pStyle w:val="Normal"/>
        <w:numPr>
          <w:ilvl w:val="0"/>
          <w:numId w:val="0"/>
        </w:numPr>
        <w:autoSpaceDE w:val="false"/>
        <w:ind w:left="540" w:hanging="0"/>
        <w:jc w:val="right"/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рабочего поселка Шаранга </w:t>
      </w:r>
    </w:p>
    <w:p>
      <w:pPr>
        <w:pStyle w:val="Normal"/>
        <w:numPr>
          <w:ilvl w:val="0"/>
          <w:numId w:val="0"/>
        </w:numPr>
        <w:autoSpaceDE w:val="false"/>
        <w:ind w:left="540" w:hanging="0"/>
        <w:jc w:val="right"/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Шарангского района </w:t>
      </w:r>
    </w:p>
    <w:p>
      <w:pPr>
        <w:pStyle w:val="Normal"/>
        <w:numPr>
          <w:ilvl w:val="0"/>
          <w:numId w:val="0"/>
        </w:numPr>
        <w:autoSpaceDE w:val="false"/>
        <w:ind w:left="540" w:hanging="0"/>
        <w:jc w:val="right"/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Нижегородской области</w:t>
      </w:r>
    </w:p>
    <w:p>
      <w:pPr>
        <w:pStyle w:val="Normal"/>
        <w:numPr>
          <w:ilvl w:val="0"/>
          <w:numId w:val="0"/>
        </w:numPr>
        <w:autoSpaceDE w:val="false"/>
        <w:ind w:left="540" w:hanging="0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2"/>
          <w:szCs w:val="22"/>
        </w:rPr>
        <w:t>от 25.06.2020 №81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numPr>
          <w:ilvl w:val="0"/>
          <w:numId w:val="0"/>
        </w:numPr>
        <w:autoSpaceDE w:val="false"/>
        <w:ind w:left="540" w:hanging="0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30"/>
        <w:shd w:fill="FFFFFF" w:val="clear"/>
        <w:spacing w:before="0" w:after="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Муниципальная программа </w:t>
      </w:r>
    </w:p>
    <w:p>
      <w:pPr>
        <w:pStyle w:val="Style30"/>
        <w:shd w:fill="FFFFFF" w:val="clear"/>
        <w:spacing w:before="0" w:after="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eastAsia="Arial" w:cs="Arial" w:ascii="Arial" w:hAnsi="Arial"/>
          <w:b/>
          <w:bCs/>
          <w:sz w:val="22"/>
          <w:szCs w:val="22"/>
        </w:rPr>
        <w:t xml:space="preserve"> </w:t>
      </w:r>
      <w:r>
        <w:rPr>
          <w:rFonts w:cs="Arial" w:ascii="Arial" w:hAnsi="Arial"/>
          <w:b/>
          <w:bCs/>
          <w:sz w:val="22"/>
          <w:szCs w:val="22"/>
        </w:rPr>
        <w:t>«Профилактика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года»</w:t>
      </w:r>
    </w:p>
    <w:p>
      <w:pPr>
        <w:pStyle w:val="Style30"/>
        <w:shd w:fill="FFFFFF" w:val="clear"/>
        <w:spacing w:before="0" w:after="0"/>
        <w:jc w:val="center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bCs/>
          <w:sz w:val="22"/>
          <w:szCs w:val="22"/>
        </w:rPr>
        <w:t xml:space="preserve"> </w:t>
      </w:r>
      <w:r>
        <w:rPr>
          <w:rFonts w:cs="Arial" w:ascii="Arial" w:hAnsi="Arial"/>
          <w:bCs/>
          <w:sz w:val="22"/>
          <w:szCs w:val="22"/>
        </w:rPr>
        <w:t>(далее – Программа)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Style28"/>
        <w:numPr>
          <w:ilvl w:val="0"/>
          <w:numId w:val="2"/>
        </w:numPr>
        <w:spacing w:lineRule="auto" w:line="240" w:before="0" w:after="0"/>
        <w:contextualSpacing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  <w:bCs/>
        </w:rPr>
        <w:t>Паспорт муниципальной программы</w:t>
      </w:r>
    </w:p>
    <w:p>
      <w:pPr>
        <w:pStyle w:val="Style28"/>
        <w:spacing w:lineRule="auto" w:line="240" w:before="0" w:after="0"/>
        <w:contextualSpacing/>
        <w:jc w:val="center"/>
        <w:rPr/>
      </w:pPr>
      <w:r>
        <w:rPr>
          <w:rFonts w:eastAsia="Arial" w:cs="Arial" w:ascii="Arial" w:hAnsi="Arial"/>
          <w:b/>
        </w:rPr>
        <w:t xml:space="preserve"> </w:t>
      </w:r>
      <w:r>
        <w:rPr>
          <w:rFonts w:cs="Arial" w:ascii="Arial" w:hAnsi="Arial"/>
          <w:b/>
        </w:rPr>
        <w:t>«</w:t>
      </w:r>
      <w:r>
        <w:rPr>
          <w:rFonts w:cs="Arial" w:ascii="Arial" w:hAnsi="Arial"/>
          <w:b/>
          <w:bCs/>
        </w:rPr>
        <w:t>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года</w:t>
      </w:r>
      <w:r>
        <w:rPr>
          <w:rFonts w:cs="Arial" w:ascii="Arial" w:hAnsi="Arial"/>
          <w:b/>
        </w:rPr>
        <w:t>»</w:t>
      </w:r>
    </w:p>
    <w:p>
      <w:pPr>
        <w:pStyle w:val="Normal"/>
        <w:ind w:firstLine="540"/>
        <w:jc w:val="both"/>
        <w:rPr/>
      </w:pPr>
      <w:r>
        <w:rPr/>
        <w:t> </w:t>
      </w:r>
    </w:p>
    <w:tbl>
      <w:tblPr>
        <w:tblW w:w="9675" w:type="dxa"/>
        <w:jc w:val="left"/>
        <w:tblInd w:w="120" w:type="dxa"/>
        <w:tblCellMar>
          <w:top w:w="0" w:type="dxa"/>
          <w:left w:w="113" w:type="dxa"/>
          <w:bottom w:w="0" w:type="dxa"/>
          <w:right w:w="108" w:type="dxa"/>
        </w:tblCellMar>
      </w:tblPr>
      <w:tblGrid>
        <w:gridCol w:w="2540"/>
        <w:gridCol w:w="7135"/>
      </w:tblGrid>
      <w:tr>
        <w:trPr/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1.1.Наименование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года</w:t>
            </w:r>
          </w:p>
        </w:tc>
      </w:tr>
      <w:tr>
        <w:trPr>
          <w:trHeight w:val="463" w:hRule="atLeast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1.2.Основание для разработки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Закон Нижегородской области от 28.03.2002 № 16-З «О профилактике наркомании и токсикомании» </w:t>
            </w:r>
          </w:p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</w:p>
        </w:tc>
      </w:tr>
      <w:tr>
        <w:trPr/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 .Заказчик - координатор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 xml:space="preserve">Администрация  рабочего поселка Шаранга Шарангского муниципального района Нижегородской области </w:t>
            </w:r>
          </w:p>
        </w:tc>
      </w:tr>
      <w:tr>
        <w:trPr/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 Основные разработчики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Администрация  рабочего поселка Шаранга Шарангского муниципального района Нижегородской области</w:t>
            </w:r>
          </w:p>
        </w:tc>
      </w:tr>
      <w:tr>
        <w:trPr/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 Исполнители муниципальной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Администрация  рабочего поселка Шаранга Шарангского муниципального района Нижегородской области;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 </w:t>
            </w:r>
            <w:r>
              <w:rPr>
                <w:rFonts w:cs="Arial" w:ascii="Arial" w:hAnsi="Arial"/>
                <w:sz w:val="20"/>
                <w:szCs w:val="20"/>
              </w:rPr>
              <w:t>Отделение полиции (дислокация п.г.т. Шаранга) МО МВД России «Уренский» (по согласованию)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 </w:t>
            </w:r>
            <w:r>
              <w:rPr>
                <w:rFonts w:cs="Arial" w:ascii="Arial" w:hAnsi="Arial"/>
                <w:sz w:val="20"/>
                <w:szCs w:val="20"/>
              </w:rPr>
              <w:t>МБУК «Шарангская  централизованная клубная система» (по согласованию)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/>
            </w:pPr>
            <w:r>
              <w:rPr>
                <w:rFonts w:cs="Arial" w:ascii="Arial" w:hAnsi="Arial"/>
                <w:color w:val="FF0000"/>
                <w:sz w:val="20"/>
                <w:szCs w:val="20"/>
              </w:rPr>
              <w:t> </w:t>
            </w:r>
            <w:r>
              <w:rPr>
                <w:rFonts w:cs="Arial" w:ascii="Arial" w:hAnsi="Arial"/>
                <w:sz w:val="20"/>
                <w:szCs w:val="20"/>
              </w:rPr>
              <w:t>ГБУЗ НО «Шарангская ЦРБ» (по согласованию)</w:t>
            </w:r>
          </w:p>
        </w:tc>
      </w:tr>
      <w:tr>
        <w:trPr/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 Подпрограмы муниципальной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ind w:firstLine="29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Не предусмотрено</w:t>
            </w:r>
          </w:p>
        </w:tc>
      </w:tr>
      <w:tr>
        <w:trPr/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 Цель муниципальной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</w:t>
            </w:r>
          </w:p>
        </w:tc>
      </w:tr>
      <w:tr>
        <w:trPr>
          <w:trHeight w:val="3368" w:hRule="atLeast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 Задачи муниципальной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совершенствование системы профилактики злоупотребления наркотическими средствами и другими психоактивными веществами среди различных категорий населения, прежде всего молодежи и несовершеннолетних;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предупреждение преступлений и правонарушений, связанных со злоупотреблением и незаконным оборотом наркотиков;</w:t>
            </w:r>
          </w:p>
          <w:p>
            <w:pPr>
              <w:pStyle w:val="Normal"/>
              <w:spacing w:lineRule="atLeast" w:line="24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 организация информационно-пропагандистского обеспечения профилактики наркомании в поселении;</w:t>
            </w:r>
          </w:p>
          <w:p>
            <w:pPr>
              <w:pStyle w:val="Normal"/>
              <w:spacing w:lineRule="atLeast" w:line="24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 совершенствование нормативно - правовой базы муниципального образования в сфере незаконного оборота наркотиков;</w:t>
            </w:r>
          </w:p>
          <w:p>
            <w:pPr>
              <w:pStyle w:val="Normal"/>
              <w:spacing w:lineRule="atLeast" w:line="24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 оптимизация работы по профилактике распространения и употребления наркотических и психотропных веществ;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создание системы стимулов среди населения к стремлению жизни без наркотиков.</w:t>
            </w:r>
          </w:p>
        </w:tc>
      </w:tr>
      <w:tr>
        <w:trPr>
          <w:trHeight w:val="1096" w:hRule="atLeast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1.8. Этапы и сроки реализации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муниципальной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</w:rPr>
              <w:t>Программа реализуется-  в один этап - с 2020 по 2022 годы</w:t>
            </w:r>
          </w:p>
        </w:tc>
      </w:tr>
      <w:tr>
        <w:trPr>
          <w:trHeight w:val="1096" w:hRule="atLeast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1.9. Система организации контроля за исполнением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ind w:firstLine="29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Контроль выполнения настоящей Программы осуществляет глава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1096" w:hRule="atLeast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1.10. Объемы бюджетных ассигнований муниципальной программы за счет всех источников финансирования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Финансирование программы не предусмотрено</w:t>
            </w:r>
          </w:p>
          <w:p>
            <w:pPr>
              <w:pStyle w:val="Normal"/>
              <w:ind w:firstLine="29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1096" w:hRule="atLeast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Style28"/>
              <w:numPr>
                <w:ilvl w:val="1"/>
                <w:numId w:val="2"/>
              </w:numPr>
              <w:spacing w:before="0" w:after="200"/>
              <w:ind w:left="17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Планируемые результаты реализации Программы</w:t>
            </w:r>
          </w:p>
        </w:tc>
        <w:tc>
          <w:tcPr>
            <w:tcW w:w="71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снижение количества лиц употребляющих алкогольные и наркотические вещества;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-выявление потребителей психоактивных веществ и наркотических средств на ранней стадии;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-снижение уровня доступности психоактивных веществ и наркотических средств для молодежи;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повышение уровня информированности населения по проблемам злоупотребления психоактивными веществами и наркотическими средствами;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повышение интереса родителей к вопросам антинаркотического воспитания детей и подростков;</w:t>
            </w:r>
          </w:p>
          <w:p>
            <w:pPr>
              <w:pStyle w:val="Style30"/>
              <w:shd w:fill="FFFFFF" w:val="clear"/>
              <w:spacing w:before="0"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формирование позитивного отношения населения к здоровому образу жизни. </w:t>
            </w:r>
          </w:p>
          <w:p>
            <w:pPr>
              <w:pStyle w:val="Normal"/>
              <w:ind w:firstLine="29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Style26"/>
        <w:bidi w:val="0"/>
        <w:ind w:left="720" w:hanging="0"/>
        <w:jc w:val="lef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26"/>
        <w:numPr>
          <w:ilvl w:val="0"/>
          <w:numId w:val="2"/>
        </w:numPr>
        <w:bidi w:val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Характеристика программы и обоснование ее решения</w:t>
      </w:r>
    </w:p>
    <w:p>
      <w:pPr>
        <w:pStyle w:val="Style26"/>
        <w:bidi w:val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программно-целевыми методами</w:t>
      </w:r>
    </w:p>
    <w:p>
      <w:pPr>
        <w:pStyle w:val="Style30"/>
        <w:numPr>
          <w:ilvl w:val="1"/>
          <w:numId w:val="4"/>
        </w:numPr>
        <w:shd w:fill="FFFFFF" w:val="clear"/>
        <w:spacing w:before="0" w:after="0"/>
        <w:ind w:left="0" w:firstLine="567"/>
        <w:jc w:val="both"/>
        <w:rPr/>
      </w:pPr>
      <w:r>
        <w:rPr>
          <w:rFonts w:cs="Arial" w:ascii="Arial" w:hAnsi="Arial"/>
          <w:sz w:val="22"/>
          <w:szCs w:val="22"/>
        </w:rPr>
        <w:t>Муниципальная программа  «</w:t>
      </w:r>
      <w:r>
        <w:rPr>
          <w:rFonts w:cs="Arial" w:ascii="Arial" w:hAnsi="Arial"/>
          <w:bCs/>
          <w:sz w:val="22"/>
          <w:szCs w:val="22"/>
        </w:rPr>
        <w:t>Профилактика наркомании и токсикомании на территории муниципального образования рабочий поселок Шаранга Шарангского муниципального района Нижегородской области на 2020-2022 года</w:t>
      </w:r>
      <w:r>
        <w:rPr>
          <w:rFonts w:cs="Arial" w:ascii="Arial" w:hAnsi="Arial"/>
          <w:sz w:val="22"/>
          <w:szCs w:val="22"/>
        </w:rPr>
        <w:t>», разработана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08.01.1998 № 3-ФЗ «О наркотических средствах и психотропных веществах», Законом Нижегородской области от 28.03.2002 № 16-З «О профилактике наркомании и токсикомании», в целях активизации работы по противодействию незаконному обороту наркотических средств и психотропных веществ на территории муниципального образования.</w:t>
      </w:r>
    </w:p>
    <w:p>
      <w:pPr>
        <w:pStyle w:val="Normal"/>
        <w:tabs>
          <w:tab w:val="clear" w:pos="720"/>
          <w:tab w:val="left" w:pos="7305" w:leader="none"/>
        </w:tabs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2.2. Основные цели и задачи программы:</w:t>
        <w:tab/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Основной целью программы является 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веществ.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2.3. Программа рассчитана на 2020-2022 годы и предлагает решение следующих основных задач: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-совершенствование системы профилактики злоупотребления наркотическими средствами и другими психоактивными веществами среди различных категорий населения, прежде всего молодежи и несовершеннолетних;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-предупреждение преступлений и правонарушений, связанных со злоупотреблением и незаконным оборотом наркотиков;</w:t>
      </w:r>
    </w:p>
    <w:p>
      <w:pPr>
        <w:pStyle w:val="Normal"/>
        <w:spacing w:lineRule="atLeast" w:line="240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-организация информационно-пропагандистского обеспечения профилактики наркомании в поселении;</w:t>
      </w:r>
    </w:p>
    <w:p>
      <w:pPr>
        <w:pStyle w:val="Normal"/>
        <w:spacing w:lineRule="atLeast" w:line="240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совершенствование нормативно - правовой базы муниципального образования в сфере незаконного оборота наркотиков;</w:t>
      </w:r>
    </w:p>
    <w:p>
      <w:pPr>
        <w:pStyle w:val="Normal"/>
        <w:spacing w:lineRule="atLeast" w:line="240"/>
        <w:ind w:firstLine="567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-оптимизация работы по профилактике распространения и употребления наркотических и психотропных веществ;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-создание системы стимулов среди населения к стремлению жизни без наркотиков.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2.4. Система программных мероприятий:</w:t>
      </w:r>
    </w:p>
    <w:p>
      <w:pPr>
        <w:pStyle w:val="Normal"/>
        <w:spacing w:lineRule="atLeast" w:line="24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>Программа включает мероприятия по основным направлениям в сфере профилактики употребления и незаконного оборота наркотиков на территории рабочего поселка Шаранга Шарангского муниципального района Нижегородской области: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-информационно-пропагандистское обеспечение профилактики наркомании на территории муниципального образования;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-профилактика наркопреступности;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-мероприятия первичной профилактики наркомании;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-межуровневое сотрудничество.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Обоснование ресурсного обеспечения программы: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2.5. Программа рассчитана на 3 года - период 2020-2022 годы. Для реализации мероприятий, предусмотренных данной программой, необходимо объединить усилия всех участников программы.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2.6. Механизм реализации программы:</w:t>
      </w:r>
    </w:p>
    <w:p>
      <w:pPr>
        <w:pStyle w:val="Normal"/>
        <w:spacing w:lineRule="atLeast" w:line="24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>Общий контроль исполнения Программы осуществляется администрацией рабочего поселка Шаранга Шарангского муниципального района Нижегородской области, в чьи функции входит уточнение показателей по программным мероприятиям, механизм реализации Программы и состав исполнителей.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2.7. Оценка социально-экономической и иной эффективности реализации программы:</w:t>
      </w:r>
    </w:p>
    <w:p>
      <w:pPr>
        <w:pStyle w:val="Normal"/>
        <w:spacing w:lineRule="atLeast" w:line="24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>В ходе реализации Программы планируется консолидировать усилия правоохранительных органов, медицинских служб, общественных организаций, образовательных учреждений и населения в борьбе с незаконным оборотом и употреблением наркотиков на территории поселения.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Результаты реализуемых направлений Программы позволят избежать роста распространения наркотиков и будут способствовать стабилизации состояния правопорядка в муниципальном образовании.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28"/>
        <w:numPr>
          <w:ilvl w:val="0"/>
          <w:numId w:val="4"/>
        </w:numPr>
        <w:ind w:left="1080" w:hanging="0"/>
        <w:jc w:val="center"/>
        <w:rPr/>
      </w:pPr>
      <w:r>
        <w:rPr/>
        <w:t>Перечень мероприятий Программы</w:t>
      </w:r>
    </w:p>
    <w:tbl>
      <w:tblPr>
        <w:tblW w:w="9654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3260"/>
        <w:gridCol w:w="1427"/>
        <w:gridCol w:w="4379"/>
      </w:tblGrid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№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п/п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ind w:left="720" w:hanging="0"/>
              <w:contextualSpacing/>
              <w:jc w:val="center"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  <w:bCs/>
              </w:rPr>
              <w:t>Наименование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мероприятия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Срок исполнения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ind w:left="720" w:hanging="0"/>
              <w:contextualSpacing/>
              <w:jc w:val="center"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  <w:bCs/>
              </w:rPr>
              <w:t>Исполнители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мероприятий</w:t>
            </w:r>
          </w:p>
        </w:tc>
      </w:tr>
      <w:tr>
        <w:trPr/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</w:rPr>
              <w:t>I. Информационно-пропагандистское обеспечение профилактики наркомании в поселении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Проведение мониторинга наркоситуации и причин, способствующих потреблению наркотиков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2020</w:t>
            </w:r>
          </w:p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2021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2022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Администрация 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/>
            </w:pPr>
            <w:r>
              <w:rPr>
                <w:rFonts w:cs="Arial" w:ascii="Arial" w:hAnsi="Arial"/>
                <w:sz w:val="20"/>
                <w:szCs w:val="20"/>
              </w:rPr>
              <w:t>рабочего поселка Шаранга Шарангского муниципального района Нижегородской области,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Отделение полиции (дислокация пгт. Шаранга) МО МВД России «Уренский» (по согласованию)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Проведение собраний граждан по проблемам профилактики наркомании и наркопреступности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2020</w:t>
            </w:r>
          </w:p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2021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2022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Администрация 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/>
            </w:pPr>
            <w:r>
              <w:rPr>
                <w:rFonts w:cs="Arial" w:ascii="Arial" w:hAnsi="Arial"/>
                <w:sz w:val="20"/>
                <w:szCs w:val="20"/>
              </w:rPr>
              <w:t>рабочего поселка Шаранга Шарангского муниципального района Нижегородской области,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Отделение полиции (дислокация пгт. Шаранга) МО МВД России «Уренский» (по согласованию)</w:t>
            </w:r>
          </w:p>
        </w:tc>
      </w:tr>
      <w:tr>
        <w:trPr>
          <w:trHeight w:val="341" w:hRule="atLeast"/>
        </w:trPr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b/>
                <w:b/>
                <w:bCs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</w:rPr>
              <w:t>II. Профилактика наркопреступности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b/>
                <w:b/>
                <w:bCs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Работа по выявлению фактов немедицинского потребления и незаконного оборота наркотиков молодежью в местах массового досуга граждан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2020</w:t>
            </w:r>
          </w:p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2021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2022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Администрация 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/>
            </w:pPr>
            <w:r>
              <w:rPr>
                <w:rFonts w:cs="Arial" w:ascii="Arial" w:hAnsi="Arial"/>
                <w:sz w:val="20"/>
                <w:szCs w:val="20"/>
              </w:rPr>
              <w:t>рабочего поселка Шаранга Шарангского муниципального района Нижегородской области,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Отделение полиции (дислокация пгт. Шаранга) МО МВД России «Уренский» (по согласованию),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ГБУЗ НО «Шарангская ЦРБ» 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(по согласованию)</w:t>
            </w:r>
          </w:p>
        </w:tc>
      </w:tr>
      <w:tr>
        <w:trPr/>
        <w:tc>
          <w:tcPr>
            <w:tcW w:w="9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/>
            </w:pPr>
            <w:r>
              <w:rPr>
                <w:rFonts w:cs="Arial" w:ascii="Arial" w:hAnsi="Arial"/>
                <w:b/>
                <w:bCs/>
                <w:sz w:val="20"/>
                <w:szCs w:val="20"/>
              </w:rPr>
              <w:t>III</w:t>
            </w:r>
            <w:r>
              <w:rPr>
                <w:rFonts w:cs="Arial" w:ascii="Arial" w:hAnsi="Arial"/>
                <w:sz w:val="20"/>
                <w:szCs w:val="20"/>
              </w:rPr>
              <w:t xml:space="preserve">. </w:t>
            </w:r>
            <w:r>
              <w:rPr>
                <w:rFonts w:cs="Arial" w:ascii="Arial" w:hAnsi="Arial"/>
                <w:b/>
                <w:bCs/>
                <w:sz w:val="20"/>
                <w:szCs w:val="20"/>
              </w:rPr>
              <w:t>Мероприятия первичной профилактики наркомании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b/>
                <w:b/>
                <w:bCs/>
                <w:sz w:val="20"/>
                <w:szCs w:val="20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jc w:val="both"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2020</w:t>
            </w:r>
          </w:p>
          <w:p>
            <w:pPr>
              <w:pStyle w:val="Normal"/>
              <w:spacing w:lineRule="auto" w:line="276" w:before="0" w:after="200"/>
              <w:contextualSpacing/>
              <w:jc w:val="both"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2021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2022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Администрация 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/>
            </w:pPr>
            <w:r>
              <w:rPr>
                <w:rFonts w:cs="Arial" w:ascii="Arial" w:hAnsi="Arial"/>
                <w:sz w:val="20"/>
                <w:szCs w:val="20"/>
              </w:rPr>
              <w:t>рабочего поселка Шаранга Шарангского муниципального района Нижегородской области,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МБУК «Шарангская  централизованная клубная система»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(по согласованию)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Проведение профилактической работы с родителями, ведущими аморальный, антиобщественный образ жизни.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2020</w:t>
            </w:r>
          </w:p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2021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2022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Администрация 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/>
            </w:pPr>
            <w:r>
              <w:rPr>
                <w:rFonts w:cs="Arial" w:ascii="Arial" w:hAnsi="Arial"/>
                <w:sz w:val="20"/>
                <w:szCs w:val="20"/>
              </w:rPr>
              <w:t>рабочего поселка Шаранга Шарангского муниципального района Нижегородской области,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Отделение полиции (дислокация пгт. Шаранга) МО МВД России «Уренский» (по согласованию)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Организация досуга подростков, вовлечение их в творческие объединения, художественную самодеятельность.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2020</w:t>
            </w:r>
          </w:p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2021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2022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Администрация 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/>
            </w:pPr>
            <w:r>
              <w:rPr>
                <w:rFonts w:cs="Arial" w:ascii="Arial" w:hAnsi="Arial"/>
                <w:sz w:val="20"/>
                <w:szCs w:val="20"/>
              </w:rPr>
              <w:t>рабочего поселка Шаранга Шарангского муниципального района Нижегородской области,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МБУК «Шарангская  централизованная клубная система»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(по согласованию)</w:t>
            </w:r>
          </w:p>
        </w:tc>
      </w:tr>
      <w:tr>
        <w:trPr/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Участие в рейдах в местах отдыха несовершеннолетних с целью предупреждения антиобщественного поведения подростков, в т.ч. употребления наркотических веществ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2020</w:t>
            </w:r>
          </w:p>
          <w:p>
            <w:pPr>
              <w:pStyle w:val="Normal"/>
              <w:spacing w:lineRule="auto" w:line="276" w:before="0" w:after="200"/>
              <w:contextualSpacing/>
              <w:rPr>
                <w:rFonts w:ascii="Arial" w:hAnsi="Arial" w:eastAsia="Calibri" w:cs="Arial"/>
              </w:rPr>
            </w:pPr>
            <w:r>
              <w:rPr>
                <w:rFonts w:eastAsia="Calibri" w:cs="Arial" w:ascii="Arial" w:hAnsi="Arial"/>
              </w:rPr>
              <w:t>2021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2022</w:t>
            </w:r>
          </w:p>
        </w:tc>
        <w:tc>
          <w:tcPr>
            <w:tcW w:w="4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Администрация 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/>
            </w:pPr>
            <w:r>
              <w:rPr>
                <w:rFonts w:cs="Arial" w:ascii="Arial" w:hAnsi="Arial"/>
                <w:sz w:val="20"/>
                <w:szCs w:val="20"/>
              </w:rPr>
              <w:t>рабочего поселка Шаранга Шарангского муниципального района Нижегородской области,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Отделение полиции (дислокация пгт. Шаранга) МО МВД России «Уренский» (по согласованию)</w:t>
            </w:r>
          </w:p>
          <w:p>
            <w:pPr>
              <w:pStyle w:val="Style28"/>
              <w:spacing w:lineRule="auto" w:line="240" w:before="0" w:after="0"/>
              <w:ind w:left="0" w:hanging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Style30"/>
        <w:shd w:fill="FFFFFF" w:val="clear"/>
        <w:spacing w:before="0" w:after="0"/>
        <w:ind w:left="108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30"/>
        <w:numPr>
          <w:ilvl w:val="0"/>
          <w:numId w:val="4"/>
        </w:numPr>
        <w:shd w:fill="FFFFFF" w:val="clear"/>
        <w:spacing w:before="0" w:after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Организация управления (механизм реализации) Программы</w:t>
      </w:r>
    </w:p>
    <w:p>
      <w:pPr>
        <w:pStyle w:val="Style30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>Реализацию Программы обеспечивает администрация рабочего поселка Шаранга Шарангского муниципального района Нижегородской области - заказчик Программы, которая: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отклонений;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-ежегодно уточняет целевые показатели и затраты по программным мероприятиям, механизм реализации Программы;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-при необходимости создает рабочую группу по реализации Программы, определяет ее состав и регламент, утверждаемые в установленном порядке, организует деятельность рабочей группы;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-организует мониторинг, оценку достигнутых целей и эффективности Программы.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30"/>
        <w:numPr>
          <w:ilvl w:val="0"/>
          <w:numId w:val="4"/>
        </w:numPr>
        <w:shd w:fill="FFFFFF" w:val="clear"/>
        <w:spacing w:before="0" w:after="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Контроль  за ходом реализации Программы</w:t>
      </w:r>
    </w:p>
    <w:p>
      <w:pPr>
        <w:pStyle w:val="Style30"/>
        <w:shd w:fill="FFFFFF" w:val="clear"/>
        <w:spacing w:before="0" w:after="0"/>
        <w:ind w:firstLine="567"/>
        <w:jc w:val="both"/>
        <w:rPr/>
      </w:pPr>
      <w:r>
        <w:rPr>
          <w:rFonts w:cs="Arial" w:ascii="Arial" w:hAnsi="Arial"/>
          <w:sz w:val="22"/>
          <w:szCs w:val="22"/>
        </w:rPr>
        <w:t>Контроль за ходом реализации  Программы осуществляет администрация рабочего поселка Шаранга Шарангского муниципального района Нижегородской области 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Style30"/>
        <w:numPr>
          <w:ilvl w:val="0"/>
          <w:numId w:val="3"/>
        </w:numPr>
        <w:shd w:fill="FFFFFF" w:val="clear"/>
        <w:spacing w:before="0" w:after="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Оценка эффективности социально-экономических результатов</w:t>
      </w:r>
      <w:r>
        <w:rPr>
          <w:rFonts w:cs="Arial" w:ascii="Arial" w:hAnsi="Arial"/>
          <w:b/>
          <w:sz w:val="22"/>
          <w:szCs w:val="22"/>
        </w:rPr>
        <w:t xml:space="preserve"> </w:t>
      </w:r>
      <w:r>
        <w:rPr>
          <w:rFonts w:cs="Arial" w:ascii="Arial" w:hAnsi="Arial"/>
          <w:b/>
          <w:bCs/>
          <w:sz w:val="22"/>
          <w:szCs w:val="22"/>
        </w:rPr>
        <w:t>реализации Программы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Реализация данной Программы в течение трех лет позволит: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-повысить информированность населения муниципального образования по проблемам злоупотребления психоактивными веществами и наркотическими средствами;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-повысить интерес родителей к вопросам антинаркотического воспитания детей и подростков;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-расширить охват детей, подростков и молодежи программами профилактики злоупотребления психоактивными веществами и наркотическими средствами в культурно - досуговых учреждениях;</w:t>
      </w:r>
    </w:p>
    <w:p>
      <w:pPr>
        <w:pStyle w:val="Style30"/>
        <w:shd w:fill="FFFFFF" w:val="clear"/>
        <w:spacing w:before="0" w:after="0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-совершенствовать существующую систему первичной профилактики злоупотребления наркотическими средствами и другими психоактивными веществами среди различных категорий населения, что приведет к ограничению распространения наркомании, токсикомании и связанных с ними негативных социальных последствий на территории муниципального образования.</w:t>
      </w:r>
    </w:p>
    <w:p>
      <w:pPr>
        <w:pStyle w:val="Style30"/>
        <w:shd w:fill="FFFFFF" w:val="clear"/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 </w:t>
      </w:r>
    </w:p>
    <w:p>
      <w:pPr>
        <w:pStyle w:val="Normal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540" w:hanging="0"/>
        <w:jc w:val="right"/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1"/>
      <w:numFmt w:val="decimal"/>
      <w:lvlText w:val="%1.%2."/>
      <w:lvlJc w:val="left"/>
      <w:pPr>
        <w:ind w:left="960" w:hanging="600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sz w:val="28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sz w:val="28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sz w:val="28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sz w:val="28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sz w:val="28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sz w:val="28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sz w:val="28"/>
      </w:rPr>
    </w:lvl>
  </w:abstractNum>
  <w:abstractNum w:abstractNumId="3">
    <w:lvl w:ilvl="0">
      <w:start w:val="6"/>
      <w:numFmt w:val="decimal"/>
      <w:lvlText w:val="%1."/>
      <w:lvlJc w:val="left"/>
      <w:pPr>
        <w:ind w:left="1440" w:hanging="360"/>
      </w:pPr>
      <w:rPr>
        <w:b/>
        <w:rFonts w:cs="Arial"/>
      </w:rPr>
    </w:lvl>
  </w:abstractNum>
  <w:abstractNum w:abstractNumId="4">
    <w:lvl w:ilvl="0">
      <w:start w:val="2"/>
      <w:numFmt w:val="decimal"/>
      <w:lvlText w:val="%1."/>
      <w:lvlJc w:val="left"/>
      <w:pPr>
        <w:tabs>
          <w:tab w:val="num" w:pos="720"/>
        </w:tabs>
        <w:ind w:left="1080" w:hanging="360"/>
      </w:pPr>
      <w:rPr>
        <w:sz w:val="22"/>
        <w:b/>
        <w:szCs w:val="22"/>
        <w:rFonts w:ascii="Arial" w:hAnsi="Arial" w:cs="Arial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sz w:val="22"/>
        <w:b/>
        <w:szCs w:val="22"/>
        <w:rFonts w:ascii="Arial" w:hAnsi="Arial" w:cs="Arial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sz w:val="22"/>
        <w:b/>
        <w:szCs w:val="22"/>
        <w:rFonts w:ascii="Arial" w:hAnsi="Arial" w:cs="Arial"/>
      </w:rPr>
    </w:lvl>
    <w:lvl w:ilvl="3">
      <w:start w:val="1"/>
      <w:numFmt w:val="decimal"/>
      <w:lvlText w:val="%1.%2.%3.%4."/>
      <w:lvlJc w:val="left"/>
      <w:pPr>
        <w:ind w:left="1800" w:hanging="1080"/>
      </w:pPr>
      <w:rPr>
        <w:sz w:val="22"/>
        <w:b/>
        <w:szCs w:val="22"/>
        <w:rFonts w:ascii="Arial" w:hAnsi="Arial" w:cs="Arial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sz w:val="22"/>
        <w:b/>
        <w:szCs w:val="22"/>
        <w:rFonts w:ascii="Arial" w:hAnsi="Arial" w:cs="Arial"/>
      </w:rPr>
    </w:lvl>
    <w:lvl w:ilvl="5">
      <w:start w:val="1"/>
      <w:numFmt w:val="decimal"/>
      <w:lvlText w:val="%1.%2.%3.%4.%5.%6."/>
      <w:lvlJc w:val="left"/>
      <w:pPr>
        <w:ind w:left="2160" w:hanging="1440"/>
      </w:pPr>
      <w:rPr>
        <w:sz w:val="22"/>
        <w:b/>
        <w:szCs w:val="22"/>
        <w:rFonts w:ascii="Arial" w:hAnsi="Arial" w:cs="Arial"/>
      </w:rPr>
    </w:lvl>
    <w:lvl w:ilvl="6">
      <w:start w:val="1"/>
      <w:numFmt w:val="decimal"/>
      <w:lvlText w:val="%1.%2.%3.%4.%5.%6.%7."/>
      <w:lvlJc w:val="left"/>
      <w:pPr>
        <w:ind w:left="2520" w:hanging="1800"/>
      </w:pPr>
      <w:rPr>
        <w:sz w:val="22"/>
        <w:b/>
        <w:szCs w:val="22"/>
        <w:rFonts w:ascii="Arial" w:hAnsi="Arial" w:cs="Arial"/>
      </w:rPr>
    </w:lvl>
    <w:lvl w:ilvl="7">
      <w:start w:val="1"/>
      <w:numFmt w:val="decimal"/>
      <w:lvlText w:val="%1.%2.%3.%4.%5.%6.%7.%8."/>
      <w:lvlJc w:val="left"/>
      <w:pPr>
        <w:ind w:left="2520" w:hanging="1800"/>
      </w:pPr>
      <w:rPr>
        <w:sz w:val="22"/>
        <w:b/>
        <w:szCs w:val="22"/>
        <w:rFonts w:ascii="Arial" w:hAnsi="Arial" w:cs="Arial"/>
      </w:rPr>
    </w:lvl>
    <w:lvl w:ilvl="8">
      <w:start w:val="1"/>
      <w:numFmt w:val="decimal"/>
      <w:lvlText w:val="%1.%2.%3.%4.%5.%6.%7.%8.%9."/>
      <w:lvlJc w:val="left"/>
      <w:pPr>
        <w:ind w:left="2880" w:hanging="2160"/>
      </w:pPr>
      <w:rPr>
        <w:sz w:val="22"/>
        <w:b/>
        <w:szCs w:val="22"/>
        <w:rFonts w:ascii="Arial" w:hAnsi="Arial" w:cs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b/>
    </w:rPr>
  </w:style>
  <w:style w:type="character" w:styleId="WW8Num2z1">
    <w:name w:val="WW8Num2z1"/>
    <w:qFormat/>
    <w:rPr>
      <w:sz w:val="24"/>
      <w:szCs w:val="24"/>
    </w:rPr>
  </w:style>
  <w:style w:type="character" w:styleId="WW8Num2z2">
    <w:name w:val="WW8Num2z2"/>
    <w:qFormat/>
    <w:rPr>
      <w:sz w:val="28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cs="Arial"/>
      <w:b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rFonts w:ascii="Arial" w:hAnsi="Arial" w:cs="Arial"/>
      <w:b/>
      <w:sz w:val="22"/>
      <w:szCs w:val="22"/>
    </w:rPr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5z0">
    <w:name w:val="WW8Num25z0"/>
    <w:qFormat/>
    <w:rPr>
      <w:rFonts w:ascii="Times New Roman" w:hAnsi="Times New Roman" w:eastAsia="Times New Roman" w:cs="Times New Roman"/>
    </w:rPr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5z2">
    <w:name w:val="WW8Num25z2"/>
    <w:qFormat/>
    <w:rPr>
      <w:rFonts w:ascii="Wingdings" w:hAnsi="Wingdings" w:cs="Wingdings"/>
    </w:rPr>
  </w:style>
  <w:style w:type="character" w:styleId="WW8Num25z3">
    <w:name w:val="WW8Num25z3"/>
    <w:qFormat/>
    <w:rPr>
      <w:rFonts w:ascii="Symbol" w:hAnsi="Symbol" w:cs="Symbol"/>
    </w:rPr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character" w:styleId="FontStyle14">
    <w:name w:val="Font Style14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32">
    <w:name w:val="Содержимое таблицы"/>
    <w:basedOn w:val="Normal"/>
    <w:qFormat/>
    <w:pPr>
      <w:suppressLineNumbers/>
    </w:pPr>
    <w:rPr/>
  </w:style>
  <w:style w:type="paragraph" w:styleId="Style33">
    <w:name w:val="Заголовок таблицы"/>
    <w:basedOn w:val="Style3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827</TotalTime>
  <Application>LibreOffice/6.4.4.2$Windows_x86 LibreOffice_project/3d775be2011f3886db32dfd395a6a6d1ca2630ff</Application>
  <Pages>5</Pages>
  <Words>1400</Words>
  <Characters>11372</Characters>
  <CharactersWithSpaces>12688</CharactersWithSpaces>
  <Paragraphs>177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2020-06-29T08:26:00Z</cp:lastPrinted>
  <dcterms:modified xsi:type="dcterms:W3CDTF">2020-06-29T07:26:00Z</dcterms:modified>
  <cp:revision>78</cp:revision>
  <dc:subject/>
  <dc:title>ПОСТАНОВЛЕНИЕ</dc:title>
</cp:coreProperties>
</file>