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  <w:lang w:val="ru-RU" w:eastAsia="ru-RU"/>
        </w:rPr>
        <w:drawing>
          <wp:inline distT="0" distB="0" distL="0" distR="0">
            <wp:extent cx="628015" cy="608965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08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 xml:space="preserve">АДМИНИСТРАЦИЯ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ПОСТАНОВЛЕНИЕ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 20.03.2020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40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bCs/>
          <w:sz w:val="28"/>
          <w:szCs w:val="28"/>
        </w:rPr>
      </w:pPr>
      <w:r>
        <w:rPr>
          <w:rFonts w:cs="Arial" w:ascii="Arial" w:hAnsi="Arial"/>
          <w:b/>
          <w:bCs/>
          <w:sz w:val="28"/>
          <w:szCs w:val="28"/>
        </w:rPr>
        <w:t>О внесении изменений  в постановление администрации рабочего поселка Шаранга Шарангского муниципального района Нижегородской области от 25.12.2018 №152  «Об утверждении Перечня муниципального имущества, свободного от прав третьих лиц (за исключением имущественных прав субъектов малого и среднего предпринимательства) , предназначенного для передачи во владение и (или) в пользование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 на территории рабочего поселка Шаранга Шарангского муниципального района Нижегородской области»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bCs/>
          <w:sz w:val="28"/>
          <w:szCs w:val="28"/>
        </w:rPr>
      </w:pPr>
      <w:r>
        <w:rPr>
          <w:rFonts w:cs="Arial" w:ascii="Arial" w:hAnsi="Arial"/>
          <w:b/>
          <w:bCs/>
          <w:sz w:val="28"/>
          <w:szCs w:val="28"/>
        </w:rPr>
      </w:r>
    </w:p>
    <w:p>
      <w:pPr>
        <w:pStyle w:val="Normal"/>
        <w:widowControl w:val="false"/>
        <w:autoSpaceDE w:val="false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                   </w:t>
      </w:r>
      <w:r>
        <w:rPr>
          <w:rFonts w:cs="Arial" w:ascii="Arial" w:hAnsi="Arial"/>
          <w:sz w:val="24"/>
          <w:szCs w:val="24"/>
        </w:rPr>
        <w:t xml:space="preserve">В соответствии с Федеральным законом от 06.10.2003 № 131-ФЗ «Об общих принципах организации местного самоуправления в Российской Федерации»,  </w:t>
      </w:r>
    </w:p>
    <w:p>
      <w:pPr>
        <w:pStyle w:val="Style19"/>
        <w:jc w:val="both"/>
        <w:rPr/>
      </w:pPr>
      <w:r>
        <w:rPr>
          <w:rFonts w:eastAsia="Arial" w:cs="Arial" w:ascii="Arial" w:hAnsi="Arial"/>
          <w:b w:val="false"/>
        </w:rPr>
        <w:t xml:space="preserve">      </w:t>
      </w:r>
      <w:r>
        <w:rPr>
          <w:rFonts w:cs="Arial" w:ascii="Arial" w:hAnsi="Arial"/>
          <w:b w:val="false"/>
        </w:rPr>
        <w:t xml:space="preserve">статьями 11,18 Федерального закона от 24.07.2007 №209-ФЗ «О развитии малого и среднего предпринимательста в Российской Федерации», решением поселкового Совета рабочего поселка Шаранга Шарангского муниципального района Нижегородской области от 20.12.2018 №38 «Об утверждении Порядка формирования, ведения и обнародования  Перечня муниципального имущества рабочего поселка Шаранга Шарангского муниципального района Нижегородской области,  предназначенного для предоставления субъектам малого и среднего предпринимательства, а также организациям, образующим инфраструктуру поддержки субъектов малого и среднего предпринимательства, на территории рабочего поселка Шаранга Шарангского муниципального района Нижегородской области», администрация рабочего посёлка Шаранга Шарангского муниципального района Нижегородской области (далее – администрация) </w:t>
      </w:r>
    </w:p>
    <w:p>
      <w:pPr>
        <w:pStyle w:val="ConsPlusNormal1"/>
        <w:bidi w:val="0"/>
        <w:ind w:firstLine="567"/>
        <w:jc w:val="both"/>
        <w:rPr/>
      </w:pPr>
      <w:r>
        <w:rPr>
          <w:rFonts w:eastAsia="Arial"/>
          <w:sz w:val="24"/>
          <w:szCs w:val="24"/>
        </w:rPr>
        <w:t xml:space="preserve"> </w:t>
      </w:r>
      <w:r>
        <w:rPr>
          <w:b/>
          <w:sz w:val="24"/>
          <w:szCs w:val="24"/>
        </w:rPr>
        <w:t>п о с т а н о в л я е т:</w:t>
      </w:r>
    </w:p>
    <w:p>
      <w:pPr>
        <w:pStyle w:val="ConsPlusNormal1"/>
        <w:bidi w:val="0"/>
        <w:ind w:firstLine="567"/>
        <w:jc w:val="both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rmal"/>
        <w:shd w:fill="FFFFFF" w:val="clear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1. Внести изменения </w:t>
      </w:r>
      <w:r>
        <w:rPr>
          <w:rFonts w:cs="Arial" w:ascii="Arial" w:hAnsi="Arial"/>
          <w:bCs/>
          <w:sz w:val="24"/>
          <w:szCs w:val="24"/>
        </w:rPr>
        <w:t>в постановление администрации рабочего поселка Шаранга Шарангского муниципального района Нижегородской области от 25.12.2018 №152  «Перечень муниципального имущества, свободного от прав третьих лиц (за исключением имущественных прав субъектов малого и среднего предпринимательства ), предназначенного для передачи во владение и (или) в пользование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 на территории рабочего поселка Шаранга Шарангского муниципального района Нижегородской области» согласно  приложению.</w:t>
      </w:r>
    </w:p>
    <w:p>
      <w:pPr>
        <w:pStyle w:val="Normal"/>
        <w:shd w:fill="FFFFFF" w:val="clear"/>
        <w:jc w:val="both"/>
        <w:rPr/>
      </w:pPr>
      <w:r>
        <w:rPr>
          <w:rFonts w:cs="Arial" w:ascii="Arial" w:hAnsi="Arial"/>
          <w:sz w:val="24"/>
          <w:szCs w:val="24"/>
        </w:rPr>
        <w:t>2. Контроль за исполнением настоящего постановления оставляю за собой.</w:t>
      </w:r>
    </w:p>
    <w:p>
      <w:pPr>
        <w:pStyle w:val="Normal"/>
        <w:tabs>
          <w:tab w:val="clear" w:pos="720"/>
          <w:tab w:val="left" w:pos="7938" w:leader="none"/>
        </w:tabs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clear" w:pos="720"/>
          <w:tab w:val="left" w:pos="7938" w:leader="none"/>
        </w:tabs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администрации                                                                                            С.В.Краев</w:t>
      </w:r>
    </w:p>
    <w:p>
      <w:pPr>
        <w:pStyle w:val="Normal"/>
        <w:tabs>
          <w:tab w:val="clear" w:pos="720"/>
          <w:tab w:val="left" w:pos="7938" w:leader="none"/>
        </w:tabs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ConsPlusNormal1"/>
        <w:bidi w:val="0"/>
        <w:ind w:firstLine="567"/>
        <w:jc w:val="right"/>
        <w:rPr>
          <w:b/>
          <w:b/>
          <w:sz w:val="32"/>
          <w:szCs w:val="32"/>
        </w:rPr>
      </w:pPr>
      <w:r>
        <w:rPr>
          <w:b/>
          <w:sz w:val="32"/>
          <w:szCs w:val="32"/>
        </w:rPr>
        <w:t>Утвержден</w:t>
      </w:r>
    </w:p>
    <w:p>
      <w:pPr>
        <w:pStyle w:val="ConsPlusNormal1"/>
        <w:bidi w:val="0"/>
        <w:ind w:firstLine="567"/>
        <w:jc w:val="right"/>
        <w:rPr>
          <w:sz w:val="22"/>
          <w:szCs w:val="22"/>
        </w:rPr>
      </w:pPr>
      <w:r>
        <w:rPr>
          <w:rFonts w:eastAsia="Arial"/>
          <w:sz w:val="22"/>
          <w:szCs w:val="22"/>
        </w:rPr>
        <w:t xml:space="preserve"> </w:t>
      </w:r>
      <w:r>
        <w:rPr>
          <w:sz w:val="22"/>
          <w:szCs w:val="22"/>
        </w:rPr>
        <w:t xml:space="preserve">постановлением администрации </w:t>
      </w:r>
    </w:p>
    <w:p>
      <w:pPr>
        <w:pStyle w:val="ConsPlusNormal1"/>
        <w:bidi w:val="0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  <w:t xml:space="preserve">рабочего поселка Шаранга </w:t>
      </w:r>
    </w:p>
    <w:p>
      <w:pPr>
        <w:pStyle w:val="ConsPlusNormal1"/>
        <w:bidi w:val="0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  <w:t>Шарангского муниципального района</w:t>
      </w:r>
    </w:p>
    <w:p>
      <w:pPr>
        <w:pStyle w:val="ConsPlusNormal1"/>
        <w:bidi w:val="0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  <w:t xml:space="preserve">Нижегородской области </w:t>
      </w:r>
    </w:p>
    <w:p>
      <w:pPr>
        <w:pStyle w:val="ConsPlusNormal1"/>
        <w:bidi w:val="0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  <w:t>от  20.03.2020 №40</w:t>
      </w:r>
    </w:p>
    <w:p>
      <w:pPr>
        <w:pStyle w:val="Normal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Перечень</w:t>
      </w:r>
    </w:p>
    <w:p>
      <w:pPr>
        <w:pStyle w:val="Normal"/>
        <w:jc w:val="center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муниципального имущества, свободного от прав третьих лиц (за исключением имущественных прав субъектов малого и среднего предпринимательства), предназначенного для передачи во владение и (или) пользование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предпринимательства, на </w:t>
      </w:r>
      <w:r>
        <w:rPr>
          <w:rFonts w:cs="Arial" w:ascii="Arial" w:hAnsi="Arial"/>
          <w:bCs/>
          <w:sz w:val="22"/>
          <w:szCs w:val="22"/>
        </w:rPr>
        <w:t>территории рабочего поселка Шаранга Шарангского муниципального района Нижегородской области</w:t>
      </w:r>
    </w:p>
    <w:p>
      <w:pPr>
        <w:pStyle w:val="Normal"/>
        <w:jc w:val="right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tbl>
      <w:tblPr>
        <w:tblW w:w="9899" w:type="dxa"/>
        <w:jc w:val="left"/>
        <w:tblInd w:w="-5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3"/>
        <w:gridCol w:w="3534"/>
        <w:gridCol w:w="4112"/>
        <w:gridCol w:w="1710"/>
      </w:tblGrid>
      <w:tr>
        <w:trPr/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п/п</w:t>
            </w:r>
          </w:p>
        </w:tc>
        <w:tc>
          <w:tcPr>
            <w:tcW w:w="3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/>
            </w:pPr>
            <w:r>
              <w:rPr>
                <w:rFonts w:cs="Arial" w:ascii="Arial" w:hAnsi="Arial"/>
                <w:sz w:val="22"/>
                <w:szCs w:val="22"/>
              </w:rPr>
              <w:t>Наименование имущества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ind w:firstLine="708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Адрес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Общая площадь,га</w:t>
            </w:r>
          </w:p>
        </w:tc>
      </w:tr>
      <w:tr>
        <w:trPr/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ind w:firstLine="708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11.</w:t>
            </w:r>
          </w:p>
        </w:tc>
        <w:tc>
          <w:tcPr>
            <w:tcW w:w="3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before="6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Земли сельскохозяйственного назначения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Нижегородская область, Шарангский район, земельный участок № 3</w:t>
            </w:r>
          </w:p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примерно в 1,95 км на северо-восток от р.п. Шаранга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6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7,4506</w:t>
            </w:r>
          </w:p>
        </w:tc>
      </w:tr>
      <w:tr>
        <w:trPr/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before="60" w:after="0"/>
              <w:ind w:firstLine="708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22.</w:t>
            </w:r>
          </w:p>
        </w:tc>
        <w:tc>
          <w:tcPr>
            <w:tcW w:w="3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before="6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Земли сельскохозяйственного назначения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Нижегородская область, Шарангский район, земельный участок</w:t>
            </w:r>
          </w:p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примерно в 1,1 км на северо-восток от р.п. Шаранга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6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21,5836</w:t>
            </w:r>
          </w:p>
        </w:tc>
      </w:tr>
      <w:tr>
        <w:trPr/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before="60" w:after="0"/>
              <w:ind w:firstLine="708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33.</w:t>
            </w:r>
          </w:p>
        </w:tc>
        <w:tc>
          <w:tcPr>
            <w:tcW w:w="3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before="6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Земли сельскохозяйственного назначения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Нижегородская область, Шарангский район, земельный участок</w:t>
            </w:r>
          </w:p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примерно в 2,6 км на северо-восток от р.п. Шаранга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6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26,3441</w:t>
            </w:r>
          </w:p>
        </w:tc>
      </w:tr>
      <w:tr>
        <w:trPr/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before="60" w:after="0"/>
              <w:ind w:firstLine="708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44.</w:t>
            </w:r>
          </w:p>
        </w:tc>
        <w:tc>
          <w:tcPr>
            <w:tcW w:w="3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Земли сельскохозяйственного назначения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Нижегородская область, Шарангский район, земельный участок</w:t>
            </w:r>
          </w:p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примерно в 600 м на северо-восток от н.п.Большой Рейчваж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6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76, 5041</w:t>
            </w:r>
          </w:p>
        </w:tc>
      </w:tr>
      <w:tr>
        <w:trPr/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before="60" w:after="0"/>
              <w:ind w:firstLine="708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55.</w:t>
            </w:r>
          </w:p>
        </w:tc>
        <w:tc>
          <w:tcPr>
            <w:tcW w:w="3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Земли сельскохозяйственного назначения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Нижегородская область, Шарангский район, земельный участок</w:t>
            </w:r>
          </w:p>
          <w:p>
            <w:pPr>
              <w:pStyle w:val="Normal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cs="Arial" w:ascii="Arial" w:hAnsi="Arial"/>
                <w:bCs/>
                <w:sz w:val="22"/>
                <w:szCs w:val="22"/>
              </w:rPr>
              <w:t>примерно в 220 м на северо-восток от н.п.Большой Рейчваж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60" w:after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55,3943</w:t>
            </w:r>
          </w:p>
        </w:tc>
      </w:tr>
    </w:tbl>
    <w:p>
      <w:pPr>
        <w:pStyle w:val="ConsPlusNormal1"/>
        <w:bidi w:val="0"/>
        <w:ind w:firstLine="567"/>
        <w:jc w:val="center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Style27"/>
        <w:bidi w:val="0"/>
        <w:ind w:left="4535" w:hanging="0"/>
        <w:jc w:val="center"/>
        <w:rPr>
          <w:rFonts w:ascii="Arial" w:hAnsi="Arial" w:cs="Arial"/>
          <w:color w:val="000000"/>
          <w:sz w:val="22"/>
          <w:szCs w:val="22"/>
        </w:rPr>
      </w:pPr>
      <w:r>
        <w:rPr>
          <w:rFonts w:cs="Arial" w:ascii="Arial" w:hAnsi="Arial"/>
          <w:color w:val="000000"/>
          <w:sz w:val="22"/>
          <w:szCs w:val="22"/>
        </w:rPr>
      </w:r>
    </w:p>
    <w:p>
      <w:pPr>
        <w:pStyle w:val="Normal"/>
        <w:tabs>
          <w:tab w:val="clear" w:pos="720"/>
          <w:tab w:val="left" w:pos="7938" w:leader="none"/>
        </w:tabs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cs="Arial" w:ascii="Arial" w:hAnsi="Arial"/>
          <w:color w:val="000000"/>
          <w:sz w:val="24"/>
          <w:szCs w:val="24"/>
        </w:rPr>
      </w:r>
    </w:p>
    <w:p>
      <w:pPr>
        <w:pStyle w:val="ConsPlusNormal1"/>
        <w:bidi w:val="0"/>
        <w:ind w:left="4536" w:firstLine="567"/>
        <w:jc w:val="right"/>
        <w:rPr>
          <w:rFonts w:ascii="Arial" w:hAnsi="Arial" w:cs="Arial"/>
          <w:bCs/>
          <w:sz w:val="24"/>
          <w:szCs w:val="24"/>
          <w:lang w:val="ru-RU" w:eastAsia="ru-RU"/>
        </w:rPr>
      </w:pPr>
      <w:r>
        <w:rPr>
          <w:rFonts w:cs="Arial"/>
          <w:bCs/>
          <w:sz w:val="24"/>
          <w:szCs w:val="24"/>
          <w:lang w:val="ru-RU" w:eastAsia="ru-RU"/>
        </w:rPr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3">
                <wp:simplePos x="0" y="0"/>
                <wp:positionH relativeFrom="column">
                  <wp:posOffset>80645</wp:posOffset>
                </wp:positionH>
                <wp:positionV relativeFrom="paragraph">
                  <wp:posOffset>1094740</wp:posOffset>
                </wp:positionV>
                <wp:extent cx="3009900" cy="1028700"/>
                <wp:effectExtent l="0" t="0" r="0" b="0"/>
                <wp:wrapNone/>
                <wp:docPr id="2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9900" cy="102870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237pt;height:81pt;mso-wrap-distance-left:9.05pt;mso-wrap-distance-right:9.05pt;mso-wrap-distance-top:0pt;mso-wrap-distance-bottom:0pt;margin-top:86.2pt;mso-position-vertical-relative:text;margin-left:6.35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rPr/>
                      </w:pPr>
                      <w:r>
                        <w:rPr/>
                      </w:r>
                    </w:p>
                  </w:txbxContent>
                </v:textbox>
              </v:rect>
            </w:pict>
          </mc:Fallback>
        </mc:AlternateContent>
      </w:r>
    </w:p>
    <w:sectPr>
      <w:type w:val="nextPage"/>
      <w:pgSz w:w="11906" w:h="16838"/>
      <w:pgMar w:left="1276" w:right="851" w:header="0" w:top="567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Arial Narrow"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>
      <w:rFonts w:ascii="Times New Roman" w:hAnsi="Times New Roman" w:eastAsia="Times New Roman" w:cs="Times New Roman"/>
    </w:rPr>
  </w:style>
  <w:style w:type="character" w:styleId="WW8Num4z1">
    <w:name w:val="WW8Num4z1"/>
    <w:qFormat/>
    <w:rPr>
      <w:rFonts w:ascii="Courier New" w:hAnsi="Courier New" w:cs="Courier New"/>
    </w:rPr>
  </w:style>
  <w:style w:type="character" w:styleId="WW8Num4z2">
    <w:name w:val="WW8Num4z2"/>
    <w:qFormat/>
    <w:rPr>
      <w:rFonts w:ascii="Wingdings" w:hAnsi="Wingdings" w:cs="Wingdings"/>
    </w:rPr>
  </w:style>
  <w:style w:type="character" w:styleId="WW8Num4z3">
    <w:name w:val="WW8Num4z3"/>
    <w:qFormat/>
    <w:rPr>
      <w:rFonts w:ascii="Symbol" w:hAnsi="Symbol" w:cs="Symbol"/>
    </w:rPr>
  </w:style>
  <w:style w:type="character" w:styleId="WW8Num5z0">
    <w:name w:val="WW8Num5z0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4z0">
    <w:name w:val="WW8Num14z0"/>
    <w:qFormat/>
    <w:rPr>
      <w:sz w:val="28"/>
    </w:rPr>
  </w:style>
  <w:style w:type="character" w:styleId="WW8Num14z1">
    <w:name w:val="WW8Num14z1"/>
    <w:qFormat/>
    <w:rPr/>
  </w:style>
  <w:style w:type="character" w:styleId="WW8Num14z2">
    <w:name w:val="WW8Num14z2"/>
    <w:qFormat/>
    <w:rPr/>
  </w:style>
  <w:style w:type="character" w:styleId="WW8Num14z3">
    <w:name w:val="WW8Num14z3"/>
    <w:qFormat/>
    <w:rPr/>
  </w:style>
  <w:style w:type="character" w:styleId="WW8Num14z4">
    <w:name w:val="WW8Num14z4"/>
    <w:qFormat/>
    <w:rPr/>
  </w:style>
  <w:style w:type="character" w:styleId="WW8Num14z5">
    <w:name w:val="WW8Num14z5"/>
    <w:qFormat/>
    <w:rPr/>
  </w:style>
  <w:style w:type="character" w:styleId="WW8Num14z6">
    <w:name w:val="WW8Num14z6"/>
    <w:qFormat/>
    <w:rPr/>
  </w:style>
  <w:style w:type="character" w:styleId="WW8Num14z7">
    <w:name w:val="WW8Num14z7"/>
    <w:qFormat/>
    <w:rPr/>
  </w:style>
  <w:style w:type="character" w:styleId="WW8Num14z8">
    <w:name w:val="WW8Num14z8"/>
    <w:qFormat/>
    <w:rPr/>
  </w:style>
  <w:style w:type="character" w:styleId="WW8Num15z0">
    <w:name w:val="WW8Num15z0"/>
    <w:qFormat/>
    <w:rPr/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/>
  </w:style>
  <w:style w:type="character" w:styleId="WW8Num18z0">
    <w:name w:val="WW8Num18z0"/>
    <w:qFormat/>
    <w:rPr/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/>
  </w:style>
  <w:style w:type="character" w:styleId="WW8Num20z0">
    <w:name w:val="WW8Num20z0"/>
    <w:qFormat/>
    <w:rPr>
      <w:sz w:val="28"/>
    </w:rPr>
  </w:style>
  <w:style w:type="character" w:styleId="WW8Num20z1">
    <w:name w:val="WW8Num20z1"/>
    <w:qFormat/>
    <w:rPr/>
  </w:style>
  <w:style w:type="character" w:styleId="WW8Num20z2">
    <w:name w:val="WW8Num20z2"/>
    <w:qFormat/>
    <w:rPr/>
  </w:style>
  <w:style w:type="character" w:styleId="WW8Num20z3">
    <w:name w:val="WW8Num20z3"/>
    <w:qFormat/>
    <w:rPr/>
  </w:style>
  <w:style w:type="character" w:styleId="WW8Num20z4">
    <w:name w:val="WW8Num20z4"/>
    <w:qFormat/>
    <w:rPr/>
  </w:style>
  <w:style w:type="character" w:styleId="WW8Num20z5">
    <w:name w:val="WW8Num20z5"/>
    <w:qFormat/>
    <w:rPr/>
  </w:style>
  <w:style w:type="character" w:styleId="WW8Num20z6">
    <w:name w:val="WW8Num20z6"/>
    <w:qFormat/>
    <w:rPr/>
  </w:style>
  <w:style w:type="character" w:styleId="WW8Num20z7">
    <w:name w:val="WW8Num20z7"/>
    <w:qFormat/>
    <w:rPr/>
  </w:style>
  <w:style w:type="character" w:styleId="WW8Num20z8">
    <w:name w:val="WW8Num20z8"/>
    <w:qFormat/>
    <w:rPr/>
  </w:style>
  <w:style w:type="character" w:styleId="WW8Num21z0">
    <w:name w:val="WW8Num21z0"/>
    <w:qFormat/>
    <w:rPr>
      <w:rFonts w:ascii="Times New Roman" w:hAnsi="Times New Roman" w:eastAsia="Times New Roman" w:cs="Times New Roman"/>
    </w:rPr>
  </w:style>
  <w:style w:type="character" w:styleId="WW8Num21z1">
    <w:name w:val="WW8Num21z1"/>
    <w:qFormat/>
    <w:rPr>
      <w:rFonts w:ascii="Courier New" w:hAnsi="Courier New" w:cs="Courier New"/>
    </w:rPr>
  </w:style>
  <w:style w:type="character" w:styleId="WW8Num21z2">
    <w:name w:val="WW8Num21z2"/>
    <w:qFormat/>
    <w:rPr>
      <w:rFonts w:ascii="Wingdings" w:hAnsi="Wingdings" w:cs="Wingdings"/>
    </w:rPr>
  </w:style>
  <w:style w:type="character" w:styleId="WW8Num21z3">
    <w:name w:val="WW8Num21z3"/>
    <w:qFormat/>
    <w:rPr>
      <w:rFonts w:ascii="Symbol" w:hAnsi="Symbol" w:cs="Symbol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character" w:styleId="ConsPlusNormal">
    <w:name w:val="ConsPlusNormal Знак"/>
    <w:basedOn w:val="Style11"/>
    <w:qFormat/>
    <w:rPr>
      <w:rFonts w:ascii="Arial" w:hAnsi="Arial" w:cs="Arial"/>
      <w:lang w:val="ru-RU" w:bidi="ar-SA"/>
    </w:rPr>
  </w:style>
  <w:style w:type="character" w:styleId="Appleconvertedspace">
    <w:name w:val="apple-converted-space"/>
    <w:basedOn w:val="Style11"/>
    <w:qFormat/>
    <w:rPr/>
  </w:style>
  <w:style w:type="character" w:styleId="FontStyle26">
    <w:name w:val="Font Style26"/>
    <w:basedOn w:val="Style11"/>
    <w:qFormat/>
    <w:rPr>
      <w:rFonts w:ascii="Times New Roman" w:hAnsi="Times New Roman" w:cs="Times New Roman"/>
      <w:b/>
      <w:bCs/>
      <w:sz w:val="18"/>
      <w:szCs w:val="18"/>
    </w:rPr>
  </w:style>
  <w:style w:type="character" w:styleId="FontStyle23">
    <w:name w:val="Font Style23"/>
    <w:basedOn w:val="Style11"/>
    <w:qFormat/>
    <w:rPr>
      <w:rFonts w:ascii="Times New Roman" w:hAnsi="Times New Roman" w:cs="Times New Roman"/>
      <w:sz w:val="26"/>
      <w:szCs w:val="26"/>
    </w:rPr>
  </w:style>
  <w:style w:type="character" w:styleId="FontStyle27">
    <w:name w:val="Font Style27"/>
    <w:basedOn w:val="Style11"/>
    <w:qFormat/>
    <w:rPr>
      <w:rFonts w:ascii="Times New Roman" w:hAnsi="Times New Roman" w:cs="Times New Roman"/>
      <w:b/>
      <w:bCs/>
      <w:sz w:val="32"/>
      <w:szCs w:val="32"/>
    </w:rPr>
  </w:style>
  <w:style w:type="character" w:styleId="FontStyle15">
    <w:name w:val="Font Style15"/>
    <w:qFormat/>
    <w:rPr>
      <w:rFonts w:ascii="Times New Roman" w:hAnsi="Times New Roman" w:cs="Times New Roman"/>
      <w:sz w:val="22"/>
      <w:szCs w:val="22"/>
    </w:rPr>
  </w:style>
  <w:style w:type="character" w:styleId="FontStyle13">
    <w:name w:val="Font Style13"/>
    <w:basedOn w:val="Style11"/>
    <w:qFormat/>
    <w:rPr>
      <w:rFonts w:ascii="Times New Roman" w:hAnsi="Times New Roman" w:cs="Times New Roman"/>
      <w:sz w:val="26"/>
      <w:szCs w:val="26"/>
    </w:rPr>
  </w:style>
  <w:style w:type="character" w:styleId="FontStyle14">
    <w:name w:val="Font Style14"/>
    <w:basedOn w:val="Style11"/>
    <w:qFormat/>
    <w:rPr>
      <w:rFonts w:ascii="Arial Narrow" w:hAnsi="Arial Narrow" w:cs="Arial Narrow"/>
      <w:i/>
      <w:iCs/>
      <w:sz w:val="10"/>
      <w:szCs w:val="10"/>
    </w:rPr>
  </w:style>
  <w:style w:type="character" w:styleId="FontStyle16">
    <w:name w:val="Font Style16"/>
    <w:basedOn w:val="Style11"/>
    <w:qFormat/>
    <w:rPr>
      <w:rFonts w:ascii="Times New Roman" w:hAnsi="Times New Roman" w:cs="Times New Roman"/>
      <w:b/>
      <w:bCs/>
      <w:sz w:val="36"/>
      <w:szCs w:val="36"/>
    </w:rPr>
  </w:style>
  <w:style w:type="character" w:styleId="FontStyle17">
    <w:name w:val="Font Style17"/>
    <w:basedOn w:val="Style11"/>
    <w:qFormat/>
    <w:rPr>
      <w:rFonts w:ascii="Times New Roman" w:hAnsi="Times New Roman" w:cs="Times New Roman"/>
      <w:b/>
      <w:bCs/>
      <w:sz w:val="34"/>
      <w:szCs w:val="34"/>
    </w:rPr>
  </w:style>
  <w:style w:type="character" w:styleId="FontStyle18">
    <w:name w:val="Font Style18"/>
    <w:basedOn w:val="Style11"/>
    <w:qFormat/>
    <w:rPr>
      <w:rFonts w:ascii="Times New Roman" w:hAnsi="Times New Roman" w:cs="Times New Roman"/>
      <w:b/>
      <w:bCs/>
      <w:sz w:val="18"/>
      <w:szCs w:val="18"/>
    </w:rPr>
  </w:style>
  <w:style w:type="character" w:styleId="11">
    <w:name w:val="Верхний колонтитул Знак1"/>
    <w:qFormat/>
    <w:rPr/>
  </w:style>
  <w:style w:type="character" w:styleId="12">
    <w:name w:val="Заголовок 1 Знак"/>
    <w:basedOn w:val="Style11"/>
    <w:qFormat/>
    <w:rPr>
      <w:b/>
      <w:kern w:val="2"/>
      <w:sz w:val="32"/>
    </w:rPr>
  </w:style>
  <w:style w:type="character" w:styleId="Style14">
    <w:name w:val="Название Знак"/>
    <w:basedOn w:val="Style11"/>
    <w:qFormat/>
    <w:rPr>
      <w:b/>
      <w:bCs/>
      <w:sz w:val="24"/>
      <w:szCs w:val="24"/>
    </w:rPr>
  </w:style>
  <w:style w:type="character" w:styleId="Style15">
    <w:name w:val="Без интервала Знак"/>
    <w:basedOn w:val="Style11"/>
    <w:qFormat/>
    <w:rPr>
      <w:lang w:val="ru-RU" w:bidi="ar-SA"/>
    </w:rPr>
  </w:style>
  <w:style w:type="paragraph" w:styleId="Style16">
    <w:name w:val="Заголовок"/>
    <w:next w:val="Style17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17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8">
    <w:name w:val="List"/>
    <w:basedOn w:val="Style17"/>
    <w:pPr/>
    <w:rPr>
      <w:rFonts w:cs="Mangal"/>
    </w:rPr>
  </w:style>
  <w:style w:type="paragraph" w:styleId="Style19">
    <w:name w:val="Caption"/>
    <w:basedOn w:val="Normal"/>
    <w:qFormat/>
    <w:pPr>
      <w:ind w:hanging="360"/>
      <w:jc w:val="center"/>
    </w:pPr>
    <w:rPr>
      <w:b/>
      <w:b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21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2">
    <w:name w:val="Верхний и нижний колонтитулы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3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4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5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6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7">
    <w:name w:val="Без интервала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8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29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30">
    <w:name w:val="Нормальный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Style181">
    <w:name w:val="Style18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81">
    <w:name w:val="Style8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141">
    <w:name w:val="Style14"/>
    <w:basedOn w:val="Normal"/>
    <w:qFormat/>
    <w:pPr>
      <w:widowControl w:val="false"/>
      <w:autoSpaceDE w:val="false"/>
      <w:spacing w:lineRule="exact" w:line="446"/>
      <w:ind w:hanging="485"/>
    </w:pPr>
    <w:rPr>
      <w:sz w:val="24"/>
      <w:szCs w:val="24"/>
    </w:rPr>
  </w:style>
  <w:style w:type="paragraph" w:styleId="Style151">
    <w:name w:val="Style15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161">
    <w:name w:val="Style16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61">
    <w:name w:val="Style6"/>
    <w:basedOn w:val="Normal"/>
    <w:qFormat/>
    <w:pPr>
      <w:widowControl w:val="false"/>
      <w:autoSpaceDE w:val="false"/>
      <w:spacing w:lineRule="exact" w:line="460"/>
      <w:jc w:val="both"/>
    </w:pPr>
    <w:rPr>
      <w:sz w:val="24"/>
      <w:szCs w:val="24"/>
    </w:rPr>
  </w:style>
  <w:style w:type="paragraph" w:styleId="Style71">
    <w:name w:val="Style7"/>
    <w:basedOn w:val="Normal"/>
    <w:qFormat/>
    <w:pPr>
      <w:widowControl w:val="false"/>
      <w:autoSpaceDE w:val="false"/>
      <w:jc w:val="center"/>
    </w:pPr>
    <w:rPr>
      <w:sz w:val="24"/>
      <w:szCs w:val="24"/>
    </w:rPr>
  </w:style>
  <w:style w:type="paragraph" w:styleId="Style91">
    <w:name w:val="Style9"/>
    <w:basedOn w:val="Normal"/>
    <w:qFormat/>
    <w:pPr>
      <w:widowControl w:val="false"/>
      <w:autoSpaceDE w:val="false"/>
      <w:spacing w:lineRule="exact" w:line="469"/>
      <w:jc w:val="right"/>
    </w:pPr>
    <w:rPr>
      <w:sz w:val="24"/>
      <w:szCs w:val="24"/>
    </w:rPr>
  </w:style>
  <w:style w:type="paragraph" w:styleId="Style101">
    <w:name w:val="Style10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111">
    <w:name w:val="Style11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32">
    <w:name w:val="Содержимое таблицы"/>
    <w:basedOn w:val="Normal"/>
    <w:qFormat/>
    <w:pPr>
      <w:suppressLineNumbers/>
    </w:pPr>
    <w:rPr/>
  </w:style>
  <w:style w:type="paragraph" w:styleId="Style33">
    <w:name w:val="Заголовок таблицы"/>
    <w:basedOn w:val="Style32"/>
    <w:qFormat/>
    <w:pPr>
      <w:suppressLineNumbers/>
      <w:jc w:val="center"/>
    </w:pPr>
    <w:rPr>
      <w:b/>
      <w:bCs/>
    </w:rPr>
  </w:style>
  <w:style w:type="paragraph" w:styleId="Style34">
    <w:name w:val="Содержимое врезки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Постановление.dot_x0000__x0000_</Template>
  <TotalTime>1322</TotalTime>
  <Application>LibreOffice/6.4.2.2$Windows_X86_64 LibreOffice_project/4e471d8c02c9c90f512f7f9ead8875b57fcb1ec3</Application>
  <Pages>2</Pages>
  <Words>458</Words>
  <Characters>3503</Characters>
  <CharactersWithSpaces>4053</CharactersWithSpaces>
  <Paragraphs>51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2015-08-31T08:21:00Z</dcterms:created>
  <dc:creator>Катышева Е. В.</dc:creator>
  <dc:description/>
  <cp:keywords/>
  <dc:language>ru-RU</dc:language>
  <cp:lastModifiedBy>Admin</cp:lastModifiedBy>
  <cp:lastPrinted>2020-03-20T10:02:00Z</cp:lastPrinted>
  <dcterms:modified xsi:type="dcterms:W3CDTF">2020-03-20T09:05:00Z</dcterms:modified>
  <cp:revision>92</cp:revision>
  <dc:subject/>
  <dc:title>ПОСТАНОВЛЕНИЕ</dc:title>
</cp:coreProperties>
</file>