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24.11.2020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 xml:space="preserve"> 179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Об </w:t>
      </w:r>
      <w:r>
        <w:rPr>
          <w:rFonts w:cs="Arial" w:ascii="Arial" w:hAnsi="Arial"/>
          <w:b/>
          <w:sz w:val="32"/>
          <w:szCs w:val="32"/>
        </w:rPr>
        <w:t>утверждении среднесрочного финансового плана рабочего поселка Шаранга Шарангского муниципального района Нижегородской области на 2021-2023 г.г.</w:t>
      </w:r>
    </w:p>
    <w:p>
      <w:pPr>
        <w:pStyle w:val="Normal"/>
        <w:widowControl w:val="false"/>
        <w:autoSpaceDE w:val="false"/>
        <w:ind w:firstLine="54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В соответствии со статьей 174 Бюджетного кодекса Российской Федерации,  администрация рабочего посёлка Шаранга Шарангского муниципального района Нижегородской области (далее – администрация)  </w:t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Title"/>
        <w:widowControl/>
        <w:ind w:firstLine="851"/>
        <w:jc w:val="both"/>
        <w:rPr>
          <w:rFonts w:ascii="Arial" w:hAnsi="Arial" w:cs="Arial"/>
          <w:b w:val="false"/>
          <w:b w:val="false"/>
          <w:sz w:val="24"/>
          <w:szCs w:val="24"/>
        </w:rPr>
      </w:pPr>
      <w:r>
        <w:rPr>
          <w:rFonts w:cs="Arial" w:ascii="Arial" w:hAnsi="Arial"/>
          <w:b w:val="false"/>
          <w:sz w:val="24"/>
          <w:szCs w:val="24"/>
        </w:rPr>
        <w:t>1. Утвердить среднесрочный финансового плана рабочего поселка Шаранга Шарангского муниципального района Нижегородской области на 2021-2023 г.г. согласно приложению.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 xml:space="preserve">2. </w:t>
      </w:r>
      <w:r>
        <w:rPr>
          <w:rFonts w:cs="Arial" w:ascii="Arial" w:hAnsi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  <w:r>
        <w:rPr/>
        <w:t>.</w:t>
      </w:r>
    </w:p>
    <w:p>
      <w:pPr>
        <w:pStyle w:val="Style2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 xml:space="preserve">3. Контроль за исполнением настоящего постановления возложить на специалиста </w:t>
      </w:r>
      <w:r>
        <w:rPr>
          <w:rFonts w:cs="Arial" w:ascii="Arial" w:hAnsi="Arial"/>
          <w:sz w:val="24"/>
          <w:szCs w:val="24"/>
          <w:lang w:val="en-US"/>
        </w:rPr>
        <w:t>I</w:t>
      </w:r>
      <w:r>
        <w:rPr>
          <w:rFonts w:cs="Arial" w:ascii="Arial" w:hAnsi="Arial"/>
          <w:sz w:val="24"/>
          <w:szCs w:val="24"/>
        </w:rPr>
        <w:t xml:space="preserve"> категории администрации Шуркину Веру Васильевну.</w:t>
      </w:r>
    </w:p>
    <w:p>
      <w:pPr>
        <w:pStyle w:val="Normal"/>
        <w:widowControl w:val="false"/>
        <w:shd w:fill="FFFFFF" w:val="clear"/>
        <w:autoSpaceDE w:val="false"/>
        <w:ind w:right="28" w:hanging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bCs/>
          <w:sz w:val="24"/>
          <w:szCs w:val="24"/>
          <w:lang w:val="ru-RU" w:eastAsia="ru-RU"/>
        </w:rPr>
      </w:pPr>
      <w:r>
        <w:rPr>
          <w:rFonts w:cs="Arial" w:ascii="Arial" w:hAnsi="Arial"/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ConsPlusNormal1"/>
        <w:ind w:firstLine="567"/>
        <w:jc w:val="right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Утвержден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rFonts w:eastAsia="Arial"/>
          <w:sz w:val="22"/>
          <w:szCs w:val="22"/>
        </w:rPr>
        <w:t xml:space="preserve"> </w:t>
      </w: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24.11.2020 №179</w:t>
      </w:r>
    </w:p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Среднесрочный финансовый план</w:t>
      </w:r>
    </w:p>
    <w:p>
      <w:pPr>
        <w:pStyle w:val="ConsPlusNormal1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рабочего поселка Шаранга Шарангского муниципального района Нижегородской области  на 2021-2023 годы</w:t>
      </w:r>
    </w:p>
    <w:p>
      <w:pPr>
        <w:pStyle w:val="ConsPlusNormal1"/>
        <w:ind w:firstLine="567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p>
      <w:pPr>
        <w:pStyle w:val="ConsPlusNormal1"/>
        <w:ind w:firstLine="567"/>
        <w:jc w:val="right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Таблица 1</w:t>
      </w:r>
    </w:p>
    <w:p>
      <w:pPr>
        <w:pStyle w:val="ConsPlusNormal1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tbl>
      <w:tblPr>
        <w:tblW w:w="9975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6"/>
        <w:gridCol w:w="1276"/>
        <w:gridCol w:w="1843"/>
        <w:gridCol w:w="1134"/>
        <w:gridCol w:w="1276"/>
        <w:gridCol w:w="1340"/>
        <w:gridCol w:w="20"/>
      </w:tblGrid>
      <w:tr>
        <w:trPr>
          <w:trHeight w:val="355" w:hRule="atLeast"/>
        </w:trPr>
        <w:tc>
          <w:tcPr>
            <w:tcW w:w="9955" w:type="dxa"/>
            <w:gridSpan w:val="6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cs="Arial" w:ascii="Arial" w:hAnsi="Arial"/>
                <w:sz w:val="22"/>
                <w:szCs w:val="22"/>
              </w:rPr>
              <w:t>1.Основные параметры бюджета поселения 2021-2023 годы</w:t>
            </w:r>
          </w:p>
        </w:tc>
      </w:tr>
      <w:tr>
        <w:trPr>
          <w:trHeight w:val="330" w:hRule="atLeast"/>
        </w:trPr>
        <w:tc>
          <w:tcPr>
            <w:tcW w:w="9955" w:type="dxa"/>
            <w:gridSpan w:val="6"/>
            <w:tcBorders>
              <w:bottom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</w:t>
            </w:r>
            <w:r>
              <w:rPr>
                <w:rFonts w:cs="Arial" w:ascii="Arial" w:hAnsi="Arial"/>
                <w:sz w:val="22"/>
                <w:szCs w:val="22"/>
              </w:rPr>
              <w:t>(тыс. рублей)</w:t>
            </w:r>
          </w:p>
        </w:tc>
      </w:tr>
      <w:tr>
        <w:trPr>
          <w:trHeight w:val="315" w:hRule="atLeast"/>
        </w:trPr>
        <w:tc>
          <w:tcPr>
            <w:tcW w:w="308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Показатели</w:t>
            </w:r>
          </w:p>
        </w:tc>
        <w:tc>
          <w:tcPr>
            <w:tcW w:w="127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2019 год (отчет)</w:t>
            </w:r>
          </w:p>
        </w:tc>
        <w:tc>
          <w:tcPr>
            <w:tcW w:w="1843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2020 год                    (оценка)</w:t>
            </w:r>
          </w:p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на 01.11.19г.\план\</w:t>
            </w:r>
          </w:p>
        </w:tc>
        <w:tc>
          <w:tcPr>
            <w:tcW w:w="113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2021 год</w:t>
            </w:r>
          </w:p>
        </w:tc>
        <w:tc>
          <w:tcPr>
            <w:tcW w:w="2636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Плановый период</w:t>
            </w:r>
          </w:p>
        </w:tc>
      </w:tr>
      <w:tr>
        <w:trPr>
          <w:trHeight w:val="470" w:hRule="atLeast"/>
        </w:trPr>
        <w:tc>
          <w:tcPr>
            <w:tcW w:w="308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843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13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2022 год</w:t>
            </w:r>
          </w:p>
        </w:tc>
        <w:tc>
          <w:tcPr>
            <w:tcW w:w="13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2023 год</w:t>
            </w:r>
          </w:p>
        </w:tc>
      </w:tr>
      <w:tr>
        <w:trPr>
          <w:trHeight w:val="470" w:hRule="atLeast"/>
        </w:trPr>
        <w:tc>
          <w:tcPr>
            <w:tcW w:w="308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843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13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7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3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45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Доходы  </w:t>
            </w:r>
            <w:r>
              <w:rPr>
                <w:rFonts w:cs="Arial" w:ascii="Arial" w:hAnsi="Arial"/>
                <w:sz w:val="18"/>
                <w:szCs w:val="18"/>
              </w:rPr>
              <w:t>в том числе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70 726,9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61 461,9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45 375,9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36 241,3</w:t>
            </w:r>
          </w:p>
        </w:tc>
        <w:tc>
          <w:tcPr>
            <w:tcW w:w="1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36 512,0</w:t>
            </w:r>
          </w:p>
        </w:tc>
      </w:tr>
      <w:tr>
        <w:trPr>
          <w:trHeight w:val="660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Налоговые и неналоговые доходы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16 538,6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17 075,0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18 101,1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19 350,7</w:t>
            </w:r>
          </w:p>
        </w:tc>
        <w:tc>
          <w:tcPr>
            <w:tcW w:w="136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20 655,5</w:t>
            </w:r>
          </w:p>
        </w:tc>
      </w:tr>
      <w:tr>
        <w:trPr>
          <w:trHeight w:val="520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54 188,3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44 386,9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27 274,8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16 890,6</w:t>
            </w:r>
          </w:p>
        </w:tc>
        <w:tc>
          <w:tcPr>
            <w:tcW w:w="136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15 856,5</w:t>
            </w:r>
          </w:p>
        </w:tc>
      </w:tr>
      <w:tr>
        <w:trPr>
          <w:trHeight w:val="330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Расходы, всего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72 662,8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62 544,9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45 375,9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36 241,3</w:t>
            </w:r>
          </w:p>
        </w:tc>
        <w:tc>
          <w:tcPr>
            <w:tcW w:w="136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36 512,0</w:t>
            </w:r>
          </w:p>
        </w:tc>
      </w:tr>
      <w:tr>
        <w:trPr>
          <w:trHeight w:val="315" w:hRule="atLeast"/>
        </w:trPr>
        <w:tc>
          <w:tcPr>
            <w:tcW w:w="3086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i/>
                <w:i/>
                <w:iCs/>
                <w:sz w:val="18"/>
                <w:szCs w:val="18"/>
              </w:rPr>
            </w:pPr>
            <w:r>
              <w:rPr>
                <w:rFonts w:cs="Arial" w:ascii="Arial" w:hAnsi="Arial"/>
                <w:i/>
                <w:iCs/>
                <w:sz w:val="18"/>
                <w:szCs w:val="18"/>
              </w:rPr>
              <w:t>из них</w:t>
            </w:r>
          </w:p>
        </w:tc>
        <w:tc>
          <w:tcPr>
            <w:tcW w:w="127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-</w:t>
            </w:r>
          </w:p>
        </w:tc>
        <w:tc>
          <w:tcPr>
            <w:tcW w:w="1843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 </w:t>
            </w:r>
          </w:p>
        </w:tc>
        <w:tc>
          <w:tcPr>
            <w:tcW w:w="1134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eastAsia="Arial" w:cs="Arial" w:ascii="Arial" w:hAnsi="Arial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18"/>
                <w:szCs w:val="18"/>
              </w:rPr>
              <w:t xml:space="preserve">- </w:t>
            </w:r>
          </w:p>
        </w:tc>
      </w:tr>
      <w:tr>
        <w:trPr>
          <w:trHeight w:val="798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-    расходы на обслуживание                    муниципального  долга</w:t>
            </w:r>
          </w:p>
        </w:tc>
        <w:tc>
          <w:tcPr>
            <w:tcW w:w="127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843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</w:r>
          </w:p>
        </w:tc>
        <w:tc>
          <w:tcPr>
            <w:tcW w:w="1134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276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1360" w:type="dxa"/>
            <w:vMerge w:val="continue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423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- межбюджетные трансферты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11 219,0</w:t>
            </w:r>
          </w:p>
        </w:tc>
        <w:tc>
          <w:tcPr>
            <w:tcW w:w="1843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10 362,9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14 324,8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14 324,8</w:t>
            </w:r>
          </w:p>
        </w:tc>
        <w:tc>
          <w:tcPr>
            <w:tcW w:w="13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14 324,8</w:t>
            </w:r>
          </w:p>
        </w:tc>
      </w:tr>
      <w:tr>
        <w:trPr>
          <w:trHeight w:val="557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eastAsia="Arial" w:cs="Arial" w:ascii="Arial" w:hAnsi="Arial"/>
                <w:sz w:val="18"/>
                <w:szCs w:val="18"/>
              </w:rPr>
              <w:t xml:space="preserve">  </w:t>
            </w:r>
            <w:r>
              <w:rPr>
                <w:rFonts w:cs="Arial" w:ascii="Arial" w:hAnsi="Arial"/>
                <w:sz w:val="18"/>
                <w:szCs w:val="18"/>
              </w:rPr>
              <w:t>- условно утверждаемые расходы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843" w:type="dxa"/>
            <w:tcBorders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 </w:t>
            </w:r>
          </w:p>
        </w:tc>
        <w:tc>
          <w:tcPr>
            <w:tcW w:w="1134" w:type="dxa"/>
            <w:tcBorders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 </w:t>
            </w:r>
          </w:p>
        </w:tc>
      </w:tr>
      <w:tr>
        <w:trPr>
          <w:trHeight w:val="660" w:hRule="atLeast"/>
        </w:trPr>
        <w:tc>
          <w:tcPr>
            <w:tcW w:w="308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Дефицит (-), профицит (+)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-1 935,9</w:t>
            </w:r>
          </w:p>
        </w:tc>
        <w:tc>
          <w:tcPr>
            <w:tcW w:w="184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-1 083,0</w:t>
            </w:r>
          </w:p>
        </w:tc>
        <w:tc>
          <w:tcPr>
            <w:tcW w:w="113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276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360" w:type="dxa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0,0</w:t>
            </w:r>
          </w:p>
        </w:tc>
      </w:tr>
    </w:tbl>
    <w:p>
      <w:pPr>
        <w:pStyle w:val="ConsPlusNormal1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ConsPlusNormal1"/>
        <w:ind w:firstLine="567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tbl>
      <w:tblPr>
        <w:tblW w:w="10090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5"/>
        <w:gridCol w:w="425"/>
        <w:gridCol w:w="284"/>
        <w:gridCol w:w="425"/>
        <w:gridCol w:w="425"/>
        <w:gridCol w:w="850"/>
        <w:gridCol w:w="851"/>
        <w:gridCol w:w="284"/>
        <w:gridCol w:w="1134"/>
        <w:gridCol w:w="992"/>
        <w:gridCol w:w="851"/>
        <w:gridCol w:w="141"/>
        <w:gridCol w:w="993"/>
        <w:gridCol w:w="10"/>
      </w:tblGrid>
      <w:tr>
        <w:trPr>
          <w:trHeight w:val="300" w:hRule="atLeast"/>
        </w:trPr>
        <w:tc>
          <w:tcPr>
            <w:tcW w:w="10080" w:type="dxa"/>
            <w:gridSpan w:val="13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Таблица 2</w:t>
            </w:r>
          </w:p>
        </w:tc>
      </w:tr>
      <w:tr>
        <w:trPr>
          <w:trHeight w:val="720" w:hRule="atLeast"/>
        </w:trPr>
        <w:tc>
          <w:tcPr>
            <w:tcW w:w="10080" w:type="dxa"/>
            <w:gridSpan w:val="13"/>
            <w:tcBorders/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Распределение бюджетных ассигнований по главным распорядителям средств бюджета                                                          поселения  на 2021-2023 годы</w:t>
            </w:r>
          </w:p>
        </w:tc>
      </w:tr>
      <w:tr>
        <w:trPr>
          <w:trHeight w:val="300" w:hRule="atLeast"/>
        </w:trPr>
        <w:tc>
          <w:tcPr>
            <w:tcW w:w="2425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</w:r>
          </w:p>
        </w:tc>
        <w:tc>
          <w:tcPr>
            <w:tcW w:w="425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709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1275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1418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992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/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т.руб.</w:t>
            </w:r>
          </w:p>
        </w:tc>
      </w:tr>
      <w:tr>
        <w:trPr>
          <w:trHeight w:val="300" w:hRule="atLeast"/>
        </w:trPr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Наименование</w:t>
            </w:r>
          </w:p>
        </w:tc>
        <w:tc>
          <w:tcPr>
            <w:tcW w:w="4678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2021 год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Плановый период</w:t>
            </w:r>
          </w:p>
        </w:tc>
      </w:tr>
      <w:tr>
        <w:trPr>
          <w:trHeight w:val="435" w:hRule="atLeast"/>
        </w:trPr>
        <w:tc>
          <w:tcPr>
            <w:tcW w:w="24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Ведомство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раздел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подраздел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Целевая статья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Вид расходов</w:t>
            </w:r>
          </w:p>
        </w:tc>
        <w:tc>
          <w:tcPr>
            <w:tcW w:w="9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2022 год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2023 год</w:t>
            </w:r>
          </w:p>
        </w:tc>
      </w:tr>
      <w:tr>
        <w:trPr>
          <w:trHeight w:val="30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753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Администрация  рабочего поселка Шаранга  Шарангского муниципального  района Нижегородской области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487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45 375,9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36 241,3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36 512,0</w:t>
            </w:r>
          </w:p>
        </w:tc>
      </w:tr>
      <w:tr>
        <w:trPr>
          <w:trHeight w:val="56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ОБЩЕГОСУДАРСТВЕННЫЕ ВОПРОСЫ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2 848,9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2 848,9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2 848,9</w:t>
            </w:r>
          </w:p>
        </w:tc>
      </w:tr>
      <w:tr>
        <w:trPr>
          <w:trHeight w:val="689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Функционирование местных администраций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</w:tr>
      <w:tr>
        <w:trPr>
          <w:trHeight w:val="31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</w:tr>
      <w:tr>
        <w:trPr>
          <w:trHeight w:val="54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2 600,1</w:t>
            </w:r>
          </w:p>
        </w:tc>
      </w:tr>
      <w:tr>
        <w:trPr>
          <w:trHeight w:val="50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Содержание аппарата управления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2 600,1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2 600,1</w:t>
            </w:r>
          </w:p>
        </w:tc>
      </w:tr>
      <w:tr>
        <w:trPr>
          <w:trHeight w:val="78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8880120401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1 796,5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1796,5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1796,5</w:t>
            </w:r>
          </w:p>
        </w:tc>
      </w:tr>
      <w:tr>
        <w:trPr>
          <w:trHeight w:val="1693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1 185,9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1185,9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1185,9</w:t>
            </w:r>
          </w:p>
        </w:tc>
      </w:tr>
      <w:tr>
        <w:trPr>
          <w:trHeight w:val="985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8880120401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610,6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610,6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610,6</w:t>
            </w:r>
          </w:p>
        </w:tc>
      </w:tr>
      <w:tr>
        <w:trPr>
          <w:trHeight w:val="701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8880120800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803,6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803,6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803,6</w:t>
            </w:r>
          </w:p>
        </w:tc>
      </w:tr>
      <w:tr>
        <w:trPr>
          <w:trHeight w:val="1553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8880120800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803,6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803,6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803,6</w:t>
            </w:r>
          </w:p>
        </w:tc>
      </w:tr>
      <w:tr>
        <w:trPr>
          <w:trHeight w:val="279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Резервные фонды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</w:tr>
      <w:tr>
        <w:trPr>
          <w:trHeight w:val="42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</w:tr>
      <w:tr>
        <w:trPr>
          <w:trHeight w:val="41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3,0</w:t>
            </w:r>
          </w:p>
        </w:tc>
      </w:tr>
      <w:tr>
        <w:trPr>
          <w:trHeight w:val="60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Содержание аппарата управления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</w:tr>
      <w:tr>
        <w:trPr>
          <w:trHeight w:val="60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8880107005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</w:tr>
      <w:tr>
        <w:trPr>
          <w:trHeight w:val="526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8880107005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3,0</w:t>
            </w:r>
          </w:p>
        </w:tc>
      </w:tr>
      <w:tr>
        <w:trPr>
          <w:trHeight w:val="56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245,8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245,8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245,8</w:t>
            </w:r>
          </w:p>
        </w:tc>
      </w:tr>
      <w:tr>
        <w:trPr>
          <w:trHeight w:val="568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245,8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245,8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245,8</w:t>
            </w:r>
          </w:p>
        </w:tc>
      </w:tr>
      <w:tr>
        <w:trPr>
          <w:trHeight w:val="309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Содержание аппарата управления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</w:tr>
      <w:tr>
        <w:trPr>
          <w:trHeight w:val="739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Учреждение по обеспечению хозяйственного обслуживания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8880193990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</w:tr>
      <w:tr>
        <w:trPr>
          <w:trHeight w:val="1552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8880193990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188,8</w:t>
            </w:r>
          </w:p>
        </w:tc>
      </w:tr>
      <w:tr>
        <w:trPr>
          <w:trHeight w:val="534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</w:tr>
      <w:tr>
        <w:trPr>
          <w:trHeight w:val="866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8880692035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</w:tr>
      <w:tr>
        <w:trPr>
          <w:trHeight w:val="47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8880692035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57,0</w:t>
            </w:r>
          </w:p>
        </w:tc>
      </w:tr>
      <w:tr>
        <w:trPr>
          <w:trHeight w:val="49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НАЦИОНАЛЬНАЯ ОБОРОНА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343,0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346,2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359,2</w:t>
            </w:r>
          </w:p>
        </w:tc>
      </w:tr>
      <w:tr>
        <w:trPr>
          <w:trHeight w:val="683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343,0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346,2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359,2</w:t>
            </w:r>
          </w:p>
        </w:tc>
      </w:tr>
      <w:tr>
        <w:trPr>
          <w:trHeight w:val="423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1400000000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343,0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346,2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359,2</w:t>
            </w:r>
          </w:p>
        </w:tc>
      </w:tr>
      <w:tr>
        <w:trPr>
          <w:trHeight w:val="557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1420000000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343,0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346,2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359,2</w:t>
            </w:r>
          </w:p>
        </w:tc>
      </w:tr>
      <w:tr>
        <w:trPr>
          <w:trHeight w:val="1172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за счет субвенции на осуществление первичного воинского учета на территориях,где отсутствуют военные комиссариаты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1422051180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343,0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346,2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359,2</w:t>
            </w:r>
          </w:p>
        </w:tc>
      </w:tr>
      <w:tr>
        <w:trPr>
          <w:trHeight w:val="1249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за счет субвенции на осуществление первичного воинского учета на территориях,где отсутствуют военные комиссариаты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1422051180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343,0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346,2</w:t>
            </w:r>
          </w:p>
        </w:tc>
        <w:tc>
          <w:tcPr>
            <w:tcW w:w="10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359,2</w:t>
            </w:r>
          </w:p>
        </w:tc>
      </w:tr>
      <w:tr>
        <w:trPr>
          <w:trHeight w:val="1948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1422051180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224,5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224,5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224,5</w:t>
            </w:r>
          </w:p>
        </w:tc>
      </w:tr>
      <w:tr>
        <w:trPr>
          <w:trHeight w:val="843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1422051180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121,7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134,7</w:t>
            </w:r>
          </w:p>
        </w:tc>
      </w:tr>
      <w:tr>
        <w:trPr>
          <w:trHeight w:val="982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НАЦИОНАЛЬНАЯ БЕЗОПАСНОСТЬ И ПРАВООХРАНИТЕЛЬНАЯ ДЕЯТЕЛЬНОСТЬ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140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225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Муниципальная программа"Защита населения и территорий от чрезвычайных ситуаций,обеспечение пожарной безопасности и безопасности людей на водных объктах   Шарангского муниципального района на 2021-2025годы"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55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Обеспечение пожарной безопасности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0820000000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114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Развитие и совершенствование системы противопожарной защиты территорий и объектов,в том числе поддержание высокой готовности и дооснащение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0820200000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1118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0820203000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834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0820203000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89,5</w:t>
            </w:r>
          </w:p>
        </w:tc>
      </w:tr>
      <w:tr>
        <w:trPr>
          <w:trHeight w:val="55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НАЦИОНАЛЬНАЯ ЭКОНОМИКА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9083,9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2584,6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2842,3</w:t>
            </w:r>
          </w:p>
        </w:tc>
      </w:tr>
      <w:tr>
        <w:trPr>
          <w:trHeight w:val="478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9083,9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2584,6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2842,3</w:t>
            </w:r>
          </w:p>
        </w:tc>
      </w:tr>
      <w:tr>
        <w:trPr>
          <w:trHeight w:val="133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Муниципальная программа"Развитие транспортной системы в Шарангском муниципальном районе Нижегородской  области на 2021-2025годы"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0600000000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4883,9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2584,6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2842,3</w:t>
            </w:r>
          </w:p>
        </w:tc>
      </w:tr>
      <w:tr>
        <w:trPr>
          <w:trHeight w:val="854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0620000000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4883,9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2584,6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2842,3</w:t>
            </w:r>
          </w:p>
        </w:tc>
      </w:tr>
      <w:tr>
        <w:trPr>
          <w:trHeight w:val="422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0620207080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4883,9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2584,6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2842,3</w:t>
            </w:r>
          </w:p>
        </w:tc>
      </w:tr>
      <w:tr>
        <w:trPr>
          <w:trHeight w:val="774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0620207080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4883,9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2584,6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2842,3</w:t>
            </w:r>
          </w:p>
        </w:tc>
      </w:tr>
      <w:tr>
        <w:trPr>
          <w:trHeight w:val="1267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Муниципальная программа"Инвестиционная программа Шарангского муниципального района Нижегородской области на 2021 -2023годы"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2200000000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4200,0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Прочее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2200300000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4200,0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222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Расходы на проектирование и строительство(реконструкцию)автомобильных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22003S2200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842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Капитальные вложения в объекты государственной(муниципальной) собственности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04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09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22003S2200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76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ЖИЛИЩНО-КОММУНАЛЬНОЕ ХОЗЯЙСТВО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18387,8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15749,3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15749,3</w:t>
            </w:r>
          </w:p>
        </w:tc>
      </w:tr>
      <w:tr>
        <w:trPr>
          <w:trHeight w:val="35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Жилищное хозяйство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</w:tr>
      <w:tr>
        <w:trPr>
          <w:trHeight w:val="43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</w:tr>
      <w:tr>
        <w:trPr>
          <w:trHeight w:val="394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88 8 00 00000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</w:tr>
      <w:tr>
        <w:trPr>
          <w:trHeight w:val="57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88 8 06 00000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475,0</w:t>
            </w:r>
          </w:p>
        </w:tc>
      </w:tr>
      <w:tr>
        <w:trPr>
          <w:trHeight w:val="572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88  806 03502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475,0</w:t>
            </w:r>
          </w:p>
        </w:tc>
      </w:tr>
      <w:tr>
        <w:trPr>
          <w:trHeight w:val="101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88  806 03502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475,0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475,0</w:t>
            </w:r>
          </w:p>
        </w:tc>
      </w:tr>
      <w:tr>
        <w:trPr>
          <w:trHeight w:val="43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Благоустройство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17912,8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15274,3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15274,3</w:t>
            </w:r>
          </w:p>
        </w:tc>
      </w:tr>
      <w:tr>
        <w:trPr>
          <w:trHeight w:val="1204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"Формирование комфортной городской среды р.п.Шаранга Шарангского муниципального района Нижегородской области на 2018-2022годы"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1900000000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4304,3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3121,2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3121,2</w:t>
            </w:r>
          </w:p>
        </w:tc>
      </w:tr>
      <w:tr>
        <w:trPr>
          <w:trHeight w:val="843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Благоустройство дворовых территорий муниципальных жилых домов р.п.Шаранга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191F25555А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4304,3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3121,2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3121,2</w:t>
            </w:r>
          </w:p>
        </w:tc>
      </w:tr>
      <w:tr>
        <w:trPr>
          <w:trHeight w:val="68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191F25555А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4304,3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3121,2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3121,2</w:t>
            </w:r>
          </w:p>
        </w:tc>
      </w:tr>
      <w:tr>
        <w:trPr>
          <w:trHeight w:val="127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"Муниципальная программа Инвестиционная программа Шарангского муниципального района Нижегородской области на 2021-2023годы" 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1455,5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227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Благоустройство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2200200000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1455,5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985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Реализация проектов комплексного развития сельских территорий(сельских агломераций)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22002S2020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1455,5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858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22002S2020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1455,5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>
        <w:trPr>
          <w:trHeight w:val="41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12153,00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12153,1</w:t>
            </w:r>
          </w:p>
        </w:tc>
      </w:tr>
      <w:tr>
        <w:trPr>
          <w:trHeight w:val="413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12153,00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12153,1</w:t>
            </w:r>
          </w:p>
        </w:tc>
      </w:tr>
      <w:tr>
        <w:trPr>
          <w:trHeight w:val="556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8880600000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12153,00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12153,1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12153,1</w:t>
            </w:r>
          </w:p>
        </w:tc>
      </w:tr>
      <w:tr>
        <w:trPr>
          <w:trHeight w:val="576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8880660102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4201,3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4201,3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4201,3</w:t>
            </w:r>
          </w:p>
        </w:tc>
      </w:tr>
      <w:tr>
        <w:trPr>
          <w:trHeight w:val="814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8880660102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/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4201,3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4201,3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4201,3</w:t>
            </w:r>
          </w:p>
        </w:tc>
      </w:tr>
      <w:tr>
        <w:trPr>
          <w:trHeight w:val="53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8880660302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270,0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270,0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270,0</w:t>
            </w:r>
          </w:p>
        </w:tc>
      </w:tr>
      <w:tr>
        <w:trPr>
          <w:trHeight w:val="72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8880660302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270,0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270,0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270,0</w:t>
            </w:r>
          </w:p>
        </w:tc>
      </w:tr>
      <w:tr>
        <w:trPr>
          <w:trHeight w:val="688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Организация и содержание мест захоронений за счет средств местного бюджета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8880660402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248,5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248,5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248,5</w:t>
            </w:r>
          </w:p>
        </w:tc>
      </w:tr>
      <w:tr>
        <w:trPr>
          <w:trHeight w:val="84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8880660402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248,5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248,5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248,5</w:t>
            </w:r>
          </w:p>
        </w:tc>
      </w:tr>
      <w:tr>
        <w:trPr>
          <w:trHeight w:val="926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8880660503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7433,2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7433,3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7433,3</w:t>
            </w:r>
          </w:p>
        </w:tc>
      </w:tr>
      <w:tr>
        <w:trPr>
          <w:trHeight w:val="888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05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8880660503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7433,2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7433,2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7433,2</w:t>
            </w:r>
          </w:p>
        </w:tc>
      </w:tr>
      <w:tr>
        <w:trPr>
          <w:trHeight w:val="40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КУЛЬТУРА, КИНЕМАТОГРАФИЯ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31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Культура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383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58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1438" w:hRule="atLeast"/>
        </w:trPr>
        <w:tc>
          <w:tcPr>
            <w:tcW w:w="24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8880300000</w:t>
            </w:r>
          </w:p>
        </w:tc>
        <w:tc>
          <w:tcPr>
            <w:tcW w:w="1134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8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1041" w:hRule="atLeast"/>
        </w:trPr>
        <w:tc>
          <w:tcPr>
            <w:tcW w:w="2425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8880302106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444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eastAsia="Arial" w:cs="Arial" w:ascii="Arial" w:hAnsi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01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8880302106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14324,8</w:t>
            </w:r>
          </w:p>
        </w:tc>
      </w:tr>
      <w:tr>
        <w:trPr>
          <w:trHeight w:val="449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СОЦИАЛЬНАЯ ПОЛИТИКА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298,0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298,0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298,0</w:t>
            </w:r>
          </w:p>
        </w:tc>
      </w:tr>
      <w:tr>
        <w:trPr>
          <w:trHeight w:val="271" w:hRule="atLeast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00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</w:tr>
      <w:tr>
        <w:trPr>
          <w:trHeight w:val="54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</w:tr>
      <w:tr>
        <w:trPr>
          <w:trHeight w:val="54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8880600000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30,0</w:t>
            </w:r>
          </w:p>
        </w:tc>
      </w:tr>
      <w:tr>
        <w:trPr>
          <w:trHeight w:val="581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8880605030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30,0</w:t>
            </w:r>
          </w:p>
        </w:tc>
      </w:tr>
      <w:tr>
        <w:trPr>
          <w:trHeight w:val="555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03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8880605030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30,0</w:t>
            </w:r>
          </w:p>
        </w:tc>
      </w:tr>
      <w:tr>
        <w:trPr>
          <w:trHeight w:val="40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06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</w:tr>
      <w:tr>
        <w:trPr>
          <w:trHeight w:val="433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06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8800000000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</w:tr>
      <w:tr>
        <w:trPr>
          <w:trHeight w:val="60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Непрограммное направление деятельности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06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8880000000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</w:tr>
      <w:tr>
        <w:trPr>
          <w:trHeight w:val="239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Прочие непрограммные расходы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06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8880600000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268,0</w:t>
            </w:r>
          </w:p>
        </w:tc>
      </w:tr>
      <w:tr>
        <w:trPr>
          <w:trHeight w:val="537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06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8880614010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268,0</w:t>
            </w:r>
          </w:p>
        </w:tc>
      </w:tr>
      <w:tr>
        <w:trPr>
          <w:trHeight w:val="710" w:hRule="atLeast"/>
        </w:trPr>
        <w:tc>
          <w:tcPr>
            <w:tcW w:w="2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709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06</w:t>
            </w:r>
          </w:p>
        </w:tc>
        <w:tc>
          <w:tcPr>
            <w:tcW w:w="1135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8880614010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992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268,0</w:t>
            </w:r>
          </w:p>
        </w:tc>
        <w:tc>
          <w:tcPr>
            <w:tcW w:w="1003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268,0</w:t>
            </w:r>
          </w:p>
        </w:tc>
      </w:tr>
    </w:tbl>
    <w:p>
      <w:pPr>
        <w:pStyle w:val="ConsPlusNormal1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rFonts w:ascii="Times New Roman" w:hAnsi="Times New Roman" w:eastAsia="Times New Roman" w:cs="Times New Roman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20z2">
    <w:name w:val="WW8Num20z2"/>
    <w:qFormat/>
    <w:rPr>
      <w:rFonts w:ascii="Wingdings" w:hAnsi="Wingdings" w:cs="Wingdings"/>
    </w:rPr>
  </w:style>
  <w:style w:type="character" w:styleId="WW8Num20z3">
    <w:name w:val="WW8Num20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Style14">
    <w:name w:val="Без интервала Знак"/>
    <w:basedOn w:val="Style11"/>
    <w:qFormat/>
    <w:rPr>
      <w:lang w:val="ru-RU" w:bidi="ar-SA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Appleconvertedspace">
    <w:name w:val="apple-converted-space"/>
    <w:basedOn w:val="Style11"/>
    <w:qFormat/>
    <w:rPr/>
  </w:style>
  <w:style w:type="character" w:styleId="Style15">
    <w:name w:val="Интернет-ссылка"/>
    <w:basedOn w:val="Style11"/>
    <w:rPr>
      <w:color w:val="0000FF"/>
      <w:u w:val="single"/>
    </w:rPr>
  </w:style>
  <w:style w:type="paragraph" w:styleId="Style16">
    <w:name w:val="Заголовок"/>
    <w:next w:val="Style17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1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3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4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6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7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8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9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0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32">
    <w:name w:val="Содержимое врезки"/>
    <w:basedOn w:val="Normal"/>
    <w:qFormat/>
    <w:pPr/>
    <w:rPr/>
  </w:style>
  <w:style w:type="paragraph" w:styleId="Style33">
    <w:name w:val="Содержимое таблицы"/>
    <w:basedOn w:val="Normal"/>
    <w:qFormat/>
    <w:pPr>
      <w:widowControl w:val="false"/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596</TotalTime>
  <Application>LibreOffice/7.0.3.1$Windows_X86_64 LibreOffice_project/d7547858d014d4cf69878db179d326fc3483e082</Application>
  <Pages>6</Pages>
  <Words>687</Words>
  <Characters>4652</Characters>
  <CharactersWithSpaces>5000</CharactersWithSpaces>
  <Paragraphs>485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2020-11-30T07:53:00Z</cp:lastPrinted>
  <dcterms:modified xsi:type="dcterms:W3CDTF">2020-11-30T06:58:00Z</dcterms:modified>
  <cp:revision>48</cp:revision>
  <dc:subject/>
  <dc:title>ПОСТАНОВЛЕНИЕ</dc:title>
</cp:coreProperties>
</file>