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4"/>
          <w:szCs w:val="24"/>
        </w:rPr>
      </w:pPr>
      <w:r>
        <w:rPr>
          <w:rFonts w:cs="Arial" w:ascii="Arial" w:hAnsi="Arial"/>
          <w:b/>
          <w:kern w:val="2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ПОСТАНОВЛЕНИЕ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16.11.2020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 xml:space="preserve"> 168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autoSpaceDE w:val="false"/>
        <w:ind w:firstLine="540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 xml:space="preserve">Об </w:t>
      </w:r>
      <w:r>
        <w:rPr>
          <w:rFonts w:cs="Arial" w:ascii="Arial" w:hAnsi="Arial"/>
          <w:b/>
          <w:sz w:val="32"/>
          <w:szCs w:val="32"/>
        </w:rPr>
        <w:t xml:space="preserve">утверждении Положения </w:t>
      </w:r>
    </w:p>
    <w:p>
      <w:pPr>
        <w:pStyle w:val="Normal"/>
        <w:widowControl w:val="false"/>
        <w:autoSpaceDE w:val="false"/>
        <w:ind w:firstLine="540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о проведении конкурса на лучшее новогоднее световое оформление «Новогодний серпантин»</w:t>
      </w:r>
    </w:p>
    <w:p>
      <w:pPr>
        <w:pStyle w:val="Normal"/>
        <w:widowControl w:val="false"/>
        <w:autoSpaceDE w:val="false"/>
        <w:ind w:firstLine="540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</w:r>
    </w:p>
    <w:p>
      <w:pPr>
        <w:pStyle w:val="ConsPlusNormal1"/>
        <w:ind w:firstLine="567"/>
        <w:jc w:val="both"/>
        <w:rPr/>
      </w:pPr>
      <w:r>
        <w:rPr>
          <w:rFonts w:eastAsia="Arial"/>
          <w:sz w:val="24"/>
          <w:szCs w:val="24"/>
        </w:rPr>
        <w:t xml:space="preserve">        </w:t>
      </w:r>
      <w:r>
        <w:rPr>
          <w:sz w:val="24"/>
          <w:szCs w:val="24"/>
        </w:rPr>
        <w:t xml:space="preserve">В целях новогоднего оформления и улучшения внешнего облика зданий, улиц и площадей посёлка, повышения эстетической культуры, создания праздничной атмосферы и выявления лучших исполнителей образцового цветового и светового решения в оформлении объектов в преддверии Нового 2021 года и Рождества Христова, администрация рабочего посёлка Шаранга Шарангского муниципального района Нижегородской области (далее – администрация)  </w:t>
      </w:r>
    </w:p>
    <w:p>
      <w:pPr>
        <w:pStyle w:val="ConsPlusNormal1"/>
        <w:ind w:firstLine="567"/>
        <w:jc w:val="both"/>
        <w:rPr/>
      </w:pPr>
      <w:r>
        <w:rPr>
          <w:rFonts w:eastAsia="Arial"/>
          <w:sz w:val="24"/>
          <w:szCs w:val="24"/>
        </w:rPr>
        <w:t xml:space="preserve"> </w:t>
      </w:r>
      <w:r>
        <w:rPr>
          <w:b/>
          <w:sz w:val="24"/>
          <w:szCs w:val="24"/>
        </w:rPr>
        <w:t>п о с т а н о в л я е т:</w:t>
      </w:r>
    </w:p>
    <w:p>
      <w:pPr>
        <w:pStyle w:val="ConsPlusTitle"/>
        <w:widowControl/>
        <w:ind w:firstLine="851"/>
        <w:jc w:val="both"/>
        <w:rPr/>
      </w:pPr>
      <w:r>
        <w:rPr>
          <w:rFonts w:cs="Arial" w:ascii="Arial" w:hAnsi="Arial"/>
          <w:b w:val="false"/>
          <w:sz w:val="24"/>
          <w:szCs w:val="24"/>
        </w:rPr>
        <w:t>1.Провести на территории рабочего посёлка Шаранга Шарангского муниципального района Нижегородской области с 01 декабря 2020 года по 15 января 2021 года конкурс на лучшее новогоднее световое и цветовое оформление «Новогодний серпантин».</w:t>
      </w:r>
    </w:p>
    <w:p>
      <w:pPr>
        <w:pStyle w:val="Normal"/>
        <w:widowControl w:val="false"/>
        <w:shd w:fill="FFFFFF" w:val="clear"/>
        <w:autoSpaceDE w:val="false"/>
        <w:ind w:right="28" w:hanging="0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  </w:t>
      </w:r>
      <w:r>
        <w:rPr>
          <w:rFonts w:cs="Arial" w:ascii="Arial" w:hAnsi="Arial"/>
          <w:sz w:val="24"/>
          <w:szCs w:val="24"/>
        </w:rPr>
        <w:t xml:space="preserve">2.Утвердить Положение о порядке </w:t>
      </w:r>
      <w:r>
        <w:rPr>
          <w:rFonts w:cs="Arial" w:ascii="Arial" w:hAnsi="Arial"/>
          <w:spacing w:val="-2"/>
          <w:sz w:val="24"/>
          <w:szCs w:val="24"/>
        </w:rPr>
        <w:t xml:space="preserve">проведения </w:t>
      </w:r>
      <w:r>
        <w:rPr>
          <w:rFonts w:cs="Arial" w:ascii="Arial" w:hAnsi="Arial"/>
          <w:sz w:val="24"/>
          <w:szCs w:val="24"/>
        </w:rPr>
        <w:t>конкурса на лучшее новогоднее световое и цветовое оформление «Новогодний серпантин»  согласно приложению.</w:t>
      </w:r>
    </w:p>
    <w:p>
      <w:pPr>
        <w:pStyle w:val="Normal"/>
        <w:widowControl w:val="false"/>
        <w:shd w:fill="FFFFFF" w:val="clear"/>
        <w:autoSpaceDE w:val="false"/>
        <w:ind w:right="28" w:hanging="0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 </w:t>
      </w:r>
      <w:r>
        <w:rPr>
          <w:rFonts w:cs="Arial" w:ascii="Arial" w:hAnsi="Arial"/>
          <w:sz w:val="24"/>
          <w:szCs w:val="24"/>
        </w:rPr>
        <w:t>3.Утвердить состав комиссии по подведению итогов конкурса на лучшее новогоднее световое и цветовое оформление «Новогодний серпантин»  согласно приложению.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7938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 администрации</w:t>
        <w:tab/>
        <w:t>С.В.Краев</w:t>
      </w:r>
    </w:p>
    <w:p>
      <w:pPr>
        <w:pStyle w:val="Normal"/>
        <w:tabs>
          <w:tab w:val="clear" w:pos="720"/>
          <w:tab w:val="left" w:pos="7938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7655" w:leader="none"/>
        </w:tabs>
        <w:ind w:firstLine="567"/>
        <w:rPr>
          <w:rFonts w:ascii="Arial" w:hAnsi="Arial" w:cs="Arial"/>
          <w:bCs/>
          <w:sz w:val="24"/>
          <w:szCs w:val="24"/>
          <w:lang w:val="ru-RU" w:eastAsia="ru-RU"/>
        </w:rPr>
      </w:pPr>
      <w:r>
        <w:rPr>
          <w:rFonts w:cs="Arial" w:ascii="Arial" w:hAnsi="Arial"/>
          <w:bCs/>
          <w:sz w:val="24"/>
          <w:szCs w:val="24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0" allowOverlap="1" relativeHeight="3">
                <wp:simplePos x="0" y="0"/>
                <wp:positionH relativeFrom="column">
                  <wp:posOffset>-52705</wp:posOffset>
                </wp:positionH>
                <wp:positionV relativeFrom="paragraph">
                  <wp:posOffset>8413115</wp:posOffset>
                </wp:positionV>
                <wp:extent cx="3009900" cy="1028700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9900" cy="102870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14"/>
                              <w:jc w:val="left"/>
                              <w:rPr>
                                <w:b w:val="false"/>
                                <w:b w:val="false"/>
                                <w:bCs/>
                                <w:kern w:val="2"/>
                                <w:szCs w:val="28"/>
                              </w:rPr>
                            </w:pPr>
                            <w:r>
                              <w:rPr>
                                <w:b w:val="false"/>
                                <w:bCs/>
                                <w:kern w:val="2"/>
                                <w:szCs w:val="28"/>
                              </w:rPr>
                              <w:t>Краев С.В.</w:t>
                            </w:r>
                          </w:p>
                          <w:p>
                            <w:pPr>
                              <w:pStyle w:val="14"/>
                              <w:jc w:val="left"/>
                              <w:rPr>
                                <w:b w:val="false"/>
                                <w:b w:val="false"/>
                                <w:bCs/>
                                <w:kern w:val="2"/>
                                <w:szCs w:val="28"/>
                              </w:rPr>
                            </w:pPr>
                            <w:r>
                              <w:rPr>
                                <w:b w:val="false"/>
                                <w:bCs/>
                                <w:kern w:val="2"/>
                                <w:szCs w:val="28"/>
                              </w:rPr>
                              <w:t>2-11-20</w:t>
                            </w:r>
                          </w:p>
                          <w:p>
                            <w:pPr>
                              <w:pStyle w:val="Normal"/>
                              <w:rPr>
                                <w:b/>
                                <w:b/>
                                <w:bCs/>
                                <w:kern w:val="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kern w:val="2"/>
                                <w:sz w:val="28"/>
                                <w:szCs w:val="28"/>
                              </w:rPr>
                            </w:r>
                          </w:p>
                          <w:p>
                            <w:pPr>
                              <w:pStyle w:val="Normal"/>
                              <w:rPr/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Зав. орг. – прав. отделом</w:t>
                            </w:r>
                          </w:p>
                          <w:p>
                            <w:pPr>
                              <w:pStyle w:val="Normal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237pt;height:81pt;mso-wrap-distance-left:9.05pt;mso-wrap-distance-right:9.05pt;mso-wrap-distance-top:0pt;mso-wrap-distance-bottom:0pt;margin-top:662.45pt;mso-position-vertical-relative:text;margin-left:-4.15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14"/>
                        <w:jc w:val="left"/>
                        <w:rPr>
                          <w:b w:val="false"/>
                          <w:b w:val="false"/>
                          <w:bCs/>
                          <w:kern w:val="2"/>
                          <w:szCs w:val="28"/>
                        </w:rPr>
                      </w:pPr>
                      <w:r>
                        <w:rPr>
                          <w:b w:val="false"/>
                          <w:bCs/>
                          <w:kern w:val="2"/>
                          <w:szCs w:val="28"/>
                        </w:rPr>
                        <w:t>Краев С.В.</w:t>
                      </w:r>
                    </w:p>
                    <w:p>
                      <w:pPr>
                        <w:pStyle w:val="14"/>
                        <w:jc w:val="left"/>
                        <w:rPr>
                          <w:b w:val="false"/>
                          <w:b w:val="false"/>
                          <w:bCs/>
                          <w:kern w:val="2"/>
                          <w:szCs w:val="28"/>
                        </w:rPr>
                      </w:pPr>
                      <w:r>
                        <w:rPr>
                          <w:b w:val="false"/>
                          <w:bCs/>
                          <w:kern w:val="2"/>
                          <w:szCs w:val="28"/>
                        </w:rPr>
                        <w:t>2-11-20</w:t>
                      </w:r>
                    </w:p>
                    <w:p>
                      <w:pPr>
                        <w:pStyle w:val="Normal"/>
                        <w:rPr>
                          <w:b/>
                          <w:b/>
                          <w:bCs/>
                          <w:kern w:val="2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kern w:val="2"/>
                          <w:sz w:val="28"/>
                          <w:szCs w:val="28"/>
                        </w:rPr>
                      </w:r>
                    </w:p>
                    <w:p>
                      <w:pPr>
                        <w:pStyle w:val="Normal"/>
                        <w:rPr/>
                      </w:pPr>
                      <w:r>
                        <w:rPr>
                          <w:sz w:val="28"/>
                          <w:szCs w:val="28"/>
                        </w:rPr>
                        <w:t>Зав. орг. – прав. отделом</w:t>
                      </w:r>
                    </w:p>
                    <w:p>
                      <w:pPr>
                        <w:pStyle w:val="Normal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p>
      <w:pPr>
        <w:pStyle w:val="ConsPlusNormal1"/>
        <w:ind w:firstLine="567"/>
        <w:jc w:val="right"/>
        <w:rPr>
          <w:b/>
          <w:b/>
          <w:sz w:val="32"/>
          <w:szCs w:val="32"/>
        </w:rPr>
      </w:pPr>
      <w:r>
        <w:rPr>
          <w:b/>
          <w:sz w:val="32"/>
          <w:szCs w:val="32"/>
        </w:rPr>
        <w:t>Утвержден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rFonts w:eastAsia="Arial"/>
          <w:sz w:val="22"/>
          <w:szCs w:val="22"/>
        </w:rPr>
        <w:t xml:space="preserve"> </w:t>
      </w:r>
      <w:r>
        <w:rPr>
          <w:sz w:val="22"/>
          <w:szCs w:val="22"/>
        </w:rPr>
        <w:t xml:space="preserve">постановлением администрации 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рабочего поселка Шаранга 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>Шарангского муниципального района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Нижегородской области 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>от  16.11.2020 №168</w:t>
      </w:r>
    </w:p>
    <w:p>
      <w:pPr>
        <w:pStyle w:val="Normal"/>
        <w:shd w:fill="FFFFFF" w:val="clear"/>
        <w:ind w:right="28" w:hanging="0"/>
        <w:jc w:val="center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>ПОЛОЖЕНИЕ</w:t>
      </w:r>
    </w:p>
    <w:p>
      <w:pPr>
        <w:pStyle w:val="Normal"/>
        <w:widowControl w:val="false"/>
        <w:autoSpaceDE w:val="false"/>
        <w:ind w:firstLine="540"/>
        <w:jc w:val="center"/>
        <w:rPr/>
      </w:pPr>
      <w:r>
        <w:rPr>
          <w:rFonts w:cs="Arial" w:ascii="Arial" w:hAnsi="Arial"/>
          <w:b/>
          <w:spacing w:val="-2"/>
          <w:sz w:val="22"/>
          <w:szCs w:val="22"/>
        </w:rPr>
        <w:t xml:space="preserve">о порядке проведения </w:t>
      </w:r>
      <w:r>
        <w:rPr>
          <w:rFonts w:cs="Arial" w:ascii="Arial" w:hAnsi="Arial"/>
          <w:b/>
          <w:sz w:val="22"/>
          <w:szCs w:val="22"/>
        </w:rPr>
        <w:t>конкурса на лучшее новогоднее световое оформление  «Новогодний серпантин»</w:t>
      </w:r>
    </w:p>
    <w:p>
      <w:pPr>
        <w:pStyle w:val="Normal"/>
        <w:shd w:fill="FFFFFF" w:val="clear"/>
        <w:ind w:right="28" w:hanging="0"/>
        <w:jc w:val="center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</w:r>
    </w:p>
    <w:p>
      <w:pPr>
        <w:pStyle w:val="Normal"/>
        <w:jc w:val="center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>1. Общие положения</w:t>
      </w:r>
    </w:p>
    <w:p>
      <w:pPr>
        <w:pStyle w:val="Normal"/>
        <w:jc w:val="both"/>
        <w:rPr/>
      </w:pPr>
      <w:r>
        <w:rPr>
          <w:rFonts w:cs="Arial" w:ascii="Arial" w:hAnsi="Arial"/>
          <w:sz w:val="22"/>
          <w:szCs w:val="22"/>
        </w:rPr>
        <w:t>1.1. Настоящее положение определяет порядок, условия организации и проведения конкурса на лучшее новогоднее световое и цветовое оформление бюджетных организаций и учреждений, предприятий торговли и общественного питания, коммерческих структур, предприятий различных  форм собственности, жителей посёлка к празднованию Нового 2021 года и Рождества Христова.</w:t>
      </w:r>
    </w:p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1.2. Конкурс проводится  администрацией рабочего поселка Шаранга Шарангского муниципального района Нижегородской области.</w:t>
      </w:r>
    </w:p>
    <w:p>
      <w:pPr>
        <w:pStyle w:val="Normal"/>
        <w:jc w:val="both"/>
        <w:rPr>
          <w:rFonts w:ascii="Arial" w:hAnsi="Arial" w:cs="Arial"/>
          <w:sz w:val="22"/>
          <w:szCs w:val="22"/>
          <w:highlight w:val="yellow"/>
        </w:rPr>
      </w:pPr>
      <w:r>
        <w:rPr>
          <w:rFonts w:cs="Arial" w:ascii="Arial" w:hAnsi="Arial"/>
          <w:sz w:val="22"/>
          <w:szCs w:val="22"/>
          <w:highlight w:val="yellow"/>
        </w:rPr>
      </w:r>
    </w:p>
    <w:p>
      <w:pPr>
        <w:pStyle w:val="Normal"/>
        <w:jc w:val="center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>2. Основные цели и задачи</w:t>
      </w:r>
    </w:p>
    <w:p>
      <w:pPr>
        <w:pStyle w:val="Normal"/>
        <w:jc w:val="both"/>
        <w:rPr/>
      </w:pPr>
      <w:r>
        <w:rPr>
          <w:rFonts w:cs="Arial" w:ascii="Arial" w:hAnsi="Arial"/>
          <w:sz w:val="22"/>
          <w:szCs w:val="22"/>
        </w:rPr>
        <w:t>2.1.Подготовка бюджетных организаций и учреждений, предприятий торговли и общественного питания, коммерческих структур, предприятий различных  форм собственности, жителей посёлка к празднованию Нового 2021 года и Рождества Христова.</w:t>
      </w:r>
    </w:p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2.2. Формирование праздничного настроения у жителей посёлка.</w:t>
      </w:r>
    </w:p>
    <w:p>
      <w:pPr>
        <w:pStyle w:val="Normal"/>
        <w:jc w:val="both"/>
        <w:rPr/>
      </w:pPr>
      <w:r>
        <w:rPr>
          <w:rFonts w:cs="Arial" w:ascii="Arial" w:hAnsi="Arial"/>
          <w:sz w:val="22"/>
          <w:szCs w:val="22"/>
        </w:rPr>
        <w:t>2.3. Создание праздничного облика посёлка в преддверии и в период проведения новогодних и рождественских праздников.</w:t>
      </w:r>
    </w:p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2.4. Выявление лучшего образцового, цветового и светового решения новогоднего оформления фасадов и территорий, расположенных в посёлке Шаранга.</w:t>
      </w:r>
    </w:p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2.5.Повышение уровня эстетической выразительности фасадов зданий и прилегающих к ним территорий, входных зон.</w:t>
      </w:r>
    </w:p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2.6. Повышение уровня благоустройства территории посёлка.</w:t>
      </w:r>
    </w:p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2.7. Развитие творческой и общественной активности населения.</w:t>
      </w:r>
    </w:p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jc w:val="center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>3. Условия конкурса</w:t>
      </w:r>
    </w:p>
    <w:p>
      <w:pPr>
        <w:pStyle w:val="Normal"/>
        <w:jc w:val="both"/>
        <w:rPr/>
      </w:pPr>
      <w:r>
        <w:rPr>
          <w:rFonts w:cs="Arial" w:ascii="Arial" w:hAnsi="Arial"/>
          <w:sz w:val="22"/>
          <w:szCs w:val="22"/>
        </w:rPr>
        <w:t>3.1.Участники конкурса должны своевременно спланировать, организовать и выполнить работы по декоративному освещению и праздничному новогоднему световому и цветовому оформлению своей территории, зданий и сооружений.</w:t>
      </w:r>
    </w:p>
    <w:p>
      <w:pPr>
        <w:pStyle w:val="Normal"/>
        <w:jc w:val="both"/>
        <w:rPr/>
      </w:pPr>
      <w:r>
        <w:rPr>
          <w:rFonts w:cs="Arial" w:ascii="Arial" w:hAnsi="Arial"/>
          <w:sz w:val="22"/>
          <w:szCs w:val="22"/>
        </w:rPr>
        <w:t>3.2.Новогоднее оформление выполняется с обязательным применением иллюминации - современных светотехнических средств и композиций из них, светового дождя, гирлянд, в том числе сеток – гирлянд для декорирования деревьев или кустарников, «бегущих огней», импульсных лампочек, готовых светодинамических конструкций (композиций типа «фонтан», «фейерверк», «снежинка», изображений новогодней атрибутики и  т.п.). В оформлении приветствуется  использование декоративных панно,  поздравительных плакатов с новогодней  символикой и тематикой, различных объёмных фигур сказочных персонажей  с отражением темы Нового года – Деда Мороза, Снегурочки, Снеговика и т.д., скульптур и новогодних ёлок (надувных, ледовых, снежных и т.д.). При этом должна быть выполненной и исправно работающей в течение тёмного времени суток архитектурная  подсветка зданий и сооружений.</w:t>
      </w:r>
    </w:p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3.3. Основными показателями при подведении итогов конкурса будут комплексный подход к оформлению территорий, зданий и сооружений в дневное и вечернее время, создание новых и  наиболее интересных художественных композиций.</w:t>
      </w:r>
    </w:p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jc w:val="center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>4. Участники конкурса</w:t>
      </w:r>
    </w:p>
    <w:p>
      <w:pPr>
        <w:pStyle w:val="Normal"/>
        <w:jc w:val="both"/>
        <w:rPr/>
      </w:pPr>
      <w:r>
        <w:rPr>
          <w:rFonts w:cs="Arial" w:ascii="Arial" w:hAnsi="Arial"/>
          <w:sz w:val="22"/>
          <w:szCs w:val="22"/>
        </w:rPr>
        <w:t>Участники конкурса: бюджетные организации и учреждения, предприятия торговли и общественного питания, коммерческие структуры, предприятия различных  форм собственности, жители посёлка.</w:t>
      </w:r>
    </w:p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jc w:val="center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>5. Сроки проведения конкурса</w:t>
      </w:r>
    </w:p>
    <w:p>
      <w:pPr>
        <w:pStyle w:val="Normal"/>
        <w:jc w:val="both"/>
        <w:rPr/>
      </w:pPr>
      <w:r>
        <w:rPr>
          <w:rFonts w:cs="Arial" w:ascii="Arial" w:hAnsi="Arial"/>
          <w:sz w:val="22"/>
          <w:szCs w:val="22"/>
        </w:rPr>
        <w:t>Начало конкурса – 01 декабря 2020 года.</w:t>
      </w:r>
    </w:p>
    <w:p>
      <w:pPr>
        <w:pStyle w:val="Normal"/>
        <w:jc w:val="both"/>
        <w:rPr/>
      </w:pPr>
      <w:r>
        <w:rPr>
          <w:rFonts w:cs="Arial" w:ascii="Arial" w:hAnsi="Arial"/>
          <w:sz w:val="22"/>
          <w:szCs w:val="22"/>
        </w:rPr>
        <w:t>Итоги конкурса подводятся -  15 января 2021 года.</w:t>
      </w:r>
    </w:p>
    <w:p>
      <w:pPr>
        <w:pStyle w:val="Normal"/>
        <w:jc w:val="both"/>
        <w:rPr>
          <w:rFonts w:ascii="Arial" w:hAnsi="Arial" w:cs="Arial"/>
          <w:sz w:val="22"/>
          <w:szCs w:val="22"/>
          <w:highlight w:val="yellow"/>
        </w:rPr>
      </w:pPr>
      <w:r>
        <w:rPr>
          <w:rFonts w:cs="Arial" w:ascii="Arial" w:hAnsi="Arial"/>
          <w:sz w:val="22"/>
          <w:szCs w:val="22"/>
          <w:highlight w:val="yellow"/>
        </w:rPr>
      </w:r>
    </w:p>
    <w:p>
      <w:pPr>
        <w:pStyle w:val="Normal"/>
        <w:jc w:val="center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>6. Подведение итогов конкурса</w:t>
      </w:r>
    </w:p>
    <w:p>
      <w:pPr>
        <w:pStyle w:val="Normal"/>
        <w:jc w:val="both"/>
        <w:rPr/>
      </w:pPr>
      <w:r>
        <w:rPr>
          <w:rFonts w:cs="Arial" w:ascii="Arial" w:hAnsi="Arial"/>
          <w:sz w:val="22"/>
          <w:szCs w:val="22"/>
        </w:rPr>
        <w:t>6.1. Победители конкурса номинируются по четырем категориям: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eastAsia="Arial" w:cs="Arial" w:ascii="Arial" w:hAnsi="Arial"/>
          <w:sz w:val="22"/>
          <w:szCs w:val="22"/>
        </w:rPr>
        <w:t xml:space="preserve">      </w:t>
      </w:r>
      <w:r>
        <w:rPr>
          <w:rFonts w:cs="Arial" w:ascii="Arial" w:hAnsi="Arial"/>
          <w:sz w:val="22"/>
          <w:szCs w:val="22"/>
        </w:rPr>
        <w:t>1 номинация- бюджетные организации и учреждения .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eastAsia="Arial" w:cs="Arial" w:ascii="Arial" w:hAnsi="Arial"/>
          <w:sz w:val="22"/>
          <w:szCs w:val="22"/>
        </w:rPr>
        <w:t xml:space="preserve">      </w:t>
      </w:r>
      <w:r>
        <w:rPr>
          <w:rFonts w:cs="Arial" w:ascii="Arial" w:hAnsi="Arial"/>
          <w:sz w:val="22"/>
          <w:szCs w:val="22"/>
        </w:rPr>
        <w:t>2 номинация- предприятия торговли и общественного питания.</w:t>
      </w:r>
    </w:p>
    <w:p>
      <w:pPr>
        <w:pStyle w:val="Normal"/>
        <w:rPr/>
      </w:pPr>
      <w:r>
        <w:rPr>
          <w:rFonts w:eastAsia="Arial" w:cs="Arial" w:ascii="Arial" w:hAnsi="Arial"/>
          <w:sz w:val="22"/>
          <w:szCs w:val="22"/>
        </w:rPr>
        <w:t xml:space="preserve">      </w:t>
      </w:r>
      <w:r>
        <w:rPr>
          <w:rFonts w:cs="Arial" w:ascii="Arial" w:hAnsi="Arial"/>
          <w:sz w:val="22"/>
          <w:szCs w:val="22"/>
        </w:rPr>
        <w:t>3 номинация- коммерческие структуры и предприятия различных форм собственности</w:t>
      </w:r>
    </w:p>
    <w:p>
      <w:pPr>
        <w:pStyle w:val="Normal"/>
        <w:rPr/>
      </w:pPr>
      <w:r>
        <w:rPr>
          <w:rFonts w:eastAsia="Arial" w:cs="Arial" w:ascii="Arial" w:hAnsi="Arial"/>
          <w:sz w:val="22"/>
          <w:szCs w:val="22"/>
        </w:rPr>
        <w:t xml:space="preserve">      </w:t>
      </w:r>
      <w:r>
        <w:rPr>
          <w:rFonts w:cs="Arial" w:ascii="Arial" w:hAnsi="Arial"/>
          <w:sz w:val="22"/>
          <w:szCs w:val="22"/>
        </w:rPr>
        <w:t>4 номинация – жители посёлка.</w:t>
      </w:r>
    </w:p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6.2. Для подведения итогов конкурса создается конкурсная комиссия. В состав комиссии входят квалифицированные специалисты в области дизайна, журналистики, представители органов  муниципальной  власти.</w:t>
      </w:r>
    </w:p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6.3.Во время проведения конкурса члены комиссии производят осмотр оформленных  территорий, зданий предприятий, учреждений, организаций, жилых домов,   сооружений посёлка, отмечают наиболее интересные работы и оценивают их с учётом выполнения условий конкурса и с точки зрения художественного восприятия.</w:t>
      </w:r>
    </w:p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6.4.  При оценке праздничного оформления учитываются:</w:t>
      </w:r>
    </w:p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>
          <w:rFonts w:eastAsia="Arial" w:cs="Arial" w:ascii="Arial" w:hAnsi="Arial"/>
          <w:sz w:val="22"/>
          <w:szCs w:val="22"/>
        </w:rPr>
        <w:t xml:space="preserve">      </w:t>
      </w:r>
      <w:r>
        <w:rPr>
          <w:rFonts w:cs="Arial" w:ascii="Arial" w:hAnsi="Arial"/>
          <w:sz w:val="22"/>
          <w:szCs w:val="22"/>
        </w:rPr>
        <w:t>- оригинальность и выразительность оформления;</w:t>
      </w:r>
    </w:p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>
          <w:rFonts w:eastAsia="Arial" w:cs="Arial" w:ascii="Arial" w:hAnsi="Arial"/>
          <w:sz w:val="22"/>
          <w:szCs w:val="22"/>
        </w:rPr>
        <w:t xml:space="preserve">      </w:t>
      </w:r>
      <w:r>
        <w:rPr>
          <w:rFonts w:cs="Arial" w:ascii="Arial" w:hAnsi="Arial"/>
          <w:sz w:val="22"/>
          <w:szCs w:val="22"/>
        </w:rPr>
        <w:t>- гармоничное единство оформления с окружающей застройкой и природной средой;</w:t>
      </w:r>
    </w:p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>
          <w:rFonts w:eastAsia="Arial" w:cs="Arial" w:ascii="Arial" w:hAnsi="Arial"/>
          <w:sz w:val="22"/>
          <w:szCs w:val="22"/>
        </w:rPr>
        <w:t xml:space="preserve">      </w:t>
      </w:r>
      <w:r>
        <w:rPr>
          <w:rFonts w:cs="Arial" w:ascii="Arial" w:hAnsi="Arial"/>
          <w:sz w:val="22"/>
          <w:szCs w:val="22"/>
        </w:rPr>
        <w:t>- масштабы оформления;</w:t>
      </w:r>
    </w:p>
    <w:p>
      <w:pPr>
        <w:pStyle w:val="Normal"/>
        <w:jc w:val="both"/>
        <w:rPr/>
      </w:pPr>
      <w:r>
        <w:rPr>
          <w:rFonts w:eastAsia="Arial" w:cs="Arial" w:ascii="Arial" w:hAnsi="Arial"/>
          <w:sz w:val="22"/>
          <w:szCs w:val="22"/>
        </w:rPr>
        <w:t xml:space="preserve">      </w:t>
      </w:r>
      <w:r>
        <w:rPr>
          <w:rFonts w:cs="Arial" w:ascii="Arial" w:hAnsi="Arial"/>
          <w:sz w:val="22"/>
          <w:szCs w:val="22"/>
        </w:rPr>
        <w:t>-наличие элементов праздничного оформления ( новогодней ели, декоративной композиции, праздничной иллюминации, декоративной подсветки и др.).</w:t>
      </w:r>
    </w:p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>
          <w:rFonts w:eastAsia="Arial" w:cs="Arial" w:ascii="Arial" w:hAnsi="Arial"/>
          <w:sz w:val="22"/>
          <w:szCs w:val="22"/>
        </w:rPr>
        <w:t xml:space="preserve">      </w:t>
      </w:r>
      <w:r>
        <w:rPr>
          <w:rFonts w:cs="Arial" w:ascii="Arial" w:hAnsi="Arial"/>
          <w:sz w:val="22"/>
          <w:szCs w:val="22"/>
        </w:rPr>
        <w:t>-соответствие техническим требованиям, СНиП и требованиям пожарной безопасности.</w:t>
      </w:r>
    </w:p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6.5. Решение  комиссией принимается большинством голосов, при равенстве голосов «за» и «против» голос председателя комиссии  является решающим.</w:t>
      </w:r>
    </w:p>
    <w:p>
      <w:pPr>
        <w:pStyle w:val="Normal"/>
        <w:jc w:val="both"/>
        <w:rPr/>
      </w:pPr>
      <w:r>
        <w:rPr>
          <w:rFonts w:cs="Arial" w:ascii="Arial" w:hAnsi="Arial"/>
          <w:sz w:val="22"/>
          <w:szCs w:val="22"/>
        </w:rPr>
        <w:t>6.6. По итогам конкурса определяется не более 3 победителей в каждой номинации, победители награждаются дипломами и ценными подарками.</w:t>
      </w:r>
    </w:p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6.7.По решению комиссии могут быть предусмотрены дополнительные номинации, победители в которых отмечены дипломами и ценными подарками.</w:t>
      </w:r>
    </w:p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6.8. Ход и итоги конкурса  освещаются в средствах массовой информации.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ConsPlusNormal1"/>
        <w:ind w:firstLine="567"/>
        <w:jc w:val="right"/>
        <w:rPr>
          <w:b/>
          <w:b/>
          <w:sz w:val="32"/>
          <w:szCs w:val="32"/>
        </w:rPr>
      </w:pPr>
      <w:r>
        <w:rPr>
          <w:b/>
          <w:sz w:val="32"/>
          <w:szCs w:val="32"/>
        </w:rPr>
        <w:t>Утвержден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rFonts w:eastAsia="Arial"/>
          <w:sz w:val="22"/>
          <w:szCs w:val="22"/>
        </w:rPr>
        <w:t xml:space="preserve"> </w:t>
      </w:r>
      <w:r>
        <w:rPr>
          <w:sz w:val="22"/>
          <w:szCs w:val="22"/>
        </w:rPr>
        <w:t xml:space="preserve">постановлением администрации 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рабочего поселка Шаранга 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>Шарангского муниципального района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Нижегородской области 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>от  16.11.2020 №168</w:t>
      </w:r>
    </w:p>
    <w:p>
      <w:pPr>
        <w:pStyle w:val="Normal"/>
        <w:shd w:fill="FFFFFF" w:val="clear"/>
        <w:ind w:right="28" w:hanging="0"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shd w:fill="FFFFFF" w:val="clear"/>
        <w:ind w:right="28" w:hanging="0"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>СОСТАВ</w:t>
      </w:r>
    </w:p>
    <w:p>
      <w:pPr>
        <w:pStyle w:val="Normal"/>
        <w:shd w:fill="FFFFFF" w:val="clear"/>
        <w:ind w:right="28" w:hanging="0"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pacing w:val="-2"/>
          <w:sz w:val="24"/>
          <w:szCs w:val="24"/>
        </w:rPr>
        <w:t xml:space="preserve">комиссии по подведению итогов конкурса </w:t>
      </w:r>
      <w:r>
        <w:rPr>
          <w:rFonts w:cs="Arial" w:ascii="Arial" w:hAnsi="Arial"/>
          <w:b/>
          <w:sz w:val="24"/>
          <w:szCs w:val="24"/>
        </w:rPr>
        <w:t>на лучшее новогоднее световое оформление  «Новогодний серпантин»</w:t>
      </w:r>
    </w:p>
    <w:p>
      <w:pPr>
        <w:pStyle w:val="Normal"/>
        <w:shd w:fill="FFFFFF" w:val="clear"/>
        <w:ind w:right="28" w:hanging="0"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tbl>
      <w:tblPr>
        <w:tblW w:w="10150" w:type="dxa"/>
        <w:jc w:val="left"/>
        <w:tblInd w:w="-2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0"/>
        <w:gridCol w:w="3706"/>
        <w:gridCol w:w="6024"/>
      </w:tblGrid>
      <w:tr>
        <w:trPr>
          <w:trHeight w:val="300" w:hRule="atLeast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70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ФИО</w:t>
            </w:r>
          </w:p>
        </w:tc>
        <w:tc>
          <w:tcPr>
            <w:tcW w:w="602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должность</w:t>
            </w:r>
          </w:p>
        </w:tc>
      </w:tr>
      <w:tr>
        <w:trPr>
          <w:trHeight w:val="300" w:hRule="atLeast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3706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Краев Сергей Валентинович, председатель комиссии</w:t>
            </w:r>
          </w:p>
        </w:tc>
        <w:tc>
          <w:tcPr>
            <w:tcW w:w="602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 </w:t>
            </w:r>
            <w:r>
              <w:rPr>
                <w:rFonts w:cs="Arial" w:ascii="Arial" w:hAnsi="Arial"/>
                <w:color w:val="000000"/>
                <w:sz w:val="22"/>
                <w:szCs w:val="22"/>
              </w:rPr>
              <w:t xml:space="preserve">Глава администрации рабочего посёлка Шаранга Шарангского муниципального района  </w:t>
            </w:r>
          </w:p>
        </w:tc>
      </w:tr>
      <w:tr>
        <w:trPr>
          <w:trHeight w:val="300" w:hRule="atLeast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3706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Кудрявцева Ольга Юрьевна, член комиссии</w:t>
            </w:r>
          </w:p>
        </w:tc>
        <w:tc>
          <w:tcPr>
            <w:tcW w:w="602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 </w:t>
            </w:r>
            <w:r>
              <w:rPr>
                <w:rFonts w:cs="Arial" w:ascii="Arial" w:hAnsi="Arial"/>
                <w:color w:val="000000"/>
                <w:sz w:val="22"/>
                <w:szCs w:val="22"/>
              </w:rPr>
              <w:t>Социальный педагог Шарангской средней школы (по согласованию)</w:t>
            </w:r>
          </w:p>
        </w:tc>
      </w:tr>
      <w:tr>
        <w:trPr>
          <w:trHeight w:val="300" w:hRule="atLeast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3</w:t>
            </w:r>
          </w:p>
        </w:tc>
        <w:tc>
          <w:tcPr>
            <w:tcW w:w="3706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 </w:t>
            </w:r>
            <w:r>
              <w:rPr>
                <w:rFonts w:cs="Arial" w:ascii="Arial" w:hAnsi="Arial"/>
                <w:color w:val="000000"/>
                <w:sz w:val="22"/>
                <w:szCs w:val="22"/>
              </w:rPr>
              <w:t xml:space="preserve">Бахтина Ольга Борисовна, </w:t>
            </w:r>
          </w:p>
          <w:p>
            <w:pPr>
              <w:pStyle w:val="Normal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член комиссии</w:t>
            </w:r>
          </w:p>
        </w:tc>
        <w:tc>
          <w:tcPr>
            <w:tcW w:w="602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Преподаватель художественного отделения школы искусств  (по согласованию)</w:t>
            </w:r>
          </w:p>
        </w:tc>
      </w:tr>
      <w:tr>
        <w:trPr>
          <w:trHeight w:val="405" w:hRule="atLeast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4</w:t>
            </w:r>
          </w:p>
        </w:tc>
        <w:tc>
          <w:tcPr>
            <w:tcW w:w="3706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Ермолина Надежда Леонидовна, член комиссии</w:t>
            </w:r>
          </w:p>
        </w:tc>
        <w:tc>
          <w:tcPr>
            <w:tcW w:w="602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Главный редактор районной газеты «Знамя победы» (по согласованию)</w:t>
            </w:r>
          </w:p>
        </w:tc>
      </w:tr>
      <w:tr>
        <w:trPr>
          <w:trHeight w:val="637" w:hRule="atLeast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5</w:t>
            </w:r>
          </w:p>
        </w:tc>
        <w:tc>
          <w:tcPr>
            <w:tcW w:w="3706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Киселева Надежда Витальевна, член комиссии</w:t>
            </w:r>
          </w:p>
        </w:tc>
        <w:tc>
          <w:tcPr>
            <w:tcW w:w="602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Телевидение «Истоки» (по согласованию)</w:t>
            </w:r>
          </w:p>
        </w:tc>
      </w:tr>
      <w:tr>
        <w:trPr>
          <w:trHeight w:val="464" w:hRule="atLeast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6</w:t>
            </w:r>
          </w:p>
        </w:tc>
        <w:tc>
          <w:tcPr>
            <w:tcW w:w="3706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Михеева Марина Васильевна, член комиссии</w:t>
            </w:r>
          </w:p>
        </w:tc>
        <w:tc>
          <w:tcPr>
            <w:tcW w:w="602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Директор Шарангской средней школы</w:t>
            </w:r>
          </w:p>
          <w:p>
            <w:pPr>
              <w:pStyle w:val="Normal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(по согласованию)</w:t>
            </w:r>
          </w:p>
        </w:tc>
      </w:tr>
      <w:tr>
        <w:trPr>
          <w:trHeight w:val="464" w:hRule="atLeast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7</w:t>
            </w:r>
          </w:p>
        </w:tc>
        <w:tc>
          <w:tcPr>
            <w:tcW w:w="370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Чернигина Мария Александровна, член комиссии</w:t>
            </w:r>
          </w:p>
        </w:tc>
        <w:tc>
          <w:tcPr>
            <w:tcW w:w="602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Директор МБОУ «Шарангская детская школа искусств»</w:t>
            </w:r>
          </w:p>
          <w:p>
            <w:pPr>
              <w:pStyle w:val="Normal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(по согласованию)</w:t>
            </w:r>
          </w:p>
        </w:tc>
      </w:tr>
    </w:tbl>
    <w:p>
      <w:pPr>
        <w:pStyle w:val="Normal"/>
        <w:tabs>
          <w:tab w:val="clear" w:pos="720"/>
          <w:tab w:val="center" w:pos="4677" w:leader="none"/>
        </w:tabs>
        <w:spacing w:lineRule="auto" w:line="276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ConsPlusNormal1"/>
        <w:ind w:firstLine="567"/>
        <w:jc w:val="right"/>
        <w:rPr>
          <w:rFonts w:ascii="Arial" w:hAnsi="Arial" w:cs="Arial"/>
          <w:sz w:val="22"/>
          <w:szCs w:val="22"/>
        </w:rPr>
      </w:pPr>
      <w:r>
        <w:rPr>
          <w:rFonts w:cs="Arial"/>
          <w:sz w:val="22"/>
          <w:szCs w:val="22"/>
        </w:rPr>
      </w:r>
    </w:p>
    <w:sectPr>
      <w:type w:val="nextPage"/>
      <w:pgSz w:w="11906" w:h="16838"/>
      <w:pgMar w:left="1418" w:right="850" w:header="0" w:top="851" w:footer="0" w:bottom="993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eastAsia="Times New Roman" w:cs="Times New Roman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4z0">
    <w:name w:val="WW8Num14z0"/>
    <w:qFormat/>
    <w:rPr>
      <w:sz w:val="28"/>
    </w:rPr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/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20z0">
    <w:name w:val="WW8Num20z0"/>
    <w:qFormat/>
    <w:rPr>
      <w:rFonts w:ascii="Times New Roman" w:hAnsi="Times New Roman" w:eastAsia="Times New Roman" w:cs="Times New Roman"/>
    </w:rPr>
  </w:style>
  <w:style w:type="character" w:styleId="WW8Num20z1">
    <w:name w:val="WW8Num20z1"/>
    <w:qFormat/>
    <w:rPr>
      <w:rFonts w:ascii="Courier New" w:hAnsi="Courier New" w:cs="Courier New"/>
    </w:rPr>
  </w:style>
  <w:style w:type="character" w:styleId="WW8Num20z2">
    <w:name w:val="WW8Num20z2"/>
    <w:qFormat/>
    <w:rPr>
      <w:rFonts w:ascii="Wingdings" w:hAnsi="Wingdings" w:cs="Wingdings"/>
    </w:rPr>
  </w:style>
  <w:style w:type="character" w:styleId="WW8Num20z3">
    <w:name w:val="WW8Num20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paragraph" w:styleId="Style14">
    <w:name w:val="Заголовок"/>
    <w:next w:val="Style15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5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6">
    <w:name w:val="List"/>
    <w:basedOn w:val="Style15"/>
    <w:pPr/>
    <w:rPr>
      <w:rFonts w:cs="Mang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19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0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1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2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3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4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5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6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7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8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PlusTitle">
    <w:name w:val="ConsPlusTitle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auto"/>
      <w:sz w:val="28"/>
      <w:szCs w:val="28"/>
      <w:lang w:val="ru-RU" w:bidi="ar-SA" w:eastAsia="zh-CN"/>
    </w:rPr>
  </w:style>
  <w:style w:type="paragraph" w:styleId="Style29">
    <w:name w:val="Содержимое врезки"/>
    <w:basedOn w:val="Normal"/>
    <w:qFormat/>
    <w:pPr/>
    <w:rPr/>
  </w:style>
  <w:style w:type="paragraph" w:styleId="Style30">
    <w:name w:val="Содержимое таблицы"/>
    <w:basedOn w:val="Normal"/>
    <w:qFormat/>
    <w:pPr>
      <w:widowControl w:val="false"/>
      <w:suppressLineNumbers/>
    </w:pPr>
    <w:rPr/>
  </w:style>
  <w:style w:type="paragraph" w:styleId="Style32">
    <w:name w:val="Заголовок таблицы"/>
    <w:basedOn w:val="Style30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449</TotalTime>
  <Application>LibreOffice/7.0.3.1$Windows_X86_64 LibreOffice_project/d7547858d014d4cf69878db179d326fc3483e082</Application>
  <Pages>5</Pages>
  <Words>863</Words>
  <Characters>6341</Characters>
  <CharactersWithSpaces>7257</CharactersWithSpaces>
  <Paragraphs>99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> </cp:keywords>
  <dc:language>ru-RU</dc:language>
  <cp:lastModifiedBy>Admin</cp:lastModifiedBy>
  <cp:lastPrinted>2020-11-17T08:18:00Z</cp:lastPrinted>
  <dcterms:modified xsi:type="dcterms:W3CDTF">2020-11-17T07:20:00Z</dcterms:modified>
  <cp:revision>37</cp:revision>
  <dc:subject/>
  <dc:title>ПОСТАНОВЛЕНИЕ</dc:title>
</cp:coreProperties>
</file>