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30.10.2020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159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Об утверждении отчета об исполнении бюджета поселения 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за 9 месяцев 2020 года 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</w:t>
      </w:r>
      <w:r>
        <w:rPr>
          <w:rFonts w:cs="Arial" w:ascii="Arial" w:hAnsi="Arial"/>
          <w:sz w:val="24"/>
          <w:szCs w:val="24"/>
        </w:rPr>
        <w:t>В соответствии со ст.264.2 Бюджетного кодекса Российской Федерации, Уставом рабочего поселка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 – администрация)</w:t>
      </w:r>
    </w:p>
    <w:p>
      <w:pPr>
        <w:pStyle w:val="ConsPlusNormal1"/>
        <w:ind w:hanging="0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Утвердить отчет об исполнении бюджета рабочего поселка Шаранга за 9 месяцев 2020 года по доходам в сумме 42 403,5 тыс.рублей, по расходам в сумме </w:t>
      </w:r>
      <w:r>
        <w:rPr>
          <w:rFonts w:cs="Arial" w:ascii="Arial" w:hAnsi="Arial"/>
          <w:color w:val="000000"/>
          <w:sz w:val="24"/>
          <w:szCs w:val="24"/>
        </w:rPr>
        <w:t xml:space="preserve">42 007,5 </w:t>
      </w:r>
      <w:r>
        <w:rPr>
          <w:rFonts w:cs="Arial" w:ascii="Arial" w:hAnsi="Arial"/>
          <w:sz w:val="24"/>
          <w:szCs w:val="24"/>
        </w:rPr>
        <w:t xml:space="preserve">тыс.рублей, </w:t>
      </w:r>
      <w:r>
        <w:rPr>
          <w:rFonts w:cs="Arial" w:ascii="Arial" w:hAnsi="Arial"/>
          <w:color w:val="000000"/>
          <w:sz w:val="24"/>
          <w:szCs w:val="24"/>
        </w:rPr>
        <w:t>с превышением расходов над доходами (дефицит бюджета поселения) в сумме 396,0 тыс</w:t>
      </w:r>
      <w:r>
        <w:rPr>
          <w:rFonts w:cs="Arial" w:ascii="Arial" w:hAnsi="Arial"/>
          <w:sz w:val="24"/>
          <w:szCs w:val="24"/>
        </w:rPr>
        <w:t>.рублей и со следующими показателями: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ab/>
        <w:t>1) доходов бюджета поселения по кодам классификации доходов бюджета поселения за 9 месяцев 2020 года согласно приложению 1;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ab/>
        <w:t>3) расходов бюджета поселения по ведомственной структуре расходов бюджета поселения за 9 месяцев 2020 года согласно приложению 2;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ab/>
        <w:t>4) расходов бюджета поселения по разделам и подразделам классификации расходов бюджета поселения, по целевым статьям (муниципальным программам и непрограммным направлениям деятельности) и группам видов расходов за 9 месяцев 2020 года согласно приложению 3;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ab/>
        <w:t>5) источников финансирования дефицита бюджета поселения за 9 месяцев 2020 года согласно приложению 4.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2. Направить отчет об исполнении бюджета поселения за 9 месяцев 2020 год в поселковый Совет рабочего поселка Шаранга Шарангского муниципального района Нижегородской области.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3.Обнародовать настоящее постановление в порядке, установленном Уставом рабочего поселка Шаранга Шарангского муниципального района Нижегородской области.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sectPr>
          <w:type w:val="nextPage"/>
          <w:pgSz w:w="11906" w:h="16838"/>
          <w:pgMar w:left="1701" w:right="851" w:header="0" w:top="851" w:footer="0" w:bottom="1276" w:gutter="0"/>
          <w:pgNumType w:fmt="decimal"/>
          <w:formProt w:val="false"/>
          <w:textDirection w:val="lrTb"/>
          <w:docGrid w:type="default" w:linePitch="381" w:charSpace="0"/>
        </w:sectPr>
        <w:pStyle w:val="Normal"/>
        <w:rPr/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cs="Arial"/>
          <w:szCs w:val="28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</w:p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№1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jc w:val="right"/>
        <w:rPr/>
      </w:pPr>
      <w:r>
        <w:rPr/>
        <w:t xml:space="preserve">«Об утверждении отчета об исполнении </w:t>
      </w:r>
    </w:p>
    <w:p>
      <w:pPr>
        <w:pStyle w:val="ConsPlusNormal1"/>
        <w:jc w:val="right"/>
        <w:rPr/>
      </w:pPr>
      <w:r>
        <w:rPr/>
        <w:t>бюджета  поселения  за 9 месяцев  2020 года»</w:t>
      </w:r>
    </w:p>
    <w:p>
      <w:pPr>
        <w:pStyle w:val="ConsPlusNormal1"/>
        <w:ind w:left="4536" w:firstLine="567"/>
        <w:jc w:val="right"/>
        <w:rPr/>
      </w:pPr>
      <w:r>
        <w:rPr/>
        <w:t>от 30.10.2020 №159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4"/>
          <w:szCs w:val="24"/>
        </w:rPr>
        <w:t>Доходы бюджета поселения по кодам классификации доходов бюджета поселения за 9 месяцев  2020 год</w:t>
      </w:r>
    </w:p>
    <w:p>
      <w:pPr>
        <w:pStyle w:val="ConsPlusNormal1"/>
        <w:ind w:left="4536" w:firstLine="567"/>
        <w:jc w:val="righ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nextPage"/>
          <w:pgSz w:w="11906" w:h="16838"/>
          <w:pgMar w:left="1418" w:right="850" w:header="0" w:top="851" w:footer="0" w:bottom="993" w:gutter="0"/>
          <w:pgNumType w:fmt="decimal"/>
          <w:formProt w:val="false"/>
          <w:titlePg/>
          <w:textDirection w:val="lrTb"/>
          <w:docGrid w:type="default" w:linePitch="360" w:charSpace="0"/>
        </w:sectPr>
        <w:pStyle w:val="ConsPlusNormal1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15286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6878"/>
        <w:gridCol w:w="1560"/>
        <w:gridCol w:w="1984"/>
        <w:gridCol w:w="2562"/>
      </w:tblGrid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Код бюджетной классификации Российской Федерации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Наименование показателя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План на</w:t>
            </w:r>
          </w:p>
          <w:p>
            <w:pPr>
              <w:pStyle w:val="1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2020год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Исполнено</w:t>
            </w:r>
          </w:p>
          <w:p>
            <w:pPr>
              <w:pStyle w:val="1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за 9 месяцев 2020года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 xml:space="preserve">% </w:t>
            </w:r>
          </w:p>
          <w:p>
            <w:pPr>
              <w:pStyle w:val="1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исполнения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10000000000000000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 Налоговые и неналоговые доходы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17075,0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6387,5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37,4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10100000000000000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1.1. Налоги на прибыль, доходы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7982,1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3448,9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43,2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10102000010000110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 Налог на доходы физических лиц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7982,1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3448,9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43,2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Федерации(сумма платежа(перерасчеты ,недоимка и задолженность по соответствующему платежу ,в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7875,8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3441,6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43,7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1.1.1.2.Налог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8,0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10102010013000110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1.1.1.3.Налог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 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-10,7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10102010014000110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1.1.1.4.Налог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 прочие поступления)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-7,0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10102020011000110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1.1.1.5.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61,5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6,8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10102030011000110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1.1.1.6. Налог на доходы физических лиц с доходов, полученных физическими лицами в соответствии со статьей 228 Налогового кодекса Российской Федерации(сумма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44,8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12,4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27,7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10102030013000110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1.1.1.7. Налог на доходы физических лиц с доходов, полученных физическими лицами в соответствии со статьей 228 Налогового кодекса Российской Федерации(суммы денежных взысканий(штрафов) соответствующему платежу согласно законодательству Российской Федерации)</w:t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0,4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10300000000000000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2197,0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994,0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45,2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10302000010000110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2197,0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994,0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45,2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10302231010000110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997,0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470,9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47,2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10302241010000110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47,7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10302251010000110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1399,4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613,7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43,9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10302261010000110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-205,9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-93,7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45,5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10500000000000000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1.3. Налоги на совокупный доход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24,5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194,2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793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10503010011000110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1.3.1. Единый сельскохозяйственный налог(сумма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24,5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192,8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787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10503010012100110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1.3.2.Единый сельскохозяйственный налог(пени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0,9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10503010013100110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1.3.3.Единый сельскохозяйственный налог(суммы денежных взысканий(штрафов) по соответствующему платежу согласно законодательству Российской  Федерации)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0,5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10600000000000000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1.4. Налоги на имущество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5642,5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1303,7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23,1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10601000000000110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1.4.1.Налог на имущество физических лиц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2154,1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126,3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5,9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10601030131000110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1.4.1.1. Налог на имущество физических лиц, взимаемый по ставкам, применяемым к объектам налогообложения, расположенным в границах городских поселений(сумма платежа(перерасчеты, недоимка и задолженность по соответствующему платежу ,в том числе по отмененному)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2154,1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118,9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10601030132100110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1.4.1.2. Налог на имущество физических лиц, взимаемый по ставкам, применяемым к объектам налогообложения, расположенным в границах городских поселений(пени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10606000000000110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 Земельный налог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3488,4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1177,4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33,8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1.4.2.1. Земельный налог с организаций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2026,5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1104,2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54,5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10606033131000110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1.4.2.1.1. Земельный налог с организаций, обладающих земельным участком, расположенным в </w:t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городских поселений(пени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2026,5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1101,1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54,3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10606033132100110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1.4.2.1.2. Земельный налог с организаций, обладающих земельным участком, расположенным в границах городских поселений( 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  Земельный налог  с физических лиц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1461,9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73,2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5,0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10606043131000110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1.4.2.2.1. Земельный налог с физических лиц, обладающих земельным участком, расположенным в границах городских поселений(сумма платежа(перерасчеты,недоимка и задолженность по соответствующему платежу,в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1461,9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68,5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10606043132100110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1.4.2.2.2. Земельный налог с физических лиц, обладающих земельным участком, расположенным в границах городских поселений(пени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11100000000000000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833,9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405,7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48,6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11105013130000120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833,9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405,7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48,6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11400000000000000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11406013130000430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50,0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5,4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11406025130000430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1.6.1.2. Доходы от продажи земельных участков, находящихся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150,0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b/>
              </w:rPr>
              <w:t>11600000000000000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1.7. Штрафы, неустойки ,пени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>
                <w:b/>
              </w:rPr>
              <w:t>3,3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11607010130000140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1.7.1. Штрафы ,неустойки, пени, уплаченные в случае просрочки исполнения поставщиком (подрядчиком, исполнителем)обязательств ,предусмотренных муниципальным контрактом, заключенным муниципальным органом ,казенным учреждением городского поселения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11705000000000180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b/>
              </w:rPr>
              <w:t>1.8. Прочие неналоговые доходы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195,0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32,3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16,6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11705050130000180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1.8.1. Прочие неналоговые доходы бюджетов городских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195,0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32,3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16,6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20000000000000000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b/>
                <w:b/>
              </w:rPr>
            </w:pPr>
            <w:r>
              <w:rPr>
                <w:b/>
              </w:rPr>
              <w:t>42581,4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8262,9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19,4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42180,4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8204,5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19,5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20210000000000150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3626,7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1722,8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47,5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20215001130000150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3626,7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1722,8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47,5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20230000000000150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295,8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147,8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50,0</w:t>
            </w:r>
          </w:p>
        </w:tc>
      </w:tr>
      <w:tr>
        <w:trPr>
          <w:trHeight w:val="996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20235118130000150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295,8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147,8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50,0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20240000000000150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2.1.3. Иные межбюджетные трансферты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38257,9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6333,9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16,6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20245160130000150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2.1.3.1Межбюджетные трансферты ,передаваемые бюджетам городских поселений для компенсации дополнительных расходов ,возникших в результате решений, принятых органами власти другого уровня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2463,5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191,0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7,8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20245160130220150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2.1.3.2.Межбюджетные трансферты ,передаваемые бюджетам городских поселений для компенсации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12109,2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105,5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0,87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20249999130000150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2.1.3.3. Прочие межбюджетные трансферты, передаваемые бюджетам городских поселений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13041,2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6037,4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46,3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20249999130220150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2.1.3.4. Прочие межбюджетные трансферты, передаваемые бюджетам городских поселений  , за счет средств областного бюджета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7694,8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>
          <w:trHeight w:val="868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20249999139000150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2.1.3.5. Прочие межбюджетные трансферты, передаваемые бюджетам городских поселений по поддержке местных инициатив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2949,2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20405099139000150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2.2.Прочие безвозмездные поступления от негосударственных организаций в бюджеты городских поселений(средства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b/>
                <w:b/>
              </w:rPr>
            </w:pPr>
            <w:r>
              <w:rPr>
                <w:b/>
              </w:rPr>
              <w:t>250,0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20705039139000180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2.3. .Прочие безвозмездные поступления от негосударственных организаций в бюджеты городских поселений(средства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b/>
                <w:b/>
              </w:rPr>
            </w:pPr>
            <w:r>
              <w:rPr>
                <w:b/>
              </w:rPr>
              <w:t>151,0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58,4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38,7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59656,4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14650,4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24,6</w:t>
            </w:r>
          </w:p>
        </w:tc>
      </w:tr>
    </w:tbl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№2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jc w:val="right"/>
        <w:rPr/>
      </w:pPr>
      <w:r>
        <w:rPr/>
        <w:t xml:space="preserve">«Об утверждении отчета об исполнении </w:t>
      </w:r>
    </w:p>
    <w:p>
      <w:pPr>
        <w:pStyle w:val="ConsPlusNormal1"/>
        <w:jc w:val="right"/>
        <w:rPr/>
      </w:pPr>
      <w:r>
        <w:rPr/>
        <w:t>бюджета  поселения  за 9 месяцев  2020 года»</w:t>
      </w:r>
    </w:p>
    <w:p>
      <w:pPr>
        <w:pStyle w:val="ConsPlusNormal1"/>
        <w:ind w:left="4536" w:firstLine="567"/>
        <w:jc w:val="right"/>
        <w:rPr/>
      </w:pPr>
      <w:r>
        <w:rPr/>
        <w:t>от 30.10.2020 №159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Расходы бюджета поселения</w:t>
      </w:r>
    </w:p>
    <w:p>
      <w:pPr>
        <w:pStyle w:val="ConsPlusNormal1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по ведомственной структуре расходов бюджета поселения за </w:t>
      </w:r>
      <w:r>
        <w:rPr>
          <w:b/>
          <w:sz w:val="24"/>
          <w:szCs w:val="24"/>
        </w:rPr>
        <w:t>9 месяцев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2020 год</w:t>
      </w:r>
    </w:p>
    <w:p>
      <w:pPr>
        <w:pStyle w:val="ConsPlusNormal1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tbl>
      <w:tblPr>
        <w:tblW w:w="15178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823"/>
        <w:gridCol w:w="974"/>
        <w:gridCol w:w="2157"/>
        <w:gridCol w:w="464"/>
        <w:gridCol w:w="953"/>
        <w:gridCol w:w="2444"/>
        <w:gridCol w:w="700"/>
        <w:gridCol w:w="2565"/>
        <w:gridCol w:w="1134"/>
        <w:gridCol w:w="1249"/>
        <w:gridCol w:w="818"/>
      </w:tblGrid>
      <w:tr>
        <w:trPr>
          <w:trHeight w:val="255" w:hRule="atLeast"/>
        </w:trPr>
        <w:tc>
          <w:tcPr>
            <w:tcW w:w="119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План на 2020 год</w:t>
            </w:r>
          </w:p>
        </w:tc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 xml:space="preserve">Исполнено 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  <w:lang w:val="en-US"/>
              </w:rPr>
            </w:pPr>
            <w:r>
              <w:rPr>
                <w:rFonts w:eastAsia="Arial" w:cs="Arial" w:ascii="Arial" w:hAnsi="Arial"/>
                <w:b/>
                <w:bCs/>
                <w:sz w:val="17"/>
                <w:szCs w:val="17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17"/>
                <w:szCs w:val="17"/>
              </w:rPr>
              <w:t>За2квартал  2020 год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% исп.</w:t>
            </w:r>
          </w:p>
        </w:tc>
      </w:tr>
      <w:tr>
        <w:trPr>
          <w:trHeight w:val="52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Ведом-ство</w:t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62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95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56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12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81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</w:tr>
      <w:tr>
        <w:trPr>
          <w:trHeight w:val="215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262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95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4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256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24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10</w:t>
            </w:r>
          </w:p>
        </w:tc>
        <w:tc>
          <w:tcPr>
            <w:tcW w:w="818" w:type="dxa"/>
            <w:tcBorders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11</w:t>
            </w:r>
          </w:p>
        </w:tc>
      </w:tr>
      <w:tr>
        <w:trPr>
          <w:trHeight w:val="467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 Narrow" w:hAnsi="Arial Narrow" w:cs="Arial"/>
                <w:b/>
                <w:b/>
                <w:bCs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  <w:lang w:val="en-US"/>
              </w:rPr>
              <w:t>487</w:t>
            </w:r>
          </w:p>
        </w:tc>
        <w:tc>
          <w:tcPr>
            <w:tcW w:w="11080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 Narrow" w:hAnsi="Arial Narrow"/>
                <w:b/>
                <w:bCs/>
                <w:sz w:val="18"/>
                <w:szCs w:val="18"/>
              </w:rPr>
              <w:t>АДМИНИСТРАЦИЯ РАБОЧЕГО ПОСЕЛКА ШАРАНГА   ШАРАНГСКОГО МУНИЦИПАЛЬНОГО РАЙОНА НИЖЕГОРОДСКОЙ ОБЛАСТИ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60739,4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14733,3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24,3</w:t>
            </w:r>
          </w:p>
        </w:tc>
      </w:tr>
      <w:tr>
        <w:trPr>
          <w:trHeight w:val="521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0257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ОБЩЕГОСУДАРСТВЕННЫЕ ВОПРОСЫ 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2830,0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1261,4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44,6</w:t>
            </w:r>
          </w:p>
        </w:tc>
      </w:tr>
      <w:tr>
        <w:trPr>
          <w:trHeight w:val="415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/>
            </w:pPr>
            <w:r>
              <w:rPr>
                <w:rFonts w:cs="Arial" w:ascii="Arial" w:hAnsi="Arial"/>
                <w:b/>
                <w:bCs/>
              </w:rPr>
              <w:t>0</w:t>
            </w:r>
            <w:r>
              <w:rPr>
                <w:rFonts w:cs="Arial" w:ascii="Arial" w:hAnsi="Arial"/>
                <w:b/>
                <w:bCs/>
                <w:lang w:val="en-US"/>
              </w:rPr>
              <w:t>4</w:t>
            </w:r>
          </w:p>
        </w:tc>
        <w:tc>
          <w:tcPr>
            <w:tcW w:w="9283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  <w:lang w:val="en-US"/>
              </w:rPr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1130,5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44,1</w:t>
            </w:r>
          </w:p>
        </w:tc>
      </w:tr>
      <w:tr>
        <w:trPr>
          <w:trHeight w:val="421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</w:rPr>
            </w:pPr>
            <w:r>
              <w:rPr>
                <w:rFonts w:cs="Arial" w:ascii="Arial Narrow" w:hAnsi="Arial Narrow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lang w:val="en-US"/>
              </w:rPr>
            </w:pPr>
            <w:r>
              <w:rPr>
                <w:rFonts w:cs="Arial" w:ascii="Arial Narrow" w:hAnsi="Arial Narrow"/>
              </w:rPr>
              <w:t>0</w:t>
            </w:r>
            <w:r>
              <w:rPr>
                <w:rFonts w:cs="Arial" w:ascii="Arial Narrow" w:hAnsi="Arial Narrow"/>
                <w:lang w:val="en-US"/>
              </w:rPr>
              <w:t>4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20401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1185,9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491,3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41,4</w:t>
            </w:r>
          </w:p>
        </w:tc>
      </w:tr>
      <w:tr>
        <w:trPr>
          <w:trHeight w:val="844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04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</w:t>
            </w:r>
            <w:r>
              <w:rPr>
                <w:rFonts w:cs="Arial" w:ascii="Arial Narrow" w:hAnsi="Arial Narrow"/>
                <w:sz w:val="16"/>
                <w:szCs w:val="16"/>
              </w:rPr>
              <w:t>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267,8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46,5</w:t>
            </w:r>
          </w:p>
        </w:tc>
      </w:tr>
      <w:tr>
        <w:trPr>
          <w:trHeight w:val="278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20800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371,4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46,2</w:t>
            </w:r>
          </w:p>
        </w:tc>
      </w:tr>
      <w:tr>
        <w:trPr>
          <w:trHeight w:val="278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  <w:t>11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  <w:lang w:val="en-US"/>
              </w:rPr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  <w:lang w:val="en-US"/>
              </w:rPr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78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 xml:space="preserve">Резервные фонды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8880107005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6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261,8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130,9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55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8880193990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90,4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47,9</w:t>
            </w:r>
          </w:p>
        </w:tc>
      </w:tr>
      <w:tr>
        <w:trPr>
          <w:trHeight w:val="55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24,5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43,0</w:t>
            </w:r>
          </w:p>
        </w:tc>
      </w:tr>
      <w:tr>
        <w:trPr>
          <w:trHeight w:val="55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555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bookmarkStart w:id="0" w:name="RANGE!A19%3AH20"/>
            <w:bookmarkEnd w:id="0"/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 ОБОРОНА  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295,8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137,6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46,5</w:t>
            </w:r>
          </w:p>
        </w:tc>
      </w:tr>
      <w:tr>
        <w:trPr>
          <w:trHeight w:val="547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15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295,8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137,6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46,5</w:t>
            </w:r>
          </w:p>
        </w:tc>
      </w:tr>
      <w:tr>
        <w:trPr>
          <w:trHeight w:val="1279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213,5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110,8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51,9</w:t>
            </w:r>
          </w:p>
        </w:tc>
      </w:tr>
      <w:tr>
        <w:trPr>
          <w:trHeight w:val="1279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82,3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26,8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32,6</w:t>
            </w:r>
          </w:p>
        </w:tc>
      </w:tr>
      <w:tr>
        <w:trPr>
          <w:trHeight w:val="50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4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15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4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7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21,5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7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10</w:t>
            </w:r>
          </w:p>
        </w:tc>
        <w:tc>
          <w:tcPr>
            <w:tcW w:w="215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Обеспечение пожарной безопасноти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59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13134,4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1767,6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13,5</w:t>
            </w:r>
          </w:p>
        </w:tc>
      </w:tr>
      <w:tr>
        <w:trPr>
          <w:trHeight w:val="36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13134,4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1767,6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13,5</w:t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0620207080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1836,7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1663,3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90,6</w:t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 xml:space="preserve">Дорожное хозяйство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06203S2210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5818,3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 S2600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472,0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0630201020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Бюджетные инвестиции в объекты государственной собственности бюджетным учреждениям в рамках государственного оборонного заказа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400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Услуги , работы для целей капитальных вложений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1157,1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104,3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9,0</w:t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06302L3840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Бюджетные инвестиции в объекты государственной собственности бюджетным учреждениям в рамках государственного оборонного заказа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400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Услуги ,работы для целей капитальных вложений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3096,3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14220S2600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754,0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1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33803,8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6358,3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18,8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475,0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278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Жилищное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8880603503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475,0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33328,8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6358,3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19,1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1421004516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</w:rPr>
              <w:t>Иные межбюджетные трансферты на компенсацию дополнительных расходов возникших в результате решений, принятых органами власти другого уровня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10053,9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53,9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0,54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1422074800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2109,2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105,5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5,0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1078,3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1078,3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14220S2600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2195,2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192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F25555А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 территорий  общего пользования и мест массового отдыха населения р.п.Шаранга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4354,6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88803S2600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1382,0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8880660102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4248,0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1685,5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39,7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8880660302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Озеленение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270,0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175,2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64,9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8880660402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248,5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84,1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33,8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8880660503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7295,7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3087,1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42,3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 ,посвященных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888С160503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Прочая закупка товаров ,работ и услуг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81,2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 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10362,9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5181,4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345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b/>
                <w:b/>
              </w:rPr>
            </w:pPr>
            <w:r>
              <w:rPr>
                <w:rFonts w:cs="Arial" w:ascii="Arial Narrow" w:hAnsi="Arial Narrow"/>
                <w:b/>
              </w:rPr>
              <w:t>10362,9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b/>
                <w:b/>
              </w:rPr>
            </w:pPr>
            <w:r>
              <w:rPr>
                <w:rFonts w:cs="Arial" w:ascii="Arial Narrow" w:hAnsi="Arial Narrow"/>
                <w:b/>
              </w:rPr>
              <w:t>5181,4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08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Культура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8880302106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10362,9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5181,4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50,0</w:t>
            </w:r>
          </w:p>
        </w:tc>
      </w:tr>
      <w:tr>
        <w:trPr>
          <w:trHeight w:val="59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СОЦИАЛЬНАЯ ПОЛИТИКА 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9,5</w:t>
            </w:r>
          </w:p>
        </w:tc>
      </w:tr>
      <w:tr>
        <w:trPr>
          <w:trHeight w:val="54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15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54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5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8880621801</w:t>
            </w:r>
          </w:p>
        </w:tc>
        <w:tc>
          <w:tcPr>
            <w:tcW w:w="24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300</w:t>
            </w:r>
          </w:p>
        </w:tc>
        <w:tc>
          <w:tcPr>
            <w:tcW w:w="256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54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7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215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24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268,0</w:t>
            </w:r>
          </w:p>
        </w:tc>
        <w:tc>
          <w:tcPr>
            <w:tcW w:w="1249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4,5</w:t>
            </w:r>
          </w:p>
        </w:tc>
      </w:tr>
      <w:tr>
        <w:trPr>
          <w:trHeight w:val="107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</w:t>
            </w:r>
          </w:p>
        </w:tc>
        <w:tc>
          <w:tcPr>
            <w:tcW w:w="21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8880614010</w:t>
            </w:r>
          </w:p>
        </w:tc>
        <w:tc>
          <w:tcPr>
            <w:tcW w:w="24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5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268,0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12,0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4,5</w:t>
            </w:r>
          </w:p>
        </w:tc>
      </w:tr>
      <w:tr>
        <w:trPr>
          <w:trHeight w:val="420" w:hRule="atLeast"/>
        </w:trPr>
        <w:tc>
          <w:tcPr>
            <w:tcW w:w="119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60739,4</w:t>
            </w:r>
          </w:p>
        </w:tc>
        <w:tc>
          <w:tcPr>
            <w:tcW w:w="1249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14733,3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24,3</w:t>
            </w:r>
          </w:p>
        </w:tc>
      </w:tr>
    </w:tbl>
    <w:p>
      <w:pPr>
        <w:pStyle w:val="ConsPlusNormal1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8"/>
        <w:spacing w:lineRule="auto" w:line="240"/>
        <w:jc w:val="right"/>
        <w:rPr>
          <w:rFonts w:cs="Arial"/>
          <w:sz w:val="24"/>
          <w:szCs w:val="28"/>
        </w:rPr>
      </w:pPr>
      <w:r>
        <w:rPr>
          <w:rFonts w:cs="Arial"/>
          <w:sz w:val="24"/>
          <w:szCs w:val="28"/>
        </w:rPr>
      </w:r>
    </w:p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№3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jc w:val="right"/>
        <w:rPr/>
      </w:pPr>
      <w:r>
        <w:rPr/>
        <w:t xml:space="preserve">«Об утверждении отчета об исполнении </w:t>
      </w:r>
    </w:p>
    <w:p>
      <w:pPr>
        <w:pStyle w:val="ConsPlusNormal1"/>
        <w:jc w:val="right"/>
        <w:rPr/>
      </w:pPr>
      <w:r>
        <w:rPr/>
        <w:t>бюджета  поселения  за 9 месяцев 2020 года»</w:t>
      </w:r>
    </w:p>
    <w:p>
      <w:pPr>
        <w:pStyle w:val="ConsPlusNormal1"/>
        <w:ind w:left="4536" w:firstLine="567"/>
        <w:jc w:val="right"/>
        <w:rPr/>
      </w:pPr>
      <w:r>
        <w:rPr/>
        <w:t>от 30.10.2020 №159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Расходы бюджета поселения по разделам и подразделам классификации расходов бюджета поселения,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по целевым статьям (муниципальным программам и непрограммным направлениям деятельности)</w:t>
      </w:r>
    </w:p>
    <w:p>
      <w:pPr>
        <w:pStyle w:val="Style18"/>
        <w:spacing w:lineRule="auto" w:line="240"/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>и  группам видов расходов за 9 месяцев 2020 год</w:t>
      </w:r>
    </w:p>
    <w:p>
      <w:pPr>
        <w:pStyle w:val="Style18"/>
        <w:spacing w:lineRule="auto" w:line="240"/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</w:r>
    </w:p>
    <w:tbl>
      <w:tblPr>
        <w:tblW w:w="15178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920"/>
        <w:gridCol w:w="2412"/>
        <w:gridCol w:w="142"/>
        <w:gridCol w:w="1062"/>
        <w:gridCol w:w="144"/>
        <w:gridCol w:w="2328"/>
        <w:gridCol w:w="700"/>
        <w:gridCol w:w="2712"/>
        <w:gridCol w:w="992"/>
        <w:gridCol w:w="1244"/>
        <w:gridCol w:w="1673"/>
      </w:tblGrid>
      <w:tr>
        <w:trPr>
          <w:trHeight w:val="255" w:hRule="atLeast"/>
        </w:trPr>
        <w:tc>
          <w:tcPr>
            <w:tcW w:w="112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План на 2020 год</w:t>
            </w:r>
          </w:p>
        </w:tc>
        <w:tc>
          <w:tcPr>
            <w:tcW w:w="1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  <w:lang w:val="en-US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Исполнено  за 2квартал 2020 год</w:t>
            </w:r>
          </w:p>
        </w:tc>
        <w:tc>
          <w:tcPr>
            <w:tcW w:w="1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% исп.</w:t>
            </w:r>
          </w:p>
        </w:tc>
      </w:tr>
      <w:tr>
        <w:trPr>
          <w:trHeight w:val="420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55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3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9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12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1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</w:tr>
      <w:tr>
        <w:trPr>
          <w:trHeight w:val="185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55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23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24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67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10</w:t>
            </w:r>
          </w:p>
        </w:tc>
      </w:tr>
      <w:tr>
        <w:trPr>
          <w:trHeight w:val="319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0420" w:type="dxa"/>
            <w:gridSpan w:val="8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 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2830,0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1261,4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44,6</w:t>
            </w:r>
          </w:p>
        </w:tc>
      </w:tr>
      <w:tr>
        <w:trPr>
          <w:trHeight w:val="407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255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3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1130,5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44,1</w:t>
            </w:r>
          </w:p>
        </w:tc>
      </w:tr>
      <w:tr>
        <w:trPr>
          <w:trHeight w:val="604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</w:rPr>
            </w:pPr>
            <w:r>
              <w:rPr>
                <w:rFonts w:cs="Arial" w:ascii="Arial Narrow" w:hAnsi="Arial Narrow"/>
              </w:rPr>
              <w:t>01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lang w:val="en-US"/>
              </w:rPr>
            </w:pPr>
            <w:r>
              <w:rPr>
                <w:rFonts w:cs="Arial" w:ascii="Arial Narrow" w:hAnsi="Arial Narrow"/>
              </w:rPr>
              <w:t>0</w:t>
            </w:r>
            <w:r>
              <w:rPr>
                <w:rFonts w:cs="Arial" w:ascii="Arial Narrow" w:hAnsi="Arial Narrow"/>
                <w:lang w:val="en-US"/>
              </w:rPr>
              <w:t>4</w:t>
            </w:r>
          </w:p>
        </w:tc>
        <w:tc>
          <w:tcPr>
            <w:tcW w:w="255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20401</w:t>
            </w:r>
          </w:p>
        </w:tc>
        <w:tc>
          <w:tcPr>
            <w:tcW w:w="23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1185,9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491,3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41,4</w:t>
            </w:r>
          </w:p>
        </w:tc>
      </w:tr>
      <w:tr>
        <w:trPr>
          <w:trHeight w:val="604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01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04</w:t>
            </w:r>
          </w:p>
        </w:tc>
        <w:tc>
          <w:tcPr>
            <w:tcW w:w="2554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3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</w:t>
            </w:r>
            <w:r>
              <w:rPr>
                <w:rFonts w:cs="Arial" w:ascii="Arial Narrow" w:hAnsi="Arial Narrow"/>
                <w:sz w:val="16"/>
                <w:szCs w:val="16"/>
              </w:rPr>
              <w:t>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267,8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46,5</w:t>
            </w:r>
          </w:p>
        </w:tc>
      </w:tr>
      <w:tr>
        <w:trPr>
          <w:trHeight w:val="278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255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20800</w:t>
            </w:r>
          </w:p>
        </w:tc>
        <w:tc>
          <w:tcPr>
            <w:tcW w:w="23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371,4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46,2</w:t>
            </w:r>
          </w:p>
        </w:tc>
      </w:tr>
      <w:tr>
        <w:trPr>
          <w:trHeight w:val="278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255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Резервные фонды</w:t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8880107005</w:t>
            </w:r>
          </w:p>
        </w:tc>
        <w:tc>
          <w:tcPr>
            <w:tcW w:w="23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70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2554" w:type="dxa"/>
            <w:gridSpan w:val="2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0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32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261,8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130,9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8880193990</w:t>
            </w:r>
          </w:p>
        </w:tc>
        <w:tc>
          <w:tcPr>
            <w:tcW w:w="23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90,4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47,9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3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24,5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43,0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3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НАЦИОНАЛЬНАЯ ОБОРОНА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295,8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137,6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46,5</w:t>
            </w:r>
          </w:p>
        </w:tc>
      </w:tr>
      <w:tr>
        <w:trPr>
          <w:trHeight w:val="403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3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295,8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137,6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46,5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3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213,5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110,8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51,9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3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82,3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26,8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32,6</w:t>
            </w:r>
          </w:p>
        </w:tc>
      </w:tr>
      <w:tr>
        <w:trPr>
          <w:trHeight w:val="523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 </w:t>
            </w: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 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359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5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  <w:t>21,5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5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10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Обеспечение пожарной безопасноти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  <w:t>8,0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561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НАЦИОНАЛЬНАЯ  ЭКОНОМИКА 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13134,4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1767,6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13,5</w:t>
            </w:r>
          </w:p>
        </w:tc>
      </w:tr>
      <w:tr>
        <w:trPr>
          <w:trHeight w:val="596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b/>
                <w:sz w:val="16"/>
                <w:szCs w:val="16"/>
              </w:rPr>
              <w:t> 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b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b/>
                <w:sz w:val="16"/>
                <w:szCs w:val="16"/>
              </w:rPr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13134,4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1767,6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13,5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0620207080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1836,7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1663,3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90,6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 xml:space="preserve">Дорожное хозяйство 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06203S2210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5818,3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 S2600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472,0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0630201020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Бюджетные инвестиции в объекты государственной собственности бюджетным учреждениям в рамках государственного оборонного заказа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400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Услуги , работы для целей капитальных вложений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1157,1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104,3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9,0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06302L3840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Бюджетные инвестиции в объекты государственной собственности бюджетным учреждениям в рамках государственного оборонного заказа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400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Услуги , работы для целей капитальных вложений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3096,3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14220S2600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754,0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643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ЖИЛИЩНО-КОММУНАЛЬНОЕ  ХОЗЯЙСТВО 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33803,8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6358,3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18,8</w:t>
            </w:r>
          </w:p>
        </w:tc>
      </w:tr>
      <w:tr>
        <w:trPr>
          <w:trHeight w:val="51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475,0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Жилищное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8880603503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475,0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2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33328,8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6358,3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19,1</w:t>
            </w:r>
          </w:p>
        </w:tc>
      </w:tr>
      <w:tr>
        <w:trPr>
          <w:trHeight w:val="42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1421004516</w:t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</w:rPr>
              <w:t>Иные межбюджетные трансферты на компенсацию дополнительных расходов возникших в результате решений, принятых органами власти другого уровня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10053,9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53,9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0,54</w:t>
            </w:r>
          </w:p>
        </w:tc>
      </w:tr>
      <w:tr>
        <w:trPr>
          <w:trHeight w:val="42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1078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3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1078,3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42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14220S2600</w:t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2195,2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57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192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F25555А</w:t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 территорий  общего пользования и мест массового отдыха населения р.п.Шаранга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4</w:t>
            </w:r>
            <w:r>
              <w:rPr>
                <w:rFonts w:cs="Arial" w:ascii="Arial" w:hAnsi="Arial"/>
                <w:lang w:val="en-US"/>
              </w:rPr>
              <w:t>354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6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</w:tr>
      <w:tr>
        <w:trPr>
          <w:trHeight w:val="557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88803S2600</w:t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1382,0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8880660102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4248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1685,5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39,7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8880660302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Озеленение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270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175,2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64,9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8880660402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248,5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84,1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33,8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8880660503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7295,7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3087,1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42,3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888С160503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Прочая закупка товаров ,работ и услуг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25,0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81,2</w:t>
            </w:r>
          </w:p>
        </w:tc>
      </w:tr>
      <w:tr>
        <w:trPr>
          <w:trHeight w:val="49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  <w:r>
              <w:rPr>
                <w:rFonts w:cs="Arial" w:ascii="Arial" w:hAnsi="Arial"/>
                <w:b/>
              </w:rPr>
              <w:t>КУЛЬТУРА,  КИНЕМАТОГРАФИЯ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10362,9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5181,4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413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10362,9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5181,4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08</w:t>
            </w:r>
          </w:p>
        </w:tc>
        <w:tc>
          <w:tcPr>
            <w:tcW w:w="9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4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Культура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8880302106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500</w:t>
            </w:r>
          </w:p>
        </w:tc>
        <w:tc>
          <w:tcPr>
            <w:tcW w:w="2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/>
            </w:pPr>
            <w:r>
              <w:rPr>
                <w:rFonts w:cs="Arial" w:ascii="Arial" w:hAnsi="Arial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10362,9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5181,4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50,0</w:t>
            </w:r>
          </w:p>
        </w:tc>
      </w:tr>
      <w:tr>
        <w:trPr>
          <w:trHeight w:val="55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СОЦИАЛЬНАЯ  ПОЛИТИКА 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283,0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9,5</w:t>
            </w:r>
          </w:p>
        </w:tc>
      </w:tr>
      <w:tr>
        <w:trPr>
          <w:trHeight w:val="455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455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8880621801</w:t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/>
            </w:pPr>
            <w:r>
              <w:rPr>
                <w:rFonts w:eastAsia="Arial Narrow" w:cs="Arial Narrow" w:ascii="Arial Narrow" w:hAnsi="Arial Narrow"/>
                <w:sz w:val="16"/>
                <w:szCs w:val="16"/>
              </w:rPr>
              <w:t xml:space="preserve"> </w:t>
            </w:r>
            <w:r>
              <w:rPr>
                <w:rFonts w:cs="Arial" w:ascii="Arial Narrow" w:hAnsi="Arial Narrow"/>
                <w:sz w:val="16"/>
                <w:szCs w:val="16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  <w:r>
              <w:rPr>
                <w:rFonts w:cs="Arial" w:ascii="Arial Narrow" w:hAnsi="Arial Narrow"/>
                <w:bCs/>
                <w:sz w:val="16"/>
                <w:szCs w:val="16"/>
              </w:rPr>
              <w:t xml:space="preserve"> п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300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/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455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268,0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4,5</w:t>
            </w:r>
          </w:p>
        </w:tc>
      </w:tr>
      <w:tr>
        <w:trPr>
          <w:trHeight w:val="559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10</w:t>
            </w:r>
          </w:p>
        </w:tc>
        <w:tc>
          <w:tcPr>
            <w:tcW w:w="92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06</w:t>
            </w:r>
          </w:p>
        </w:tc>
        <w:tc>
          <w:tcPr>
            <w:tcW w:w="24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8880614010</w:t>
            </w:r>
          </w:p>
        </w:tc>
        <w:tc>
          <w:tcPr>
            <w:tcW w:w="247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268,0</w:t>
            </w:r>
          </w:p>
        </w:tc>
        <w:tc>
          <w:tcPr>
            <w:tcW w:w="1244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12,0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4,5</w:t>
            </w:r>
          </w:p>
        </w:tc>
      </w:tr>
      <w:tr>
        <w:trPr>
          <w:trHeight w:val="489" w:hRule="atLeast"/>
        </w:trPr>
        <w:tc>
          <w:tcPr>
            <w:tcW w:w="112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60739,4</w:t>
            </w:r>
          </w:p>
        </w:tc>
        <w:tc>
          <w:tcPr>
            <w:tcW w:w="124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14733,3</w:t>
            </w:r>
          </w:p>
        </w:tc>
        <w:tc>
          <w:tcPr>
            <w:tcW w:w="167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24,3</w:t>
            </w:r>
          </w:p>
        </w:tc>
      </w:tr>
    </w:tbl>
    <w:p>
      <w:pPr>
        <w:pStyle w:val="Normal"/>
        <w:rPr>
          <w:rFonts w:ascii="Arial" w:hAnsi="Arial" w:cs="Arial"/>
          <w:sz w:val="17"/>
          <w:szCs w:val="17"/>
        </w:rPr>
      </w:pPr>
      <w:r>
        <w:rPr>
          <w:rFonts w:cs="Arial" w:ascii="Arial" w:hAnsi="Arial"/>
          <w:sz w:val="17"/>
          <w:szCs w:val="17"/>
        </w:rPr>
      </w:r>
      <w:bookmarkStart w:id="1" w:name="RANGE!A1%3AE30"/>
      <w:bookmarkStart w:id="2" w:name="RANGE!A1%3AE30"/>
      <w:bookmarkEnd w:id="2"/>
    </w:p>
    <w:p>
      <w:pPr>
        <w:pStyle w:val="Normal"/>
        <w:rPr>
          <w:rFonts w:ascii="Arial" w:hAnsi="Arial" w:cs="Arial"/>
          <w:sz w:val="17"/>
          <w:szCs w:val="17"/>
        </w:rPr>
      </w:pPr>
      <w:r>
        <w:rPr>
          <w:rFonts w:cs="Arial" w:ascii="Arial" w:hAnsi="Arial"/>
          <w:sz w:val="17"/>
          <w:szCs w:val="17"/>
        </w:rPr>
      </w:r>
    </w:p>
    <w:p>
      <w:pPr>
        <w:pStyle w:val="Normal"/>
        <w:ind w:left="-1134" w:firstLine="1134"/>
        <w:jc w:val="right"/>
        <w:rPr>
          <w:rFonts w:ascii="Arial" w:hAnsi="Arial" w:cs="Arial"/>
          <w:sz w:val="17"/>
          <w:szCs w:val="17"/>
        </w:rPr>
      </w:pPr>
      <w:r>
        <w:rPr>
          <w:rFonts w:cs="Arial" w:ascii="Arial" w:hAnsi="Arial"/>
          <w:sz w:val="17"/>
          <w:szCs w:val="17"/>
        </w:rPr>
      </w:r>
    </w:p>
    <w:p>
      <w:pPr>
        <w:pStyle w:val="Normal"/>
        <w:ind w:left="-1134" w:firstLine="1134"/>
        <w:jc w:val="right"/>
        <w:rPr>
          <w:rFonts w:ascii="Arial" w:hAnsi="Arial" w:cs="Arial"/>
          <w:sz w:val="17"/>
          <w:szCs w:val="17"/>
        </w:rPr>
      </w:pPr>
      <w:r>
        <w:rPr>
          <w:rFonts w:cs="Arial" w:ascii="Arial" w:hAnsi="Arial"/>
          <w:sz w:val="17"/>
          <w:szCs w:val="17"/>
        </w:rPr>
      </w:r>
    </w:p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№4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jc w:val="right"/>
        <w:rPr/>
      </w:pPr>
      <w:r>
        <w:rPr/>
        <w:t xml:space="preserve">«Об утверждении отчета об исполнении </w:t>
      </w:r>
    </w:p>
    <w:p>
      <w:pPr>
        <w:pStyle w:val="ConsPlusNormal1"/>
        <w:jc w:val="right"/>
        <w:rPr/>
      </w:pPr>
      <w:r>
        <w:rPr/>
        <w:t>бюджета  поселения  за 9 месяцев 2020 года»</w:t>
      </w:r>
    </w:p>
    <w:p>
      <w:pPr>
        <w:pStyle w:val="ConsPlusNormal1"/>
        <w:ind w:left="4536" w:firstLine="567"/>
        <w:jc w:val="right"/>
        <w:rPr/>
      </w:pPr>
      <w:r>
        <w:rPr/>
        <w:t>от 30.10.2020 №159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ConsPlusNormal1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Источники финансирования дефицита бюджета поселения за 9 месяцев  2020 год</w:t>
      </w:r>
    </w:p>
    <w:tbl>
      <w:tblPr>
        <w:tblW w:w="15745" w:type="dxa"/>
        <w:jc w:val="left"/>
        <w:tblInd w:w="-71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5"/>
        <w:gridCol w:w="656"/>
        <w:gridCol w:w="1471"/>
        <w:gridCol w:w="458"/>
        <w:gridCol w:w="2093"/>
        <w:gridCol w:w="2552"/>
        <w:gridCol w:w="3118"/>
        <w:gridCol w:w="142"/>
        <w:gridCol w:w="10"/>
      </w:tblGrid>
      <w:tr>
        <w:trPr>
          <w:trHeight w:val="255" w:hRule="atLeast"/>
        </w:trPr>
        <w:tc>
          <w:tcPr>
            <w:tcW w:w="5245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656" w:type="dxa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929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4645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3118" w:type="dxa"/>
            <w:tcBorders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тыс. рублей</w:t>
            </w:r>
          </w:p>
        </w:tc>
        <w:tc>
          <w:tcPr>
            <w:tcW w:w="152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63" w:hRule="atLeast"/>
        </w:trPr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 показателя</w:t>
            </w:r>
          </w:p>
        </w:tc>
        <w:tc>
          <w:tcPr>
            <w:tcW w:w="723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32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right="191" w:hanging="0"/>
              <w:jc w:val="center"/>
              <w:rPr/>
            </w:pPr>
            <w:r>
              <w:rPr>
                <w:rFonts w:cs="Arial" w:ascii="Arial" w:hAnsi="Arial"/>
                <w:b/>
                <w:bCs/>
              </w:rPr>
              <w:t>Кассовое исполне-ние</w:t>
            </w:r>
          </w:p>
        </w:tc>
      </w:tr>
      <w:tr>
        <w:trPr>
          <w:trHeight w:val="990" w:hRule="atLeast"/>
        </w:trPr>
        <w:tc>
          <w:tcPr>
            <w:tcW w:w="52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212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eastAsia="Arial" w:cs="Arial" w:ascii="Arial" w:hAnsi="Arial"/>
                <w:b/>
                <w:bCs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администратора источника</w:t>
            </w:r>
            <w:r>
              <w:rPr>
                <w:rFonts w:cs="Arial" w:ascii="Arial" w:hAnsi="Arial"/>
                <w:b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финансирования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источника финансирования</w:t>
            </w:r>
          </w:p>
        </w:tc>
        <w:tc>
          <w:tcPr>
            <w:tcW w:w="327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40" w:hRule="atLeast"/>
        </w:trPr>
        <w:tc>
          <w:tcPr>
            <w:tcW w:w="5245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</w:t>
            </w:r>
          </w:p>
        </w:tc>
        <w:tc>
          <w:tcPr>
            <w:tcW w:w="327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</w:t>
            </w:r>
          </w:p>
        </w:tc>
      </w:tr>
      <w:tr>
        <w:trPr>
          <w:trHeight w:val="630" w:hRule="atLeast"/>
        </w:trPr>
        <w:tc>
          <w:tcPr>
            <w:tcW w:w="5245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Источники финансирования дефицита бюджета поселения, всего:                                                         в том числе: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27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</w:rPr>
              <w:t>82,9</w:t>
            </w:r>
          </w:p>
        </w:tc>
      </w:tr>
      <w:tr>
        <w:trPr>
          <w:trHeight w:val="450" w:hRule="atLeast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ИСТОЧНИКИ ВНУТРЕННЕГО ФИНАНСИРОВАНИЯ дефицита  БЮДЖЕТА ПОСЕЛЕНИЯ</w:t>
            </w:r>
          </w:p>
        </w:tc>
        <w:tc>
          <w:tcPr>
            <w:tcW w:w="212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27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82,9</w:t>
            </w:r>
          </w:p>
        </w:tc>
      </w:tr>
      <w:tr>
        <w:trPr>
          <w:trHeight w:val="270" w:hRule="atLeast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из них:</w:t>
            </w:r>
          </w:p>
        </w:tc>
        <w:tc>
          <w:tcPr>
            <w:tcW w:w="2127" w:type="dxa"/>
            <w:gridSpan w:val="2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45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4645" w:type="dxa"/>
            <w:gridSpan w:val="2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260" w:type="dxa"/>
            <w:gridSpan w:val="2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</w:rPr>
              <w:t>Администрация  рабочего поселка Шаранга Шарангского муниципального района Нижегородской области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487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27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</w:rPr>
              <w:t>82,9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Изменение остатков средств на счетах по учету средств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01050000000000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</w:rPr>
              <w:t>82,9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Поступление финансовых активов</w:t>
            </w:r>
          </w:p>
        </w:tc>
        <w:tc>
          <w:tcPr>
            <w:tcW w:w="212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5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01050201100000</w:t>
            </w:r>
          </w:p>
        </w:tc>
        <w:tc>
          <w:tcPr>
            <w:tcW w:w="255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500</w:t>
            </w:r>
          </w:p>
        </w:tc>
        <w:tc>
          <w:tcPr>
            <w:tcW w:w="327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</w:rPr>
              <w:t>- 14650,4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Поступление на счет бюджета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- 14650,4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Выбытие финансовых активов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01050201100000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</w:rPr>
              <w:t>14733,3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Выбытие со счета бюджета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</w:t>
            </w:r>
          </w:p>
        </w:tc>
        <w:tc>
          <w:tcPr>
            <w:tcW w:w="25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610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14733,3</w:t>
            </w:r>
          </w:p>
        </w:tc>
      </w:tr>
    </w:tbl>
    <w:p>
      <w:pPr>
        <w:pStyle w:val="ConsPlusNormal1"/>
        <w:ind w:left="4536" w:firstLine="567"/>
        <w:jc w:val="right"/>
        <w:rPr/>
      </w:pPr>
      <w:r>
        <w:rPr/>
      </w:r>
    </w:p>
    <w:sectPr>
      <w:type w:val="nextPage"/>
      <w:pgSz w:orient="landscape" w:w="16838" w:h="11906"/>
      <w:pgMar w:left="992" w:right="851" w:header="0" w:top="1418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  <w:font w:name="Arial Narrow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cs="Times New Roman"/>
    </w:rPr>
  </w:style>
  <w:style w:type="character" w:styleId="WW8Num6z0">
    <w:name w:val="WW8Num6z0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rFonts w:ascii="Times New Roman" w:hAnsi="Times New Roman" w:cs="Times New Roman"/>
    </w:rPr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>
      <w:rFonts w:ascii="Times New Roman" w:hAnsi="Times New Roman" w:cs="Times New Roman"/>
    </w:rPr>
  </w:style>
  <w:style w:type="character" w:styleId="WW8Num24z0">
    <w:name w:val="WW8Num24z0"/>
    <w:qFormat/>
    <w:rPr>
      <w:sz w:val="28"/>
    </w:rPr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/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WW8Num30z0">
    <w:name w:val="WW8Num30z0"/>
    <w:qFormat/>
    <w:rPr/>
  </w:style>
  <w:style w:type="character" w:styleId="WW8Num30z2">
    <w:name w:val="WW8Num30z2"/>
    <w:qFormat/>
    <w:rPr/>
  </w:style>
  <w:style w:type="character" w:styleId="WW8Num30z3">
    <w:name w:val="WW8Num30z3"/>
    <w:qFormat/>
    <w:rPr/>
  </w:style>
  <w:style w:type="character" w:styleId="WW8Num30z4">
    <w:name w:val="WW8Num30z4"/>
    <w:qFormat/>
    <w:rPr/>
  </w:style>
  <w:style w:type="character" w:styleId="WW8Num30z5">
    <w:name w:val="WW8Num30z5"/>
    <w:qFormat/>
    <w:rPr/>
  </w:style>
  <w:style w:type="character" w:styleId="WW8Num30z6">
    <w:name w:val="WW8Num30z6"/>
    <w:qFormat/>
    <w:rPr/>
  </w:style>
  <w:style w:type="character" w:styleId="WW8Num30z7">
    <w:name w:val="WW8Num30z7"/>
    <w:qFormat/>
    <w:rPr/>
  </w:style>
  <w:style w:type="character" w:styleId="WW8Num30z8">
    <w:name w:val="WW8Num30z8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>
      <w:rFonts w:ascii="Times New Roman" w:hAnsi="Times New Roman" w:cs="Times New Roman"/>
    </w:rPr>
  </w:style>
  <w:style w:type="character" w:styleId="WW8Num33z0">
    <w:name w:val="WW8Num33z0"/>
    <w:qFormat/>
    <w:rPr/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>
      <w:rFonts w:ascii="Times New Roman" w:hAnsi="Times New Roman" w:cs="Times New Roman"/>
    </w:rPr>
  </w:style>
  <w:style w:type="character" w:styleId="WW8Num36z0">
    <w:name w:val="WW8Num36z0"/>
    <w:qFormat/>
    <w:rPr/>
  </w:style>
  <w:style w:type="character" w:styleId="WW8Num36z1">
    <w:name w:val="WW8Num36z1"/>
    <w:qFormat/>
    <w:rPr/>
  </w:style>
  <w:style w:type="character" w:styleId="WW8Num36z2">
    <w:name w:val="WW8Num36z2"/>
    <w:qFormat/>
    <w:rPr/>
  </w:style>
  <w:style w:type="character" w:styleId="WW8Num36z3">
    <w:name w:val="WW8Num36z3"/>
    <w:qFormat/>
    <w:rPr/>
  </w:style>
  <w:style w:type="character" w:styleId="WW8Num36z4">
    <w:name w:val="WW8Num36z4"/>
    <w:qFormat/>
    <w:rPr/>
  </w:style>
  <w:style w:type="character" w:styleId="WW8Num36z5">
    <w:name w:val="WW8Num36z5"/>
    <w:qFormat/>
    <w:rPr/>
  </w:style>
  <w:style w:type="character" w:styleId="WW8Num36z6">
    <w:name w:val="WW8Num36z6"/>
    <w:qFormat/>
    <w:rPr/>
  </w:style>
  <w:style w:type="character" w:styleId="WW8Num36z7">
    <w:name w:val="WW8Num36z7"/>
    <w:qFormat/>
    <w:rPr/>
  </w:style>
  <w:style w:type="character" w:styleId="WW8Num36z8">
    <w:name w:val="WW8Num36z8"/>
    <w:qFormat/>
    <w:rPr/>
  </w:style>
  <w:style w:type="character" w:styleId="WW8Num37z0">
    <w:name w:val="WW8Num37z0"/>
    <w:qFormat/>
    <w:rPr/>
  </w:style>
  <w:style w:type="character" w:styleId="WW8Num38z0">
    <w:name w:val="WW8Num38z0"/>
    <w:qFormat/>
    <w:rPr/>
  </w:style>
  <w:style w:type="character" w:styleId="WW8Num38z1">
    <w:name w:val="WW8Num38z1"/>
    <w:qFormat/>
    <w:rPr/>
  </w:style>
  <w:style w:type="character" w:styleId="WW8Num38z2">
    <w:name w:val="WW8Num38z2"/>
    <w:qFormat/>
    <w:rPr/>
  </w:style>
  <w:style w:type="character" w:styleId="WW8Num38z3">
    <w:name w:val="WW8Num38z3"/>
    <w:qFormat/>
    <w:rPr/>
  </w:style>
  <w:style w:type="character" w:styleId="WW8Num38z4">
    <w:name w:val="WW8Num38z4"/>
    <w:qFormat/>
    <w:rPr/>
  </w:style>
  <w:style w:type="character" w:styleId="WW8Num38z5">
    <w:name w:val="WW8Num38z5"/>
    <w:qFormat/>
    <w:rPr/>
  </w:style>
  <w:style w:type="character" w:styleId="WW8Num38z6">
    <w:name w:val="WW8Num38z6"/>
    <w:qFormat/>
    <w:rPr/>
  </w:style>
  <w:style w:type="character" w:styleId="WW8Num38z7">
    <w:name w:val="WW8Num38z7"/>
    <w:qFormat/>
    <w:rPr/>
  </w:style>
  <w:style w:type="character" w:styleId="WW8Num38z8">
    <w:name w:val="WW8Num38z8"/>
    <w:qFormat/>
    <w:rPr/>
  </w:style>
  <w:style w:type="character" w:styleId="WW8Num39z0">
    <w:name w:val="WW8Num39z0"/>
    <w:qFormat/>
    <w:rPr/>
  </w:style>
  <w:style w:type="character" w:styleId="WW8Num39z1">
    <w:name w:val="WW8Num39z1"/>
    <w:qFormat/>
    <w:rPr/>
  </w:style>
  <w:style w:type="character" w:styleId="WW8Num39z2">
    <w:name w:val="WW8Num39z2"/>
    <w:qFormat/>
    <w:rPr/>
  </w:style>
  <w:style w:type="character" w:styleId="WW8Num39z3">
    <w:name w:val="WW8Num39z3"/>
    <w:qFormat/>
    <w:rPr/>
  </w:style>
  <w:style w:type="character" w:styleId="WW8Num39z4">
    <w:name w:val="WW8Num39z4"/>
    <w:qFormat/>
    <w:rPr/>
  </w:style>
  <w:style w:type="character" w:styleId="WW8Num39z5">
    <w:name w:val="WW8Num39z5"/>
    <w:qFormat/>
    <w:rPr/>
  </w:style>
  <w:style w:type="character" w:styleId="WW8Num39z6">
    <w:name w:val="WW8Num39z6"/>
    <w:qFormat/>
    <w:rPr/>
  </w:style>
  <w:style w:type="character" w:styleId="WW8Num39z7">
    <w:name w:val="WW8Num39z7"/>
    <w:qFormat/>
    <w:rPr/>
  </w:style>
  <w:style w:type="character" w:styleId="WW8Num39z8">
    <w:name w:val="WW8Num39z8"/>
    <w:qFormat/>
    <w:rPr/>
  </w:style>
  <w:style w:type="character" w:styleId="WW8Num40z0">
    <w:name w:val="WW8Num40z0"/>
    <w:qFormat/>
    <w:rPr>
      <w:rFonts w:ascii="Times New Roman" w:hAnsi="Times New Roman" w:cs="Times New Roman"/>
    </w:rPr>
  </w:style>
  <w:style w:type="character" w:styleId="WW8Num41z0">
    <w:name w:val="WW8Num41z0"/>
    <w:qFormat/>
    <w:rPr>
      <w:rFonts w:ascii="Times New Roman" w:hAnsi="Times New Roman" w:eastAsia="Times New Roman" w:cs="Times New Roman"/>
    </w:rPr>
  </w:style>
  <w:style w:type="character" w:styleId="WW8Num41z1">
    <w:name w:val="WW8Num41z1"/>
    <w:qFormat/>
    <w:rPr>
      <w:rFonts w:ascii="Courier New" w:hAnsi="Courier New" w:cs="Courier New"/>
    </w:rPr>
  </w:style>
  <w:style w:type="character" w:styleId="WW8Num41z2">
    <w:name w:val="WW8Num41z2"/>
    <w:qFormat/>
    <w:rPr>
      <w:rFonts w:ascii="Wingdings" w:hAnsi="Wingdings" w:cs="Wingdings"/>
    </w:rPr>
  </w:style>
  <w:style w:type="character" w:styleId="WW8Num41z3">
    <w:name w:val="WW8Num41z3"/>
    <w:qFormat/>
    <w:rPr>
      <w:rFonts w:ascii="Symbol" w:hAnsi="Symbol" w:cs="Symbol"/>
    </w:rPr>
  </w:style>
  <w:style w:type="character" w:styleId="WW8Num42z0">
    <w:name w:val="WW8Num42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Верхний колонтитул Знак"/>
    <w:basedOn w:val="Style11"/>
    <w:qFormat/>
    <w:rPr/>
  </w:style>
  <w:style w:type="character" w:styleId="Style16">
    <w:name w:val="Нижний колонтитул Знак"/>
    <w:basedOn w:val="Style11"/>
    <w:qFormat/>
    <w:rPr/>
  </w:style>
  <w:style w:type="character" w:styleId="21">
    <w:name w:val="Заголовок 2 Знак"/>
    <w:basedOn w:val="Style11"/>
    <w:qFormat/>
    <w:rPr>
      <w:rFonts w:ascii="Arial" w:hAnsi="Arial" w:cs="Arial"/>
      <w:sz w:val="24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7">
    <w:name w:val="Заголовок"/>
    <w:next w:val="Style18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2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2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3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33">
    <w:name w:val="Содержимое таблицы"/>
    <w:basedOn w:val="Normal"/>
    <w:qFormat/>
    <w:pPr>
      <w:widowControl w:val="false"/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  <w:style w:type="numbering" w:styleId="WW8Num40">
    <w:name w:val="WW8Num40"/>
    <w:qFormat/>
  </w:style>
  <w:style w:type="numbering" w:styleId="WW8Num41">
    <w:name w:val="WW8Num41"/>
    <w:qFormat/>
  </w:style>
  <w:style w:type="numbering" w:styleId="WW8Num42">
    <w:name w:val="WW8Num4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753</TotalTime>
  <Application>LibreOffice/7.0.3.1$Windows_X86_64 LibreOffice_project/d7547858d014d4cf69878db179d326fc3483e082</Application>
  <Pages>58</Pages>
  <Words>3801</Words>
  <Characters>27398</Characters>
  <CharactersWithSpaces>30366</CharactersWithSpaces>
  <Paragraphs>1226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2016-12-19T19:31:00Z</dcterms:created>
  <dc:creator>Катышева Е. В.</dc:creator>
  <dc:description/>
  <cp:keywords> </cp:keywords>
  <dc:language>ru-RU</dc:language>
  <cp:lastModifiedBy>Admin</cp:lastModifiedBy>
  <cp:lastPrinted>2020-11-03T08:55:00Z</cp:lastPrinted>
  <dcterms:modified xsi:type="dcterms:W3CDTF">2020-11-03T08:05:00Z</dcterms:modified>
  <cp:revision>62</cp:revision>
  <dc:subject/>
  <dc:title>ПОСТАНОВЛЕНИЕ</dc:title>
</cp:coreProperties>
</file>