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>
          <w:rFonts w:ascii="Arial" w:hAnsi="Arial" w:cs="Arial"/>
          <w:b/>
          <w:b/>
          <w:sz w:val="32"/>
          <w:szCs w:val="32"/>
        </w:rPr>
      </w:pPr>
      <w:r>
        <w:rPr/>
        <w:drawing>
          <wp:inline distT="0" distB="0" distL="0" distR="0">
            <wp:extent cx="628650" cy="609600"/>
            <wp:effectExtent l="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before="0" w:after="0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spacing w:before="0" w:after="0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spacing w:before="0" w:after="0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ПОСТАНОВЛЕНИЕ</w:t>
      </w:r>
    </w:p>
    <w:p>
      <w:pPr>
        <w:pStyle w:val="Normal"/>
        <w:tabs>
          <w:tab w:val="clear" w:pos="708"/>
          <w:tab w:val="left" w:pos="4253" w:leader="none"/>
        </w:tabs>
        <w:spacing w:before="0" w:after="0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от 10.08.2020      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106</w:t>
      </w:r>
    </w:p>
    <w:p>
      <w:pPr>
        <w:pStyle w:val="Normal"/>
        <w:tabs>
          <w:tab w:val="clear" w:pos="708"/>
          <w:tab w:val="left" w:pos="4253" w:leader="none"/>
        </w:tabs>
        <w:spacing w:before="0" w:after="0"/>
        <w:ind w:firstLine="567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before="0" w:after="0"/>
        <w:jc w:val="center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  <w:t>О подготовке проекта планировки</w:t>
      </w:r>
    </w:p>
    <w:p>
      <w:pPr>
        <w:pStyle w:val="Normal"/>
        <w:spacing w:before="0" w:after="0"/>
        <w:jc w:val="center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  <w:t xml:space="preserve">и межевания территории для строительства </w:t>
      </w:r>
    </w:p>
    <w:p>
      <w:pPr>
        <w:pStyle w:val="Normal"/>
        <w:spacing w:before="0" w:after="0"/>
        <w:jc w:val="center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  <w:t>автомобильной дороги по ул. Фруктовая в р.п.Шаранга Шарангского муниципального района Нижегородской области</w:t>
      </w:r>
    </w:p>
    <w:p>
      <w:pPr>
        <w:pStyle w:val="Normal"/>
        <w:spacing w:before="0" w:after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1"/>
        <w:spacing w:lineRule="auto" w:line="240" w:before="0" w:after="0"/>
        <w:ind w:firstLine="567"/>
        <w:jc w:val="both"/>
        <w:textAlignment w:val="baseline"/>
        <w:rPr>
          <w:rFonts w:ascii="Arial" w:hAnsi="Arial" w:cs="Arial"/>
          <w:b w:val="false"/>
          <w:b w:val="false"/>
          <w:sz w:val="24"/>
          <w:szCs w:val="24"/>
        </w:rPr>
      </w:pPr>
      <w:r>
        <w:rPr>
          <w:rFonts w:cs="Arial" w:ascii="Arial" w:hAnsi="Arial"/>
          <w:b w:val="false"/>
          <w:sz w:val="24"/>
          <w:szCs w:val="24"/>
        </w:rPr>
        <w:t xml:space="preserve">    </w:t>
      </w:r>
      <w:r>
        <w:rPr>
          <w:rFonts w:cs="Arial" w:ascii="Arial" w:hAnsi="Arial"/>
          <w:b w:val="false"/>
          <w:sz w:val="24"/>
          <w:szCs w:val="24"/>
        </w:rPr>
        <w:t>В соответствии со ст. 7,43 Федерального закона от 06.10.2003 №131 ФЗ «Об общих принципах организации местного самоуправления в Российской Федерации, ч. 8 ст. 45 Градостроительного кодекса, Уставом рабочего поселка Шаранга, в целях строительства автомобильной дороги по ул. Фруктовая в р.п. Шаранга Шарангского муниципального района Нижегородской области, администрация рабочего посёлка Шаранга Шарангского муниципального района Нижегородской области (далее-администрация)</w:t>
      </w:r>
    </w:p>
    <w:p>
      <w:pPr>
        <w:pStyle w:val="1"/>
        <w:spacing w:lineRule="auto" w:line="240" w:before="0" w:after="0"/>
        <w:ind w:firstLine="567"/>
        <w:jc w:val="both"/>
        <w:textAlignment w:val="baselin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п о с т а н о в л я е т:</w:t>
      </w:r>
    </w:p>
    <w:p>
      <w:pPr>
        <w:pStyle w:val="Normal"/>
        <w:spacing w:before="0" w:after="0"/>
        <w:rPr>
          <w:lang w:eastAsia="ru-RU"/>
        </w:rPr>
      </w:pPr>
      <w:r>
        <w:rPr>
          <w:lang w:eastAsia="ru-RU"/>
        </w:rPr>
      </w:r>
    </w:p>
    <w:p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Разрешить Обществу с ограниченной ответственностью «Альфа – Проект» (далее – ООО «Альфа-Проект»  подготовку проекта планировки и межевания территории для строительства автомобильной дороги по ул. Фруктовая в р.п.Шаранга Шарангского муниципального района Нижегородской области (далее – Проект) в границах согласно приложения 1, в рамках исполнения муниципального контракта №21 от  31.07.2020  года между администрацией Шарангского муниципального района и ООО «Альфа-Проект».</w:t>
      </w:r>
    </w:p>
    <w:p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Рекомендовать ООО «Альфа-Проект»:</w:t>
      </w:r>
    </w:p>
    <w:p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2.1. осуществить подготовку Проекта в соответствии с Градостроительным заданием, подготовленным отделом капитального строительства администрации Шарангского муниципального района (приложение 2);</w:t>
      </w:r>
    </w:p>
    <w:p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2.2. осуществить подготовку Проекта в сроки, предусмотренные заключенным контрактом №21 от  31.07.2020года  между администрацией Шарангского муниципального района и ООО «Альфа-Проект».</w:t>
      </w:r>
    </w:p>
    <w:p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2.3. подготовленный проект предоставить в администрацию Шарангского муниципального района для проверки и согласования.</w:t>
      </w:r>
    </w:p>
    <w:p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2.4.  согласованный проект направить в администрацию р.п.Шаранга для дальнейшего проведения публичных слушаний.</w:t>
      </w:r>
    </w:p>
    <w:p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Рекомендовать главе местного самоуправления поселкового Совета рабочего послека Шаранга Шарангского муниципального района Нижегородской области после получения согласованного проекта:</w:t>
      </w:r>
    </w:p>
    <w:p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3.1. назначить публичные слушания  по проекту планировки и межевания территории.</w:t>
      </w:r>
    </w:p>
    <w:p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3.2. обеспечить опубликование заключения о результатах публичных слушаний.</w:t>
      </w:r>
    </w:p>
    <w:p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После утверждения проекта планировки и межевания передать документацию по планировке территории в отдел капитального строительства администрации Шарангского муниципального района для размещения в информационной системе обеспечения градостроительной деятельности.</w:t>
      </w:r>
    </w:p>
    <w:p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Настоящее постановление вступает в силу с момента его подписания.</w:t>
      </w:r>
    </w:p>
    <w:p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color w:val="000000"/>
          <w:sz w:val="24"/>
          <w:szCs w:val="24"/>
        </w:rPr>
        <w:t>Контроль за исполнением постановления оставляю за собой.</w:t>
      </w:r>
    </w:p>
    <w:p>
      <w:pPr>
        <w:pStyle w:val="ListParagraph"/>
        <w:tabs>
          <w:tab w:val="clear" w:pos="708"/>
          <w:tab w:val="left" w:pos="7938" w:leader="none"/>
        </w:tabs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ListParagraph"/>
        <w:tabs>
          <w:tab w:val="clear" w:pos="708"/>
          <w:tab w:val="left" w:pos="7938" w:leader="none"/>
        </w:tabs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Глава администрации                                                                  С.В. Краев</w:t>
      </w:r>
    </w:p>
    <w:p>
      <w:pPr>
        <w:pStyle w:val="Style16"/>
        <w:jc w:val="right"/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  <w:t>Приложение №1</w:t>
      </w:r>
    </w:p>
    <w:p>
      <w:pPr>
        <w:pStyle w:val="Style16"/>
        <w:jc w:val="right"/>
        <w:rPr>
          <w:rFonts w:ascii="Arial" w:hAnsi="Arial" w:cs="Arial"/>
          <w:b/>
          <w:b/>
          <w:sz w:val="20"/>
        </w:rPr>
      </w:pPr>
      <w:r>
        <w:rPr>
          <w:rFonts w:cs="Arial" w:ascii="Arial" w:hAnsi="Arial"/>
          <w:sz w:val="20"/>
        </w:rPr>
        <w:t xml:space="preserve">к  постановлению администрации  </w:t>
      </w:r>
    </w:p>
    <w:p>
      <w:pPr>
        <w:pStyle w:val="Style16"/>
        <w:jc w:val="right"/>
        <w:rPr>
          <w:rFonts w:ascii="Arial" w:hAnsi="Arial" w:cs="Arial"/>
          <w:b/>
          <w:b/>
          <w:sz w:val="20"/>
        </w:rPr>
      </w:pPr>
      <w:r>
        <w:rPr>
          <w:rFonts w:cs="Arial" w:ascii="Arial" w:hAnsi="Arial"/>
          <w:sz w:val="20"/>
        </w:rPr>
        <w:t xml:space="preserve">рабочего посёлка Шаранга </w:t>
      </w:r>
    </w:p>
    <w:p>
      <w:pPr>
        <w:pStyle w:val="Style16"/>
        <w:jc w:val="right"/>
        <w:rPr>
          <w:rFonts w:ascii="Arial" w:hAnsi="Arial" w:cs="Arial"/>
          <w:b/>
          <w:b/>
          <w:sz w:val="20"/>
        </w:rPr>
      </w:pPr>
      <w:r>
        <w:rPr>
          <w:rFonts w:cs="Arial" w:ascii="Arial" w:hAnsi="Arial"/>
          <w:sz w:val="20"/>
        </w:rPr>
        <w:t xml:space="preserve">Шарангского муниципального района </w:t>
      </w:r>
    </w:p>
    <w:p>
      <w:pPr>
        <w:pStyle w:val="Style16"/>
        <w:jc w:val="right"/>
        <w:rPr>
          <w:rFonts w:ascii="Arial" w:hAnsi="Arial" w:cs="Arial"/>
          <w:b/>
          <w:b/>
          <w:sz w:val="20"/>
        </w:rPr>
      </w:pPr>
      <w:r>
        <w:rPr>
          <w:rFonts w:cs="Arial" w:ascii="Arial" w:hAnsi="Arial"/>
          <w:sz w:val="20"/>
        </w:rPr>
        <w:t>Нижегородской области</w:t>
      </w:r>
    </w:p>
    <w:p>
      <w:pPr>
        <w:pStyle w:val="Style16"/>
        <w:jc w:val="right"/>
        <w:rPr>
          <w:rFonts w:ascii="Arial" w:hAnsi="Arial" w:cs="Arial"/>
          <w:b/>
          <w:b/>
          <w:sz w:val="20"/>
        </w:rPr>
      </w:pPr>
      <w:r>
        <w:rPr>
          <w:rFonts w:cs="Arial" w:ascii="Arial" w:hAnsi="Arial"/>
          <w:sz w:val="20"/>
        </w:rPr>
        <w:t>от  10.08.2020 года №106</w:t>
      </w:r>
    </w:p>
    <w:p>
      <w:pPr>
        <w:pStyle w:val="Normal"/>
        <w:spacing w:before="0" w:after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Схема границ подготовки проекта межевания и планировки территории</w:t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/>
        <w:drawing>
          <wp:inline distT="0" distB="0" distL="0" distR="0">
            <wp:extent cx="5629275" cy="5667375"/>
            <wp:effectExtent l="0" t="0" r="0" b="0"/>
            <wp:docPr id="2" name="Рисунок 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4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566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mc:AlternateContent>
          <mc:Choice Requires="wps">
            <w:drawing>
              <wp:anchor behindDoc="0" distT="0" distB="0" distL="114300" distR="114300" simplePos="0" locked="0" layoutInCell="0" allowOverlap="1" relativeHeight="4">
                <wp:simplePos x="0" y="0"/>
                <wp:positionH relativeFrom="column">
                  <wp:posOffset>80010</wp:posOffset>
                </wp:positionH>
                <wp:positionV relativeFrom="paragraph">
                  <wp:posOffset>114300</wp:posOffset>
                </wp:positionV>
                <wp:extent cx="682625" cy="1270"/>
                <wp:effectExtent l="0" t="0" r="0" b="0"/>
                <wp:wrapNone/>
                <wp:docPr id="3" name="Прямая соединительная линия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1640" cy="0"/>
                        </a:xfrm>
                        <a:prstGeom prst="line">
                          <a:avLst/>
                        </a:prstGeom>
                        <a:ln w="57240">
                          <a:solidFill>
                            <a:srgbClr val="ff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6.3pt,9pt" to="82.75pt,9pt" ID="Прямая соединительная линия 2" stroked="t" style="position:absolute">
                <v:stroke color="red" weight="57240" joinstyle="miter" endcap="flat"/>
                <v:fill o:detectmouseclick="t" on="false"/>
              </v:line>
            </w:pict>
          </mc:Fallback>
        </mc:AlternateContent>
      </w:r>
      <w:r>
        <w:rPr>
          <w:sz w:val="23"/>
          <w:szCs w:val="23"/>
        </w:rPr>
        <w:t>-</w:t>
      </w:r>
      <w:r>
        <w:rPr>
          <w:sz w:val="23"/>
          <w:szCs w:val="23"/>
        </w:rPr>
        <w:t xml:space="preserve"> </w:t>
      </w:r>
      <w:r>
        <w:rPr>
          <w:sz w:val="24"/>
          <w:szCs w:val="24"/>
        </w:rPr>
        <w:t xml:space="preserve">-                          </w:t>
      </w:r>
      <w:r>
        <w:rPr>
          <w:rFonts w:cs="Arial" w:ascii="Arial" w:hAnsi="Arial"/>
          <w:sz w:val="24"/>
          <w:szCs w:val="24"/>
        </w:rPr>
        <w:t xml:space="preserve">граница подготовки проекта планировки и межевания территории по ул.Фруктовая </w:t>
      </w:r>
    </w:p>
    <w:p>
      <w:pPr>
        <w:pStyle w:val="Style16"/>
        <w:jc w:val="right"/>
        <w:rPr>
          <w:rFonts w:ascii="Arial" w:hAnsi="Arial" w:cs="Arial"/>
          <w:sz w:val="20"/>
        </w:rPr>
      </w:pPr>
      <w:bookmarkStart w:id="0" w:name="_GoBack"/>
      <w:bookmarkEnd w:id="0"/>
      <w:r>
        <w:rPr>
          <w:rFonts w:cs="Arial" w:ascii="Arial" w:hAnsi="Arial"/>
          <w:sz w:val="20"/>
        </w:rPr>
        <w:t>Приложение №2</w:t>
      </w:r>
    </w:p>
    <w:p>
      <w:pPr>
        <w:pStyle w:val="Style16"/>
        <w:jc w:val="right"/>
        <w:rPr>
          <w:rFonts w:ascii="Arial" w:hAnsi="Arial" w:cs="Arial"/>
          <w:b/>
          <w:b/>
          <w:sz w:val="20"/>
        </w:rPr>
      </w:pPr>
      <w:r>
        <w:rPr>
          <w:rFonts w:cs="Arial" w:ascii="Arial" w:hAnsi="Arial"/>
          <w:sz w:val="20"/>
        </w:rPr>
        <w:t xml:space="preserve">к  постановлению администрации  </w:t>
      </w:r>
    </w:p>
    <w:p>
      <w:pPr>
        <w:pStyle w:val="Style16"/>
        <w:jc w:val="right"/>
        <w:rPr>
          <w:rFonts w:ascii="Arial" w:hAnsi="Arial" w:cs="Arial"/>
          <w:b/>
          <w:b/>
          <w:sz w:val="20"/>
        </w:rPr>
      </w:pPr>
      <w:r>
        <w:rPr>
          <w:rFonts w:cs="Arial" w:ascii="Arial" w:hAnsi="Arial"/>
          <w:sz w:val="20"/>
        </w:rPr>
        <w:t xml:space="preserve">рабочего посёлка Шаранга </w:t>
      </w:r>
    </w:p>
    <w:p>
      <w:pPr>
        <w:pStyle w:val="Style16"/>
        <w:jc w:val="right"/>
        <w:rPr>
          <w:rFonts w:ascii="Arial" w:hAnsi="Arial" w:cs="Arial"/>
          <w:b/>
          <w:b/>
          <w:sz w:val="20"/>
        </w:rPr>
      </w:pPr>
      <w:r>
        <w:rPr>
          <w:rFonts w:cs="Arial" w:ascii="Arial" w:hAnsi="Arial"/>
          <w:sz w:val="20"/>
        </w:rPr>
        <w:t xml:space="preserve">Шарангского муниципального района </w:t>
      </w:r>
    </w:p>
    <w:p>
      <w:pPr>
        <w:pStyle w:val="Style16"/>
        <w:jc w:val="right"/>
        <w:rPr>
          <w:rFonts w:ascii="Arial" w:hAnsi="Arial" w:cs="Arial"/>
          <w:b/>
          <w:b/>
          <w:sz w:val="20"/>
        </w:rPr>
      </w:pPr>
      <w:r>
        <w:rPr>
          <w:rFonts w:cs="Arial" w:ascii="Arial" w:hAnsi="Arial"/>
          <w:sz w:val="20"/>
        </w:rPr>
        <w:t>Нижегородской области</w:t>
      </w:r>
    </w:p>
    <w:p>
      <w:pPr>
        <w:pStyle w:val="Style16"/>
        <w:jc w:val="right"/>
        <w:rPr>
          <w:rFonts w:ascii="Arial" w:hAnsi="Arial" w:cs="Arial"/>
          <w:b/>
          <w:b/>
          <w:sz w:val="20"/>
        </w:rPr>
      </w:pPr>
      <w:r>
        <w:rPr>
          <w:rFonts w:cs="Arial" w:ascii="Arial" w:hAnsi="Arial"/>
          <w:sz w:val="20"/>
        </w:rPr>
        <w:t>от  10.08.2020 года №-106</w:t>
      </w:r>
    </w:p>
    <w:p>
      <w:pPr>
        <w:pStyle w:val="Style16"/>
        <w:ind w:left="5387" w:hanging="0"/>
        <w:rPr>
          <w:b/>
          <w:b/>
          <w:sz w:val="28"/>
          <w:szCs w:val="28"/>
        </w:rPr>
      </w:pPr>
      <w:r>
        <w:rPr>
          <w:bCs/>
          <w:sz w:val="20"/>
        </w:rPr>
        <w:t xml:space="preserve">                                                                                                               </w:t>
      </w:r>
      <w:r>
        <w:rPr>
          <w:b/>
          <w:sz w:val="28"/>
          <w:szCs w:val="28"/>
        </w:rPr>
        <w:t xml:space="preserve">            </w:t>
      </w:r>
    </w:p>
    <w:tbl>
      <w:tblPr>
        <w:tblW w:w="99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a0"/>
      </w:tblPr>
      <w:tblGrid>
        <w:gridCol w:w="4961"/>
        <w:gridCol w:w="283"/>
        <w:gridCol w:w="4678"/>
      </w:tblGrid>
      <w:tr>
        <w:trPr/>
        <w:tc>
          <w:tcPr>
            <w:tcW w:w="4961" w:type="dxa"/>
            <w:tcBorders/>
          </w:tcPr>
          <w:p>
            <w:pPr>
              <w:pStyle w:val="Normal"/>
              <w:widowControl w:val="false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 xml:space="preserve">  </w:t>
            </w:r>
            <w:r>
              <w:rPr>
                <w:rFonts w:cs="Arial" w:ascii="Arial" w:hAnsi="Arial"/>
                <w:b/>
                <w:sz w:val="22"/>
                <w:szCs w:val="22"/>
              </w:rPr>
              <w:t xml:space="preserve">СОГЛАСОВАНО </w:t>
            </w:r>
          </w:p>
          <w:p>
            <w:pPr>
              <w:pStyle w:val="Normal"/>
              <w:widowControl w:val="false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Заведующий отделом капитального строительства администрации Шарангского муниципального района Нижегородской области</w:t>
            </w:r>
          </w:p>
          <w:p>
            <w:pPr>
              <w:pStyle w:val="Normal"/>
              <w:widowControl w:val="false"/>
              <w:spacing w:before="0" w:after="200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______________ А.В. Ермолин</w:t>
            </w:r>
          </w:p>
        </w:tc>
        <w:tc>
          <w:tcPr>
            <w:tcW w:w="283" w:type="dxa"/>
            <w:tcBorders/>
          </w:tcPr>
          <w:p>
            <w:pPr>
              <w:pStyle w:val="Normal"/>
              <w:widowControl w:val="false"/>
              <w:spacing w:before="0" w:after="200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</w:r>
          </w:p>
        </w:tc>
        <w:tc>
          <w:tcPr>
            <w:tcW w:w="4678" w:type="dxa"/>
            <w:tcBorders/>
          </w:tcPr>
          <w:tbl>
            <w:tblPr>
              <w:tblW w:w="4376" w:type="dxa"/>
              <w:jc w:val="left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  <w:tblLook w:val="00a0"/>
            </w:tblPr>
            <w:tblGrid>
              <w:gridCol w:w="4376"/>
            </w:tblGrid>
            <w:tr>
              <w:trPr/>
              <w:tc>
                <w:tcPr>
                  <w:tcW w:w="4376" w:type="dxa"/>
                  <w:tcBorders/>
                </w:tcPr>
                <w:p>
                  <w:pPr>
                    <w:pStyle w:val="Normal"/>
                    <w:widowControl w:val="false"/>
                    <w:rPr>
                      <w:rFonts w:ascii="Arial" w:hAnsi="Arial" w:cs="Arial"/>
                      <w:b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cs="Arial" w:ascii="Arial" w:hAnsi="Arial"/>
                      <w:b/>
                      <w:bCs/>
                      <w:sz w:val="22"/>
                      <w:szCs w:val="22"/>
                    </w:rPr>
                    <w:t xml:space="preserve">УТВЕРЖДАЮ                                                                                                                   </w:t>
                  </w:r>
                </w:p>
                <w:p>
                  <w:pPr>
                    <w:pStyle w:val="Normal"/>
                    <w:widowControl w:val="false"/>
                    <w:jc w:val="left"/>
                    <w:rPr>
                      <w:rFonts w:ascii="Arial" w:hAnsi="Arial" w:cs="Arial"/>
                      <w:b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cs="Arial" w:ascii="Arial" w:hAnsi="Arial"/>
                      <w:b/>
                      <w:bCs/>
                      <w:sz w:val="22"/>
                      <w:szCs w:val="22"/>
                    </w:rPr>
                    <w:t>Глава администрации рабочего поселка Шаранга Шарангского муниципального района   Нижегородской области</w:t>
                  </w:r>
                </w:p>
                <w:p>
                  <w:pPr>
                    <w:pStyle w:val="Normal"/>
                    <w:widowControl w:val="false"/>
                    <w:jc w:val="left"/>
                    <w:rPr>
                      <w:rFonts w:ascii="Arial" w:hAnsi="Arial" w:cs="Arial"/>
                      <w:b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cs="Arial" w:ascii="Arial" w:hAnsi="Arial"/>
                      <w:b/>
                      <w:bCs/>
                      <w:sz w:val="22"/>
                      <w:szCs w:val="22"/>
                    </w:rPr>
                    <w:t>__________________Краев С.В.</w:t>
                  </w:r>
                </w:p>
                <w:p>
                  <w:pPr>
                    <w:pStyle w:val="Normal"/>
                    <w:widowControl w:val="false"/>
                    <w:spacing w:before="0" w:after="200"/>
                    <w:rPr>
                      <w:rFonts w:ascii="Arial" w:hAnsi="Arial" w:cs="Arial"/>
                      <w:b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cs="Arial" w:ascii="Arial" w:hAnsi="Arial"/>
                      <w:b/>
                      <w:bCs/>
                      <w:sz w:val="22"/>
                      <w:szCs w:val="22"/>
                    </w:rPr>
                  </w:r>
                </w:p>
              </w:tc>
            </w:tr>
          </w:tbl>
          <w:p>
            <w:pPr>
              <w:pStyle w:val="Normal"/>
              <w:widowControl w:val="false"/>
              <w:spacing w:before="0" w:after="200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</w:r>
          </w:p>
        </w:tc>
      </w:tr>
    </w:tbl>
    <w:p>
      <w:pPr>
        <w:pStyle w:val="Normal"/>
        <w:tabs>
          <w:tab w:val="clear" w:pos="708"/>
          <w:tab w:val="left" w:pos="4305" w:leader="none"/>
        </w:tabs>
        <w:ind w:left="-284" w:hanging="0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clear" w:pos="708"/>
          <w:tab w:val="left" w:pos="4305" w:leader="none"/>
        </w:tabs>
        <w:spacing w:before="0" w:after="0"/>
        <w:ind w:left="-284" w:hanging="0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ГРАДОСТРОИТЕЛЬНОЕ ЗАДАНИЕ </w:t>
      </w:r>
    </w:p>
    <w:p>
      <w:pPr>
        <w:pStyle w:val="Normal"/>
        <w:rPr>
          <w:rFonts w:ascii="Arial" w:hAnsi="Arial" w:cs="Arial"/>
          <w:bCs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на   подготовку документации по планировке террритории  по объекту «</w:t>
      </w:r>
      <w:r>
        <w:rPr>
          <w:rFonts w:cs="Arial" w:ascii="Arial" w:hAnsi="Arial"/>
          <w:bCs/>
          <w:sz w:val="22"/>
          <w:szCs w:val="22"/>
        </w:rPr>
        <w:t>Строительство автомобильной дороги 22 256 551 ОП МП 067 по ул. Фруктовая</w:t>
        <w:br/>
        <w:t>в р.п. Шаранга Шарангского муниципального района Нижегородской области»</w:t>
      </w:r>
    </w:p>
    <w:p>
      <w:pPr>
        <w:pStyle w:val="Normal"/>
        <w:tabs>
          <w:tab w:val="clear" w:pos="708"/>
          <w:tab w:val="left" w:pos="4305" w:leader="none"/>
        </w:tabs>
        <w:spacing w:before="0" w:after="0"/>
        <w:ind w:left="-284" w:hanging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513"/>
        <w:gridCol w:w="3144"/>
        <w:gridCol w:w="6265"/>
      </w:tblGrid>
      <w:tr>
        <w:trPr>
          <w:trHeight w:val="630" w:hRule="atLeast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№№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right="142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ПЕРЕЧЕНЬ ОСНОВНЫХ ДАННЫХ И ТРЕБОВАНИЙ</w:t>
            </w: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right="142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СОДЕРЖАНИЕ  ДАННЫХ И ТРЕБОВАНИЙ</w:t>
            </w:r>
          </w:p>
        </w:tc>
      </w:tr>
      <w:tr>
        <w:trPr>
          <w:trHeight w:val="390" w:hRule="atLeast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right="142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right="142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3</w:t>
            </w:r>
          </w:p>
        </w:tc>
      </w:tr>
      <w:tr>
        <w:trPr>
          <w:trHeight w:val="856" w:hRule="atLeast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Вид градостроительной документации</w:t>
            </w: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 xml:space="preserve">Проект планировки и межевания по объекту: </w:t>
            </w:r>
            <w:r>
              <w:rPr>
                <w:rFonts w:cs="Arial" w:ascii="Arial" w:hAnsi="Arial"/>
                <w:bCs/>
                <w:sz w:val="20"/>
                <w:szCs w:val="20"/>
              </w:rPr>
              <w:t>«Строительство автомобильной дороги 22 256 551 ОП МП 067 по ул. Фруктовая</w:t>
              <w:br/>
              <w:t>в р.п. Шаранга Шарангского муниципального района Нижегородской области»</w:t>
            </w:r>
          </w:p>
          <w:p>
            <w:pPr>
              <w:pStyle w:val="Normal"/>
              <w:widowControl w:val="false"/>
              <w:spacing w:before="0" w:after="2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</w:tr>
      <w:tr>
        <w:trPr>
          <w:trHeight w:val="856" w:hRule="atLeast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Заказчик</w:t>
            </w: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Администрация  Шарангского муниципального района</w:t>
            </w:r>
          </w:p>
          <w:p>
            <w:pPr>
              <w:pStyle w:val="Normal"/>
              <w:widowControl w:val="false"/>
              <w:spacing w:before="0" w:after="2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</w:tr>
      <w:tr>
        <w:trPr>
          <w:trHeight w:val="856" w:hRule="atLeast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3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Разработчик проектной документации</w:t>
            </w: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ООО «Альфа – Проект»</w:t>
            </w:r>
          </w:p>
        </w:tc>
      </w:tr>
      <w:tr>
        <w:trPr>
          <w:trHeight w:val="1030" w:hRule="atLeast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4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Основания для подготовки градостроительной документации</w:t>
            </w: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- Градостроительный кодекс Российской Федерации</w:t>
            </w:r>
          </w:p>
          <w:p>
            <w:pPr>
              <w:pStyle w:val="Normal"/>
              <w:widowControl w:val="fals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- Земельный кодекс Российской Федерации</w:t>
            </w:r>
          </w:p>
          <w:p>
            <w:pPr>
              <w:pStyle w:val="ListParagraph"/>
              <w:widowControl w:val="false"/>
              <w:tabs>
                <w:tab w:val="clear" w:pos="708"/>
                <w:tab w:val="left" w:pos="3675" w:leader="none"/>
              </w:tabs>
              <w:spacing w:before="0" w:after="0"/>
              <w:ind w:left="0" w:hanging="0"/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- Закон Нижегородской области от 08.04.2008 г. № 37-З «Об основах регулирования градостроительной деятельности на территории Нижегородской области»;</w:t>
            </w:r>
          </w:p>
          <w:p>
            <w:pPr>
              <w:pStyle w:val="ListParagraph"/>
              <w:widowControl w:val="false"/>
              <w:tabs>
                <w:tab w:val="clear" w:pos="708"/>
                <w:tab w:val="left" w:pos="3675" w:leader="none"/>
              </w:tabs>
              <w:spacing w:before="0" w:after="0"/>
              <w:ind w:left="0" w:hanging="0"/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- Закон Нижегородской области от 23 декабря 2014 №207-З «О перераспределении отдельных полномочий между органами местного самоуправления муниципальных образований Нижегородской области и органами государственной власти Нижегородской области»;</w:t>
            </w:r>
          </w:p>
          <w:p>
            <w:pPr>
              <w:pStyle w:val="Normal"/>
              <w:widowControl w:val="fals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 xml:space="preserve">- Документы территориального планирования р.п. Шаранга Шарангского муниципального района Нижегородской области </w:t>
            </w:r>
          </w:p>
          <w:p>
            <w:pPr>
              <w:pStyle w:val="Normal"/>
              <w:widowControl w:val="false"/>
              <w:spacing w:before="0" w:after="2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- Постановление Правительства РФ от 12.05.2017 N 564 (ред. от 25.04.2020) "Об утверждении Положения о составе и содержании проектов планировки территории, предусматривающих размещение одного или нескольких линейных объектов"</w:t>
            </w:r>
          </w:p>
        </w:tc>
      </w:tr>
      <w:tr>
        <w:trPr>
          <w:trHeight w:val="540" w:hRule="atLeast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5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Объект градостроительного планирования, его основные характеристики</w:t>
            </w: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right="142" w:hanging="0"/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cs="Arial" w:ascii="Arial" w:hAnsi="Arial"/>
                <w:iCs/>
                <w:sz w:val="20"/>
                <w:szCs w:val="20"/>
              </w:rPr>
            </w:r>
          </w:p>
        </w:tc>
      </w:tr>
      <w:tr>
        <w:trPr>
          <w:trHeight w:val="540" w:hRule="atLeast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5.1.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Адрес (местоположение) предполагаемого размещения линейного объекта</w:t>
            </w: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4305" w:leader="none"/>
              </w:tabs>
              <w:spacing w:before="0" w:after="200"/>
              <w:ind w:left="-35" w:hanging="0"/>
              <w:contextualSpacing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Нижегородская обл. Шарангский  район  р.п. Шаранга, ул. Фруктовая.</w:t>
            </w:r>
          </w:p>
        </w:tc>
      </w:tr>
      <w:tr>
        <w:trPr>
          <w:trHeight w:val="540" w:hRule="atLeast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5.2.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Площадь территории, га (ориентировочно)</w:t>
            </w: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1,5 га</w:t>
            </w:r>
          </w:p>
        </w:tc>
      </w:tr>
      <w:tr>
        <w:trPr>
          <w:trHeight w:val="540" w:hRule="atLeast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5.3.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 xml:space="preserve">Градостроительные регламенты </w:t>
            </w: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В соответствии со ст. 36 Градостроительного кодекса РФ действие градостроительного регламента не распространяется на земельные участки, предназначенные для размещения и (или) занятые линейными объектами</w:t>
            </w:r>
          </w:p>
        </w:tc>
      </w:tr>
      <w:tr>
        <w:trPr>
          <w:trHeight w:val="70" w:hRule="atLeast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6.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bCs/>
                <w:sz w:val="20"/>
                <w:szCs w:val="20"/>
              </w:rPr>
              <w:t>Основные требования к составу, содержанию и форме предоставляемых материалов градостроительной документации, сроки выполнения работы</w:t>
            </w: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ind w:right="142" w:hanging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Содержание всех разделов должно соответствовать требованиям Градостроительного  Кодекса и Положения о составе и содержании проектов планировки территории, предусматривающих размещение одного или нескольких линейных объектов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right="142" w:hanging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</w:tr>
      <w:tr>
        <w:trPr>
          <w:trHeight w:val="555" w:hRule="atLeast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6.1.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Основная (утверждаемая) часть</w:t>
            </w: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widowControl w:val="false"/>
              <w:numPr>
                <w:ilvl w:val="0"/>
                <w:numId w:val="2"/>
              </w:numPr>
              <w:tabs>
                <w:tab w:val="clear" w:pos="708"/>
                <w:tab w:val="left" w:pos="28" w:leader="none"/>
              </w:tabs>
              <w:spacing w:before="0" w:after="0"/>
              <w:ind w:left="28" w:hanging="0"/>
              <w:contextualSpacing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Проект планировки территории</w:t>
            </w:r>
          </w:p>
          <w:p>
            <w:pPr>
              <w:pStyle w:val="ListParagraph"/>
              <w:widowControl w:val="false"/>
              <w:tabs>
                <w:tab w:val="clear" w:pos="708"/>
                <w:tab w:val="left" w:pos="28" w:leader="none"/>
              </w:tabs>
              <w:spacing w:before="0" w:after="0"/>
              <w:ind w:left="28" w:hanging="0"/>
              <w:contextualSpacing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I. Графическая часть</w:t>
            </w:r>
          </w:p>
          <w:p>
            <w:pPr>
              <w:pStyle w:val="ListParagraph"/>
              <w:widowControl w:val="false"/>
              <w:tabs>
                <w:tab w:val="clear" w:pos="708"/>
                <w:tab w:val="left" w:pos="28" w:leader="none"/>
              </w:tabs>
              <w:spacing w:before="0" w:after="0"/>
              <w:ind w:left="28" w:hanging="0"/>
              <w:contextualSpacing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1.1.    Чертеж красных линий</w:t>
            </w:r>
          </w:p>
          <w:p>
            <w:pPr>
              <w:pStyle w:val="ListParagraph"/>
              <w:widowControl w:val="false"/>
              <w:tabs>
                <w:tab w:val="clear" w:pos="708"/>
                <w:tab w:val="left" w:pos="28" w:leader="none"/>
              </w:tabs>
              <w:spacing w:before="0" w:after="0"/>
              <w:ind w:left="28" w:hanging="0"/>
              <w:contextualSpacing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1.2. Чертеж границ зон планируемого размещения линейного объекта</w:t>
            </w:r>
          </w:p>
          <w:p>
            <w:pPr>
              <w:pStyle w:val="ListParagraph"/>
              <w:widowControl w:val="false"/>
              <w:tabs>
                <w:tab w:val="clear" w:pos="708"/>
                <w:tab w:val="left" w:pos="28" w:leader="none"/>
              </w:tabs>
              <w:spacing w:before="0" w:after="0"/>
              <w:ind w:left="28" w:hanging="0"/>
              <w:contextualSpacing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1.3. Чертеж границ зон планируемого размещения линейных объектов, подлежащих реконструкции в связи с изменением их местоположения</w:t>
            </w:r>
          </w:p>
          <w:p>
            <w:pPr>
              <w:pStyle w:val="ListParagraph"/>
              <w:widowControl w:val="false"/>
              <w:tabs>
                <w:tab w:val="clear" w:pos="708"/>
                <w:tab w:val="left" w:pos="28" w:leader="none"/>
              </w:tabs>
              <w:spacing w:before="0" w:after="0"/>
              <w:ind w:left="28" w:hanging="0"/>
              <w:contextualSpacing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Объединение нескольких чертежей допускается при условии обеспечения читаемости линий и условных обозначений графических материалов.</w:t>
            </w:r>
          </w:p>
          <w:p>
            <w:pPr>
              <w:pStyle w:val="ListParagraph"/>
              <w:widowControl w:val="false"/>
              <w:numPr>
                <w:ilvl w:val="0"/>
                <w:numId w:val="2"/>
              </w:numPr>
              <w:tabs>
                <w:tab w:val="clear" w:pos="708"/>
                <w:tab w:val="left" w:pos="28" w:leader="none"/>
              </w:tabs>
              <w:spacing w:before="0" w:after="0"/>
              <w:ind w:left="28" w:hanging="0"/>
              <w:contextualSpacing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Проект межевания территории</w:t>
            </w:r>
          </w:p>
          <w:p>
            <w:pPr>
              <w:pStyle w:val="ListParagraph"/>
              <w:widowControl w:val="false"/>
              <w:numPr>
                <w:ilvl w:val="1"/>
                <w:numId w:val="2"/>
              </w:numPr>
              <w:tabs>
                <w:tab w:val="clear" w:pos="708"/>
                <w:tab w:val="left" w:pos="28" w:leader="none"/>
                <w:tab w:val="left" w:pos="736" w:leader="none"/>
              </w:tabs>
              <w:spacing w:before="0" w:after="0"/>
              <w:ind w:left="28" w:hanging="0"/>
              <w:contextualSpacing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Чертеж межевания</w:t>
            </w:r>
          </w:p>
          <w:p>
            <w:pPr>
              <w:pStyle w:val="Normal"/>
              <w:widowControl w:val="fals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На чертежах межевания территории отображаются:</w:t>
            </w:r>
          </w:p>
          <w:p>
            <w:pPr>
              <w:pStyle w:val="Normal"/>
              <w:widowControl w:val="false"/>
              <w:ind w:firstLine="5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1) границы планируемых (в случае, если подготовка проекта межевания территории осуществляется в составе проекта планировки территории) и существующих элементов планировочной структуры;</w:t>
            </w:r>
          </w:p>
          <w:p>
            <w:pPr>
              <w:pStyle w:val="Normal"/>
              <w:widowControl w:val="false"/>
              <w:ind w:firstLine="5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2) красные линии, утвержденные в составе проекта планировки территории, или красные линии, утверждаемые, изменяемые проектом межевания территории;</w:t>
            </w:r>
          </w:p>
          <w:p>
            <w:pPr>
              <w:pStyle w:val="Normal"/>
              <w:widowControl w:val="false"/>
              <w:ind w:firstLine="5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3) линии отступа от красных линий в целях определения мест допустимого размещения зданий, строений, сооружений;</w:t>
            </w:r>
          </w:p>
          <w:p>
            <w:pPr>
              <w:pStyle w:val="Normal"/>
              <w:widowControl w:val="false"/>
              <w:ind w:firstLine="5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4) границы образуемых и (или) изменяемых земельных участков, условные номера образуемых земельных участков, в том числе в отношении которых предполагаются их резервирование и (или) изъятие для государственных или муниципальных нужд;</w:t>
            </w:r>
          </w:p>
          <w:p>
            <w:pPr>
              <w:pStyle w:val="Normal"/>
              <w:widowControl w:val="false"/>
              <w:ind w:firstLine="5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5) границы публичных сервитутов.</w:t>
            </w:r>
          </w:p>
          <w:p>
            <w:pPr>
              <w:pStyle w:val="ListParagraph"/>
              <w:widowControl w:val="false"/>
              <w:tabs>
                <w:tab w:val="clear" w:pos="708"/>
                <w:tab w:val="left" w:pos="28" w:leader="none"/>
                <w:tab w:val="left" w:pos="736" w:leader="none"/>
              </w:tabs>
              <w:spacing w:before="0" w:after="0"/>
              <w:ind w:left="28" w:hanging="0"/>
              <w:contextualSpacing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  <w:p>
            <w:pPr>
              <w:pStyle w:val="ListParagraph"/>
              <w:widowControl w:val="false"/>
              <w:tabs>
                <w:tab w:val="clear" w:pos="708"/>
                <w:tab w:val="left" w:pos="28" w:leader="none"/>
                <w:tab w:val="left" w:pos="736" w:leader="none"/>
              </w:tabs>
              <w:spacing w:before="0" w:after="0"/>
              <w:ind w:left="28" w:hanging="0"/>
              <w:contextualSpacing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II. Положение о размещении линейного объекта с указанием следующей информации:</w:t>
            </w:r>
          </w:p>
          <w:p>
            <w:pPr>
              <w:pStyle w:val="ConsPlusNormal"/>
              <w:widowControl w:val="false"/>
              <w:spacing w:before="240" w:after="0"/>
              <w:rPr/>
            </w:pPr>
            <w:r>
              <w:rPr/>
              <w:t>а) наименование, основные характеристики (категория, протяженность, проектная мощность, пропускная способность, грузонапряженность, интенсивность движения) и назначение планируемых для размещения линейных объектов, а также линейных объектов, подлежащих реконструкции в связи с изменением их местоположения;</w:t>
            </w:r>
          </w:p>
          <w:p>
            <w:pPr>
              <w:pStyle w:val="ConsPlusNormal"/>
              <w:widowControl w:val="false"/>
              <w:spacing w:before="240" w:after="0"/>
              <w:rPr/>
            </w:pPr>
            <w:r>
              <w:rPr/>
              <w:t>б) перечень субъектов Российской Федерации, перечень муниципальных районов, городских округов в составе субъектов Российской Федерации, перечень поселений, населенных пунктов, внутригородских территорий городов федерального значения, на территориях которых устанавливаются зоны планируемого размещения линейных объектов;</w:t>
            </w:r>
          </w:p>
          <w:p>
            <w:pPr>
              <w:pStyle w:val="ConsPlusNormal"/>
              <w:widowControl w:val="false"/>
              <w:spacing w:before="240" w:after="0"/>
              <w:rPr/>
            </w:pPr>
            <w:r>
              <w:rPr/>
              <w:t>в) перечень координат характерных точек границ зон планируемого размещения линейных объектов;</w:t>
            </w:r>
          </w:p>
          <w:p>
            <w:pPr>
              <w:pStyle w:val="ConsPlusNormal"/>
              <w:widowControl w:val="false"/>
              <w:spacing w:before="240" w:after="0"/>
              <w:rPr/>
            </w:pPr>
            <w:r>
              <w:rPr/>
              <w:t>г) перечень координат характерных точек границ зон планируемого размещения линейных объектов, подлежащих реконструкции в связи с изменением их местоположения;</w:t>
            </w:r>
          </w:p>
          <w:p>
            <w:pPr>
              <w:pStyle w:val="ConsPlusNormal"/>
              <w:widowControl w:val="false"/>
              <w:spacing w:before="240" w:after="0"/>
              <w:rPr/>
            </w:pPr>
            <w:r>
              <w:rPr/>
              <w:t>д) предельные параметры разрешенного строительства, реконструкции объектов капитального строительства, входящих в состав линейных объектов в границах зон их планируемого размещения:</w:t>
            </w:r>
          </w:p>
          <w:p>
            <w:pPr>
              <w:pStyle w:val="ConsPlusNormal"/>
              <w:widowControl w:val="false"/>
              <w:spacing w:before="240" w:after="0"/>
              <w:rPr/>
            </w:pPr>
            <w:r>
              <w:rPr/>
              <w:t>е) информация о необходимости осуществления мероприятий по защите сохраняемых объектов капитального строительства (здание, строение, сооружение, объекты, строительство которых не завершено), существующих и строящихся на момент подготовки проекта планировки территории, а также объектов капитального строительства, планируемых к строительству в соответствии с ранее утвержденной документацией по планировке территории, от возможного негативного воздействия в связи с размещением линейных объектов;</w:t>
            </w:r>
          </w:p>
          <w:p>
            <w:pPr>
              <w:pStyle w:val="ConsPlusNormal"/>
              <w:widowControl w:val="false"/>
              <w:spacing w:before="240" w:after="0"/>
              <w:rPr/>
            </w:pPr>
            <w:r>
              <w:rPr/>
              <w:t>ж) информация о необходимости осуществления мероприятий по сохранению объектов культурного наследия от возможного негативного воздействия в связи с размещением линейных объектов;</w:t>
            </w:r>
          </w:p>
          <w:p>
            <w:pPr>
              <w:pStyle w:val="ConsPlusNormal"/>
              <w:widowControl w:val="false"/>
              <w:spacing w:before="240" w:after="0"/>
              <w:rPr/>
            </w:pPr>
            <w:r>
              <w:rPr/>
              <w:t>з) информация о необходимости осуществления мероприятий по охране окружающей среды;</w:t>
            </w:r>
          </w:p>
          <w:p>
            <w:pPr>
              <w:pStyle w:val="ConsPlusNormal"/>
              <w:widowControl w:val="false"/>
              <w:spacing w:before="240" w:after="0"/>
              <w:rPr/>
            </w:pPr>
            <w:r>
              <w:rPr/>
              <w:t>и) информация о необходимости осуществления мероприятий по защите территории от чрезвычайных ситуаций природного и техногенного характера, в том числе по обеспечению пожарной безопасности и гражданской обороне.</w:t>
            </w:r>
          </w:p>
          <w:p>
            <w:pPr>
              <w:pStyle w:val="ConsPlusNormal"/>
              <w:widowControl w:val="false"/>
              <w:spacing w:before="240" w:after="0"/>
              <w:rPr/>
            </w:pPr>
            <w:r>
              <w:rPr/>
              <w:t>к) Перечень и сведения об образуемых земельных участках (условный номер участка, вид разрешенного использования, площадь, наличие зон действия публичных сервитутов (при необходимости), местоположение, категория земель)</w:t>
            </w:r>
          </w:p>
          <w:p>
            <w:pPr>
              <w:pStyle w:val="ConsPlusNormal"/>
              <w:widowControl w:val="false"/>
              <w:spacing w:before="240" w:after="0"/>
              <w:rPr/>
            </w:pPr>
            <w:r>
              <w:rPr/>
              <w:t>л) Перечень и сведения об образуемых земельных участках, которые будут отнесены к территориям общего пользования, в том числе в отношении которых предполагаются резервирование и (или) изъятие для государственных нужд.</w:t>
            </w:r>
          </w:p>
          <w:p>
            <w:pPr>
              <w:pStyle w:val="ConsPlusNormal"/>
              <w:widowControl w:val="false"/>
              <w:spacing w:before="240" w:after="0"/>
              <w:rPr/>
            </w:pPr>
            <w:r>
              <w:rPr/>
              <w:t>м) сведения о границах территории, в отношении которой утвержден проект межевания (зона планируемого размещения объекта проектирования), содержащие перечень координат характерных точек этих грани в системе координат, используемых для ведения Единого государственного реестра недвижимости, и изображение указанных грани с нумерацией характерных точек.</w:t>
            </w:r>
          </w:p>
          <w:p>
            <w:pPr>
              <w:pStyle w:val="ListParagraph"/>
              <w:widowControl w:val="false"/>
              <w:tabs>
                <w:tab w:val="clear" w:pos="708"/>
                <w:tab w:val="left" w:pos="28" w:leader="none"/>
                <w:tab w:val="left" w:pos="736" w:leader="none"/>
              </w:tabs>
              <w:spacing w:before="0" w:after="0"/>
              <w:contextualSpacing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</w:tr>
      <w:tr>
        <w:trPr>
          <w:trHeight w:val="555" w:hRule="atLeast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6.2.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right="142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Материалы по обоснованию</w:t>
            </w: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numPr>
                <w:ilvl w:val="0"/>
                <w:numId w:val="3"/>
              </w:numPr>
              <w:tabs>
                <w:tab w:val="clear" w:pos="708"/>
                <w:tab w:val="left" w:pos="311" w:leader="none"/>
                <w:tab w:val="left" w:pos="595" w:leader="none"/>
                <w:tab w:val="left" w:pos="4305" w:leader="none"/>
              </w:tabs>
              <w:spacing w:before="0" w:after="0"/>
              <w:ind w:left="28" w:right="142" w:hanging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Графическая часть</w:t>
            </w:r>
          </w:p>
          <w:p>
            <w:pPr>
              <w:pStyle w:val="ConsPlusNormal"/>
              <w:widowControl w:val="false"/>
              <w:numPr>
                <w:ilvl w:val="0"/>
                <w:numId w:val="4"/>
              </w:numPr>
              <w:tabs>
                <w:tab w:val="clear" w:pos="708"/>
                <w:tab w:val="left" w:pos="311" w:leader="none"/>
                <w:tab w:val="left" w:pos="878" w:leader="none"/>
              </w:tabs>
              <w:spacing w:before="240" w:after="0"/>
              <w:ind w:left="28" w:hanging="0"/>
              <w:rPr/>
            </w:pPr>
            <w:r>
              <w:rPr/>
              <w:t>схема расположения элементов планировочной структуры (территорий, занятых линейными объектами и (или) предназначенных для размещения линейных объектов);</w:t>
            </w:r>
          </w:p>
          <w:p>
            <w:pPr>
              <w:pStyle w:val="Normal"/>
              <w:widowControl w:val="false"/>
              <w:numPr>
                <w:ilvl w:val="0"/>
                <w:numId w:val="4"/>
              </w:numPr>
              <w:tabs>
                <w:tab w:val="clear" w:pos="708"/>
                <w:tab w:val="left" w:pos="311" w:leader="none"/>
                <w:tab w:val="left" w:pos="878" w:leader="none"/>
                <w:tab w:val="left" w:pos="3720" w:leader="none"/>
                <w:tab w:val="left" w:pos="4305" w:leader="none"/>
              </w:tabs>
              <w:spacing w:before="0" w:after="0"/>
              <w:ind w:left="28" w:right="142" w:hanging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схема использования территории в период подготовки проекта планировки территории</w:t>
            </w:r>
          </w:p>
          <w:p>
            <w:pPr>
              <w:pStyle w:val="Normal"/>
              <w:widowControl w:val="false"/>
              <w:numPr>
                <w:ilvl w:val="0"/>
                <w:numId w:val="4"/>
              </w:numPr>
              <w:tabs>
                <w:tab w:val="clear" w:pos="708"/>
                <w:tab w:val="left" w:pos="311" w:leader="none"/>
                <w:tab w:val="left" w:pos="878" w:leader="none"/>
                <w:tab w:val="left" w:pos="3720" w:leader="none"/>
                <w:tab w:val="left" w:pos="4305" w:leader="none"/>
              </w:tabs>
              <w:spacing w:before="0" w:after="0"/>
              <w:ind w:left="28" w:right="142" w:hanging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схема организации улично-дорожной сети и движения транспорта</w:t>
            </w:r>
          </w:p>
          <w:p>
            <w:pPr>
              <w:pStyle w:val="ConsPlusNormal"/>
              <w:widowControl w:val="false"/>
              <w:numPr>
                <w:ilvl w:val="0"/>
                <w:numId w:val="4"/>
              </w:numPr>
              <w:tabs>
                <w:tab w:val="clear" w:pos="708"/>
                <w:tab w:val="left" w:pos="311" w:leader="none"/>
                <w:tab w:val="left" w:pos="878" w:leader="none"/>
              </w:tabs>
              <w:spacing w:before="240" w:after="0"/>
              <w:ind w:left="28" w:hanging="0"/>
              <w:rPr/>
            </w:pPr>
            <w:r>
              <w:rPr/>
              <w:t xml:space="preserve"> </w:t>
            </w:r>
            <w:r>
              <w:rPr/>
              <w:t>схема вертикальной планировки территории, инженерной подготовки и инженерной защиты территории;</w:t>
            </w:r>
          </w:p>
          <w:p>
            <w:pPr>
              <w:pStyle w:val="ConsPlusNormal"/>
              <w:widowControl w:val="false"/>
              <w:numPr>
                <w:ilvl w:val="0"/>
                <w:numId w:val="4"/>
              </w:numPr>
              <w:tabs>
                <w:tab w:val="clear" w:pos="708"/>
                <w:tab w:val="left" w:pos="311" w:leader="none"/>
                <w:tab w:val="left" w:pos="878" w:leader="none"/>
              </w:tabs>
              <w:spacing w:before="240" w:after="0"/>
              <w:ind w:left="28" w:hanging="0"/>
              <w:rPr/>
            </w:pPr>
            <w:r>
              <w:rPr/>
              <w:t>схема границ территорий объектов культурного наследия;</w:t>
            </w:r>
          </w:p>
          <w:p>
            <w:pPr>
              <w:pStyle w:val="ConsPlusNormal"/>
              <w:widowControl w:val="false"/>
              <w:numPr>
                <w:ilvl w:val="0"/>
                <w:numId w:val="4"/>
              </w:numPr>
              <w:tabs>
                <w:tab w:val="clear" w:pos="708"/>
                <w:tab w:val="left" w:pos="311" w:leader="none"/>
                <w:tab w:val="left" w:pos="878" w:leader="none"/>
              </w:tabs>
              <w:spacing w:before="240" w:after="0"/>
              <w:ind w:left="28" w:hanging="0"/>
              <w:rPr/>
            </w:pPr>
            <w:r>
              <w:rPr/>
              <w:t xml:space="preserve"> </w:t>
            </w:r>
            <w:r>
              <w:rPr/>
              <w:t>схема границ зон с особыми условиями использования территорий, особо охраняемых природных территорий, лесничеств;</w:t>
            </w:r>
          </w:p>
          <w:p>
            <w:pPr>
              <w:pStyle w:val="Normal"/>
              <w:widowControl w:val="false"/>
              <w:numPr>
                <w:ilvl w:val="0"/>
                <w:numId w:val="4"/>
              </w:numPr>
              <w:tabs>
                <w:tab w:val="clear" w:pos="708"/>
                <w:tab w:val="left" w:pos="311" w:leader="none"/>
                <w:tab w:val="left" w:pos="878" w:leader="none"/>
                <w:tab w:val="left" w:pos="3720" w:leader="none"/>
                <w:tab w:val="left" w:pos="4305" w:leader="none"/>
              </w:tabs>
              <w:spacing w:before="0" w:after="0"/>
              <w:ind w:left="28" w:right="142" w:hanging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схема границ территорий, подверженных риску возникновения чрезвычайных ситуаций природного и техногенного характера (пожар, взрыв, химическое, радиоактивное заражение, затопление, подтопление, оползень, карсты, эрозия и т.д.);</w:t>
            </w:r>
          </w:p>
          <w:p>
            <w:pPr>
              <w:pStyle w:val="ConsPlusNormal"/>
              <w:widowControl w:val="false"/>
              <w:numPr>
                <w:ilvl w:val="0"/>
                <w:numId w:val="4"/>
              </w:numPr>
              <w:tabs>
                <w:tab w:val="clear" w:pos="708"/>
                <w:tab w:val="left" w:pos="311" w:leader="none"/>
                <w:tab w:val="left" w:pos="878" w:leader="none"/>
              </w:tabs>
              <w:spacing w:before="240" w:after="0"/>
              <w:ind w:left="28" w:hanging="0"/>
              <w:rPr/>
            </w:pPr>
            <w:r>
              <w:rPr/>
              <w:t>схема конструктивных и планировочных решений.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311" w:leader="none"/>
                <w:tab w:val="left" w:pos="3720" w:leader="none"/>
                <w:tab w:val="left" w:pos="4305" w:leader="none"/>
              </w:tabs>
              <w:ind w:left="28"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Чертежи в составе проекта планировки и межевания территории должны содержать описание всех использованных условных обозначений</w:t>
            </w:r>
          </w:p>
          <w:p>
            <w:pPr>
              <w:pStyle w:val="Normal"/>
              <w:widowControl w:val="false"/>
              <w:numPr>
                <w:ilvl w:val="0"/>
                <w:numId w:val="3"/>
              </w:numPr>
              <w:tabs>
                <w:tab w:val="clear" w:pos="708"/>
                <w:tab w:val="left" w:pos="311" w:leader="none"/>
                <w:tab w:val="left" w:pos="595" w:leader="none"/>
                <w:tab w:val="left" w:pos="4305" w:leader="none"/>
              </w:tabs>
              <w:spacing w:before="0" w:after="0"/>
              <w:ind w:left="28" w:right="142" w:hanging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Пояснительная записка</w:t>
            </w:r>
          </w:p>
          <w:p>
            <w:pPr>
              <w:pStyle w:val="ConsPlusNormal"/>
              <w:widowControl w:val="false"/>
              <w:numPr>
                <w:ilvl w:val="0"/>
                <w:numId w:val="5"/>
              </w:numPr>
              <w:tabs>
                <w:tab w:val="clear" w:pos="708"/>
                <w:tab w:val="left" w:pos="311" w:leader="none"/>
              </w:tabs>
              <w:spacing w:before="240" w:after="0"/>
              <w:ind w:left="28" w:hanging="0"/>
              <w:rPr/>
            </w:pPr>
            <w:r>
              <w:rPr/>
              <w:t>описание природно-климатических условий территории, в отношении которой разрабатывается проект планировки территории;</w:t>
            </w:r>
          </w:p>
          <w:p>
            <w:pPr>
              <w:pStyle w:val="ConsPlusNormal"/>
              <w:widowControl w:val="false"/>
              <w:numPr>
                <w:ilvl w:val="0"/>
                <w:numId w:val="5"/>
              </w:numPr>
              <w:tabs>
                <w:tab w:val="clear" w:pos="708"/>
                <w:tab w:val="left" w:pos="311" w:leader="none"/>
              </w:tabs>
              <w:spacing w:before="240" w:after="0"/>
              <w:ind w:left="28" w:hanging="0"/>
              <w:rPr/>
            </w:pPr>
            <w:r>
              <w:rPr/>
              <w:t xml:space="preserve"> </w:t>
            </w:r>
            <w:r>
              <w:rPr/>
              <w:t>информация о необходимости установления (изменения) красных линий</w:t>
            </w:r>
          </w:p>
          <w:p>
            <w:pPr>
              <w:pStyle w:val="ConsPlusNormal"/>
              <w:widowControl w:val="false"/>
              <w:numPr>
                <w:ilvl w:val="0"/>
                <w:numId w:val="5"/>
              </w:numPr>
              <w:tabs>
                <w:tab w:val="clear" w:pos="708"/>
                <w:tab w:val="left" w:pos="311" w:leader="none"/>
              </w:tabs>
              <w:spacing w:before="240" w:after="0"/>
              <w:ind w:left="28" w:hanging="0"/>
              <w:rPr/>
            </w:pPr>
            <w:r>
              <w:rPr/>
              <w:t>обоснование определения границ зон планируемого размещения линейных объектов;</w:t>
            </w:r>
          </w:p>
          <w:p>
            <w:pPr>
              <w:pStyle w:val="ConsPlusNormal"/>
              <w:widowControl w:val="false"/>
              <w:numPr>
                <w:ilvl w:val="0"/>
                <w:numId w:val="5"/>
              </w:numPr>
              <w:tabs>
                <w:tab w:val="clear" w:pos="708"/>
                <w:tab w:val="left" w:pos="311" w:leader="none"/>
              </w:tabs>
              <w:spacing w:before="240" w:after="0"/>
              <w:ind w:left="28" w:hanging="0"/>
              <w:rPr/>
            </w:pPr>
            <w:r>
              <w:rPr/>
              <w:t>обоснование определения границ зон планируемого размещения линейных объектов, подлежащих реконструкции в связи с изменением их местоположения;</w:t>
            </w:r>
          </w:p>
          <w:p>
            <w:pPr>
              <w:pStyle w:val="ConsPlusNormal"/>
              <w:widowControl w:val="false"/>
              <w:numPr>
                <w:ilvl w:val="0"/>
                <w:numId w:val="5"/>
              </w:numPr>
              <w:tabs>
                <w:tab w:val="clear" w:pos="708"/>
                <w:tab w:val="left" w:pos="311" w:leader="none"/>
              </w:tabs>
              <w:spacing w:before="240" w:after="0"/>
              <w:ind w:left="28" w:hanging="0"/>
              <w:rPr/>
            </w:pPr>
            <w:r>
              <w:rPr/>
              <w:t>обоснование определения предельных параметров застройки территории в границах зон планируемого размещения объектов капитального строительства, проектируемых в составе линейных объектов;</w:t>
            </w:r>
          </w:p>
          <w:p>
            <w:pPr>
              <w:pStyle w:val="ConsPlusNormal"/>
              <w:widowControl w:val="false"/>
              <w:numPr>
                <w:ilvl w:val="0"/>
                <w:numId w:val="5"/>
              </w:numPr>
              <w:tabs>
                <w:tab w:val="clear" w:pos="708"/>
                <w:tab w:val="left" w:pos="311" w:leader="none"/>
              </w:tabs>
              <w:spacing w:before="240" w:after="0"/>
              <w:ind w:left="28" w:hanging="0"/>
              <w:rPr/>
            </w:pPr>
            <w:r>
              <w:rPr/>
              <w:t>ведомость пересечений границ зон планируемого размещения линейного объекта (объектов) с сохраняемыми объектами капитального строительства (здание, строение, сооружение, объект, строительство которого не завершено), существующими и строящимися на момент подготовки проекта планировки территории;</w:t>
            </w:r>
          </w:p>
          <w:p>
            <w:pPr>
              <w:pStyle w:val="ConsPlusNormal"/>
              <w:widowControl w:val="false"/>
              <w:numPr>
                <w:ilvl w:val="0"/>
                <w:numId w:val="5"/>
              </w:numPr>
              <w:tabs>
                <w:tab w:val="clear" w:pos="708"/>
                <w:tab w:val="left" w:pos="311" w:leader="none"/>
              </w:tabs>
              <w:spacing w:before="240" w:after="0"/>
              <w:ind w:left="28" w:hanging="0"/>
              <w:rPr/>
            </w:pPr>
            <w:r>
              <w:rPr/>
              <w:t>ведомость пересечений границ зон планируемого размещения линейного объекта (объектов) с объектами капитального строительства, строительство которых запланировано в соответствии с ранее утвержденной документацией по планировке территории;</w:t>
            </w:r>
          </w:p>
          <w:p>
            <w:pPr>
              <w:pStyle w:val="ConsPlusNormal"/>
              <w:widowControl w:val="false"/>
              <w:numPr>
                <w:ilvl w:val="0"/>
                <w:numId w:val="5"/>
              </w:numPr>
              <w:tabs>
                <w:tab w:val="clear" w:pos="708"/>
                <w:tab w:val="left" w:pos="311" w:leader="none"/>
              </w:tabs>
              <w:spacing w:before="240" w:after="0"/>
              <w:ind w:left="28" w:hanging="0"/>
              <w:rPr/>
            </w:pPr>
            <w:r>
              <w:rPr/>
              <w:t>ведомость пересечений границ зон планируемого размещения линейного объекта (объектов) с водными объектами (в том числе с водотоками, водоемами, болотами и т.д.).</w:t>
            </w:r>
          </w:p>
          <w:p>
            <w:pPr>
              <w:pStyle w:val="ConsPlusNormal"/>
              <w:widowControl w:val="false"/>
              <w:numPr>
                <w:ilvl w:val="0"/>
                <w:numId w:val="5"/>
              </w:numPr>
              <w:tabs>
                <w:tab w:val="clear" w:pos="708"/>
                <w:tab w:val="left" w:pos="311" w:leader="none"/>
              </w:tabs>
              <w:spacing w:before="240" w:after="0"/>
              <w:ind w:left="28" w:hanging="0"/>
              <w:rPr/>
            </w:pPr>
            <w:r>
              <w:rPr/>
              <w:t xml:space="preserve"> </w:t>
            </w:r>
            <w:r>
              <w:rPr/>
              <w:t>информация о наличии объектов культурного наследия (при необходимости)</w:t>
            </w:r>
          </w:p>
          <w:p>
            <w:pPr>
              <w:pStyle w:val="ConsPlusNormal"/>
              <w:widowControl w:val="false"/>
              <w:numPr>
                <w:ilvl w:val="0"/>
                <w:numId w:val="5"/>
              </w:numPr>
              <w:tabs>
                <w:tab w:val="clear" w:pos="708"/>
                <w:tab w:val="left" w:pos="311" w:leader="none"/>
              </w:tabs>
              <w:spacing w:before="240" w:after="0"/>
              <w:ind w:left="28" w:hanging="0"/>
              <w:rPr/>
            </w:pPr>
            <w:r>
              <w:rPr/>
              <w:t>Сведения по образуемым и изменяемым земельным участкам</w:t>
            </w:r>
          </w:p>
          <w:p>
            <w:pPr>
              <w:pStyle w:val="ConsPlusNormal"/>
              <w:widowControl w:val="false"/>
              <w:numPr>
                <w:ilvl w:val="0"/>
                <w:numId w:val="3"/>
              </w:numPr>
              <w:tabs>
                <w:tab w:val="clear" w:pos="708"/>
                <w:tab w:val="left" w:pos="311" w:leader="none"/>
              </w:tabs>
              <w:spacing w:before="240" w:after="0"/>
              <w:ind w:left="28" w:hanging="0"/>
              <w:rPr/>
            </w:pPr>
            <w:r>
              <w:rPr/>
              <w:t>Исходные данные</w:t>
            </w:r>
          </w:p>
          <w:p>
            <w:pPr>
              <w:pStyle w:val="ConsPlusNormal"/>
              <w:widowControl w:val="false"/>
              <w:numPr>
                <w:ilvl w:val="0"/>
                <w:numId w:val="6"/>
              </w:numPr>
              <w:tabs>
                <w:tab w:val="clear" w:pos="708"/>
                <w:tab w:val="left" w:pos="311" w:leader="none"/>
              </w:tabs>
              <w:spacing w:before="240" w:after="0"/>
              <w:ind w:left="28" w:hanging="0"/>
              <w:rPr/>
            </w:pPr>
            <w:r>
              <w:rPr/>
              <w:t>Материалы и результаты инженерных изысканий, используемые при подготовке документации по планировке территории</w:t>
            </w:r>
          </w:p>
          <w:p>
            <w:pPr>
              <w:pStyle w:val="ConsPlusNormal"/>
              <w:widowControl w:val="false"/>
              <w:tabs>
                <w:tab w:val="clear" w:pos="708"/>
                <w:tab w:val="left" w:pos="311" w:leader="none"/>
              </w:tabs>
              <w:spacing w:before="240" w:after="0"/>
              <w:ind w:left="28" w:hanging="0"/>
              <w:rPr/>
            </w:pPr>
            <w:r>
              <w:rPr/>
              <w:t>2. программа и задание на проведение инженерных изысканий, используемые при подготовке проекта планировки территории;</w:t>
            </w:r>
          </w:p>
          <w:p>
            <w:pPr>
              <w:pStyle w:val="ConsPlusNormal"/>
              <w:widowControl w:val="false"/>
              <w:tabs>
                <w:tab w:val="clear" w:pos="708"/>
                <w:tab w:val="left" w:pos="311" w:leader="none"/>
              </w:tabs>
              <w:spacing w:before="240" w:after="0"/>
              <w:ind w:left="28" w:hanging="0"/>
              <w:rPr/>
            </w:pPr>
            <w:r>
              <w:rPr/>
              <w:t>3. исходные данные, используемые при подготовке проекта планировки территории;</w:t>
            </w:r>
          </w:p>
          <w:p>
            <w:pPr>
              <w:pStyle w:val="ConsPlusNormal"/>
              <w:widowControl w:val="false"/>
              <w:numPr>
                <w:ilvl w:val="0"/>
                <w:numId w:val="7"/>
              </w:numPr>
              <w:tabs>
                <w:tab w:val="clear" w:pos="708"/>
                <w:tab w:val="left" w:pos="311" w:leader="none"/>
              </w:tabs>
              <w:spacing w:before="240" w:after="0"/>
              <w:ind w:left="28" w:hanging="0"/>
              <w:rPr/>
            </w:pPr>
            <w:r>
              <w:rPr/>
              <w:t>решение о подготовке документации по планировке территории с приложением задания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311" w:leader="none"/>
                <w:tab w:val="left" w:pos="595" w:leader="none"/>
                <w:tab w:val="left" w:pos="4305" w:leader="none"/>
              </w:tabs>
              <w:spacing w:before="0" w:after="200"/>
              <w:ind w:left="28"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</w:tr>
      <w:tr>
        <w:trPr>
          <w:trHeight w:val="555" w:hRule="atLeast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6.3.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right="142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Согласование документации по планировке территории</w:t>
            </w: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31"/>
              <w:widowControl w:val="false"/>
              <w:spacing w:lineRule="auto" w:line="240"/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 xml:space="preserve">Результатом согласования по планировке территории является письмо администрации </w:t>
            </w:r>
            <w:r>
              <w:rPr>
                <w:rFonts w:cs="Arial" w:ascii="Arial" w:hAnsi="Arial"/>
                <w:iCs/>
                <w:sz w:val="20"/>
                <w:szCs w:val="20"/>
              </w:rPr>
              <w:t>р.п. Шаранга Шарангского муниципального района Нижегородской области о соответствии документации по планировке территории требованиям, указанным в части 10 статьи 45 Градостроительного кодекса РФ.</w:t>
            </w:r>
          </w:p>
          <w:p>
            <w:pPr>
              <w:pStyle w:val="Style131"/>
              <w:widowControl w:val="false"/>
              <w:spacing w:lineRule="auto" w:line="240"/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cs="Arial" w:ascii="Arial" w:hAnsi="Arial"/>
                <w:iCs/>
                <w:sz w:val="20"/>
                <w:szCs w:val="20"/>
              </w:rPr>
              <w:t>При необходимости документация по планировке территории может быть направлена на дополнительные согласования.</w:t>
            </w:r>
          </w:p>
          <w:p>
            <w:pPr>
              <w:pStyle w:val="Style131"/>
              <w:widowControl w:val="false"/>
              <w:spacing w:lineRule="auto" w:line="2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iCs/>
                <w:sz w:val="20"/>
                <w:szCs w:val="20"/>
              </w:rPr>
              <w:t>Примечание: По усмотрению разработчика проекта и по согласованию с заказчиком возможно совмещение и выполнение дополнительных разделов, чертежей, схем.</w:t>
            </w:r>
          </w:p>
        </w:tc>
      </w:tr>
      <w:tr>
        <w:trPr>
          <w:trHeight w:val="555" w:hRule="atLeast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6.4.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right="142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Требования к оформлению документации по планировке территории</w:t>
            </w: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</w:tr>
      <w:tr>
        <w:trPr>
          <w:trHeight w:val="555" w:hRule="atLeast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6.4.1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right="142" w:hanging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К бумажному виду документации предъявляются следующие требования</w:t>
            </w: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Графическая часть документации по планировке территории выполняется на цифровом топографическим плане в системе координат  МСК-52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Чертежи выполняются в масштабе от М 1:500 до М 1:2000. Выбор масштаба определяется видимостью и читаемостью графического материала.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</w:tr>
      <w:tr>
        <w:trPr>
          <w:trHeight w:val="555" w:hRule="atLeast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6.4.2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right="142" w:hanging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К электронному виду проекта предъявляются следующие требования</w:t>
            </w: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 xml:space="preserve">- чертежи и схемы предоставляются в виде форматов   </w:t>
            </w:r>
            <w:r>
              <w:rPr>
                <w:rFonts w:cs="Arial" w:ascii="Arial" w:hAnsi="Arial"/>
                <w:sz w:val="20"/>
                <w:szCs w:val="20"/>
                <w:lang w:val="en-US"/>
              </w:rPr>
              <w:t>DWG</w:t>
            </w:r>
            <w:r>
              <w:rPr>
                <w:rFonts w:cs="Arial" w:ascii="Arial" w:hAnsi="Arial"/>
                <w:sz w:val="20"/>
                <w:szCs w:val="20"/>
              </w:rPr>
              <w:t xml:space="preserve"> (</w:t>
            </w:r>
            <w:r>
              <w:rPr>
                <w:rFonts w:cs="Arial" w:ascii="Arial" w:hAnsi="Arial"/>
                <w:sz w:val="20"/>
                <w:szCs w:val="20"/>
                <w:lang w:val="en-US"/>
              </w:rPr>
              <w:t>PLN</w:t>
            </w:r>
            <w:r>
              <w:rPr>
                <w:rFonts w:cs="Arial" w:ascii="Arial" w:hAnsi="Arial"/>
                <w:sz w:val="20"/>
                <w:szCs w:val="20"/>
              </w:rPr>
              <w:t>), PDF;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 xml:space="preserve">- пояснительная записка в форматах </w:t>
            </w:r>
            <w:r>
              <w:rPr>
                <w:rFonts w:cs="Arial" w:ascii="Arial" w:hAnsi="Arial"/>
                <w:sz w:val="20"/>
                <w:szCs w:val="20"/>
                <w:lang w:val="en-US"/>
              </w:rPr>
              <w:t>docx</w:t>
            </w:r>
            <w:r>
              <w:rPr>
                <w:rFonts w:cs="Arial" w:ascii="Arial" w:hAnsi="Arial"/>
                <w:sz w:val="20"/>
                <w:szCs w:val="20"/>
              </w:rPr>
              <w:t xml:space="preserve">, </w:t>
            </w:r>
            <w:r>
              <w:rPr>
                <w:rFonts w:cs="Arial" w:ascii="Arial" w:hAnsi="Arial"/>
                <w:sz w:val="20"/>
                <w:szCs w:val="20"/>
                <w:lang w:val="en-US"/>
              </w:rPr>
              <w:t>pdf</w:t>
            </w:r>
            <w:r>
              <w:rPr>
                <w:rFonts w:cs="Arial" w:ascii="Arial" w:hAnsi="Arial"/>
                <w:sz w:val="20"/>
                <w:szCs w:val="20"/>
              </w:rPr>
              <w:t>;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 xml:space="preserve">- перечень координат характерных точек границ зон планируемого размещения объекта предоставляются в виде таблицы в формате </w:t>
            </w:r>
            <w:r>
              <w:rPr>
                <w:rFonts w:cs="Arial" w:ascii="Arial" w:hAnsi="Arial"/>
                <w:sz w:val="20"/>
                <w:szCs w:val="20"/>
                <w:lang w:val="en-US"/>
              </w:rPr>
              <w:t>docx</w:t>
            </w:r>
            <w:r>
              <w:rPr>
                <w:rFonts w:cs="Arial" w:ascii="Arial" w:hAnsi="Arial"/>
                <w:sz w:val="20"/>
                <w:szCs w:val="20"/>
              </w:rPr>
              <w:t xml:space="preserve">, </w:t>
            </w:r>
            <w:r>
              <w:rPr>
                <w:rFonts w:cs="Arial" w:ascii="Arial" w:hAnsi="Arial"/>
                <w:sz w:val="20"/>
                <w:szCs w:val="20"/>
                <w:lang w:val="en-US"/>
              </w:rPr>
              <w:t>pdf</w:t>
            </w:r>
            <w:r>
              <w:rPr>
                <w:rFonts w:cs="Arial" w:ascii="Arial" w:hAnsi="Arial"/>
                <w:sz w:val="20"/>
                <w:szCs w:val="20"/>
              </w:rPr>
              <w:t>, нумерация характерных точек должна быть представлена по порядку с разбивкой на контуры, координаты первой и последней точки замкнутого контура должны совпадать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 xml:space="preserve">- перечень координат характерных точек границ зон планируемых размещения объектов, подлежащих реконструкции в связи с изменением их местоположения предоставляются в виде таблицы в формате </w:t>
            </w:r>
            <w:r>
              <w:rPr>
                <w:rFonts w:cs="Arial" w:ascii="Arial" w:hAnsi="Arial"/>
                <w:sz w:val="20"/>
                <w:szCs w:val="20"/>
                <w:lang w:val="en-US"/>
              </w:rPr>
              <w:t>docx</w:t>
            </w:r>
            <w:r>
              <w:rPr>
                <w:rFonts w:cs="Arial" w:ascii="Arial" w:hAnsi="Arial"/>
                <w:sz w:val="20"/>
                <w:szCs w:val="20"/>
              </w:rPr>
              <w:t xml:space="preserve">, </w:t>
            </w:r>
            <w:r>
              <w:rPr>
                <w:rFonts w:cs="Arial" w:ascii="Arial" w:hAnsi="Arial"/>
                <w:sz w:val="20"/>
                <w:szCs w:val="20"/>
                <w:lang w:val="en-US"/>
              </w:rPr>
              <w:t>pdf</w:t>
            </w:r>
            <w:r>
              <w:rPr>
                <w:rFonts w:cs="Arial" w:ascii="Arial" w:hAnsi="Arial"/>
                <w:sz w:val="20"/>
                <w:szCs w:val="20"/>
              </w:rPr>
              <w:t>, нумерация характерных точек должна быть представлена по порядку с разбивкой на контуры, координаты первой и последней точки замкнутого контура должны совпадать;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Формат чертежей, схем и текстовых материалов должен соответствовать требованиям, предъявляемым к документам, размещаемым в ГИСОГД НО и ФГИС ТП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</w:tr>
      <w:tr>
        <w:trPr>
          <w:trHeight w:val="555" w:hRule="atLeast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7.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right="142" w:hanging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Состав, исполнители, сроки и порядок предоставления исходной информации для подготовки документации по планировке территории</w:t>
            </w: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До начала проектирования получить: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- технические условия на строительство/реконструкцию линейного объекта;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- информацию о земельных участках, предоставленных физическим и юридическим лицам в границах разработки проекта – (в филиале ФГБУ «ФКП Росреестра» по Нижегородской области;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- информацию об ограничениях использования земельных участков и иных объектов недвижимости, расположенных в пределах зон с особыми условиями использования территории;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 xml:space="preserve">Топографическую съемку М 1:500 </w:t>
            </w:r>
          </w:p>
        </w:tc>
      </w:tr>
      <w:tr>
        <w:trPr>
          <w:trHeight w:val="555" w:hRule="atLeast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8.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right="142" w:hanging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</w:tr>
    </w:tbl>
    <w:p>
      <w:pPr>
        <w:pStyle w:val="Normal"/>
        <w:spacing w:before="0" w:after="0"/>
        <w:ind w:left="-360" w:hanging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before="0" w:after="0"/>
        <w:ind w:left="-360" w:hanging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   </w:t>
      </w:r>
    </w:p>
    <w:p>
      <w:pPr>
        <w:pStyle w:val="Normal"/>
        <w:spacing w:before="0" w:after="0"/>
        <w:ind w:left="-360" w:hanging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before="0" w:after="0"/>
        <w:ind w:left="-360" w:hanging="0"/>
        <w:rPr>
          <w:rFonts w:ascii="Arial" w:hAnsi="Arial" w:cs="Arial"/>
          <w:b/>
          <w:b/>
          <w:bCs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                         </w:t>
      </w:r>
      <w:r>
        <w:rPr>
          <w:rFonts w:cs="Arial" w:ascii="Arial" w:hAnsi="Arial"/>
          <w:b/>
          <w:bCs/>
          <w:sz w:val="20"/>
          <w:szCs w:val="20"/>
        </w:rPr>
        <w:t xml:space="preserve">   </w:t>
      </w:r>
      <w:r>
        <w:rPr>
          <w:rFonts w:cs="Arial" w:ascii="Arial" w:hAnsi="Arial"/>
          <w:b/>
          <w:bCs/>
          <w:sz w:val="20"/>
          <w:szCs w:val="20"/>
        </w:rPr>
        <w:tab/>
      </w:r>
    </w:p>
    <w:tbl>
      <w:tblPr>
        <w:tblW w:w="10348" w:type="dxa"/>
        <w:jc w:val="left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3827"/>
        <w:gridCol w:w="1985"/>
        <w:gridCol w:w="2126"/>
        <w:gridCol w:w="2409"/>
      </w:tblGrid>
      <w:tr>
        <w:trPr/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Фамилия, имя, отчество получателя – представителя застройщика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Должность, номер телефона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Дата получения задания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Подпись получателя</w:t>
            </w:r>
          </w:p>
        </w:tc>
      </w:tr>
      <w:tr>
        <w:trPr/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</w:tr>
    </w:tbl>
    <w:p>
      <w:pPr>
        <w:pStyle w:val="Normal"/>
        <w:spacing w:before="0" w:after="0"/>
        <w:ind w:left="-360" w:hanging="0"/>
        <w:rPr>
          <w:rFonts w:ascii="Arial" w:hAnsi="Arial" w:cs="Arial"/>
          <w:b/>
          <w:b/>
          <w:bCs/>
          <w:sz w:val="20"/>
          <w:szCs w:val="20"/>
        </w:rPr>
      </w:pPr>
      <w:r>
        <w:rPr>
          <w:rFonts w:cs="Arial" w:ascii="Arial" w:hAnsi="Arial"/>
          <w:b/>
          <w:bCs/>
          <w:sz w:val="20"/>
          <w:szCs w:val="20"/>
        </w:rPr>
        <w:tab/>
      </w:r>
    </w:p>
    <w:p>
      <w:pPr>
        <w:pStyle w:val="Normal"/>
        <w:spacing w:before="0" w:after="0"/>
        <w:ind w:left="-360" w:hanging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b/>
          <w:bCs/>
          <w:sz w:val="20"/>
          <w:szCs w:val="20"/>
        </w:rPr>
        <w:tab/>
        <w:tab/>
        <w:tab/>
        <w:t xml:space="preserve">     </w:t>
      </w:r>
      <w:r>
        <w:rPr>
          <w:rFonts w:cs="Arial" w:ascii="Arial" w:hAnsi="Arial"/>
          <w:sz w:val="20"/>
          <w:szCs w:val="20"/>
        </w:rPr>
        <w:t xml:space="preserve">                                                                                                        </w:t>
      </w:r>
    </w:p>
    <w:p>
      <w:pPr>
        <w:pStyle w:val="Normal"/>
        <w:spacing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                                                                     </w:t>
      </w:r>
    </w:p>
    <w:p>
      <w:pPr>
        <w:pStyle w:val="Normal"/>
        <w:spacing w:before="0" w:after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before="0" w:after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before="0" w:after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before="0" w:after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before="0" w:after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before="0" w:after="0"/>
        <w:jc w:val="center"/>
        <w:rPr>
          <w:rFonts w:ascii="Arial" w:hAnsi="Arial" w:cs="Arial"/>
          <w:sz w:val="20"/>
          <w:szCs w:val="20"/>
        </w:rPr>
      </w:pPr>
      <w:r>
        <w:rPr/>
      </w:r>
    </w:p>
    <w:sectPr>
      <w:type w:val="nextPage"/>
      <w:pgSz w:w="11906" w:h="16838"/>
      <w:pgMar w:left="1134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1440" w:hanging="72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80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520" w:hanging="108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8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360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96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468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5400" w:hanging="216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</w:lvl>
  </w:abstractNum>
  <w:abstractNum w:abstractNumId="3"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  <w:rPr>
        <w:color w:val="00000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0"/>
        </w:tabs>
        <w:ind w:left="90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62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34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0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78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5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2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4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60" w:hanging="180"/>
      </w:pPr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0"/>
        </w:tabs>
        <w:ind w:left="90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62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34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0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78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5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2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4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60" w:hanging="180"/>
      </w:pPr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">
    <w:lvl w:ilvl="0">
      <w:start w:val="4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0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00ae0"/>
    <w:pPr>
      <w:widowControl/>
      <w:bidi w:val="0"/>
      <w:spacing w:lineRule="auto" w:line="240" w:before="0" w:after="200"/>
      <w:jc w:val="both"/>
    </w:pPr>
    <w:rPr>
      <w:rFonts w:ascii="Times New Roman" w:hAnsi="Times New Roman" w:cs="Times New Roman" w:eastAsia="Calibri" w:eastAsiaTheme="minorHAnsi"/>
      <w:color w:val="auto"/>
      <w:kern w:val="0"/>
      <w:sz w:val="28"/>
      <w:szCs w:val="28"/>
      <w:lang w:val="ru-RU" w:eastAsia="en-US" w:bidi="ar-SA"/>
    </w:rPr>
  </w:style>
  <w:style w:type="paragraph" w:styleId="1">
    <w:name w:val="Heading 1"/>
    <w:basedOn w:val="Normal"/>
    <w:next w:val="Normal"/>
    <w:link w:val="10"/>
    <w:qFormat/>
    <w:rsid w:val="001e3020"/>
    <w:pPr>
      <w:keepNext w:val="true"/>
      <w:spacing w:lineRule="auto" w:line="216" w:before="40" w:after="0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3" w:customStyle="1">
    <w:name w:val="Основной текст Знак"/>
    <w:basedOn w:val="DefaultParagraphFont"/>
    <w:link w:val="a4"/>
    <w:uiPriority w:val="99"/>
    <w:qFormat/>
    <w:rsid w:val="00706d98"/>
    <w:rPr>
      <w:rFonts w:ascii="Times New Roman" w:hAnsi="Times New Roman" w:eastAsia="Times New Roman" w:cs="Times New Roman"/>
      <w:sz w:val="24"/>
      <w:szCs w:val="20"/>
      <w:lang w:eastAsia="ru-RU"/>
    </w:rPr>
  </w:style>
  <w:style w:type="character" w:styleId="Style14" w:customStyle="1">
    <w:name w:val="Текст выноски Знак"/>
    <w:basedOn w:val="DefaultParagraphFont"/>
    <w:link w:val="a6"/>
    <w:uiPriority w:val="99"/>
    <w:semiHidden/>
    <w:qFormat/>
    <w:rsid w:val="001e3020"/>
    <w:rPr>
      <w:rFonts w:ascii="Tahoma" w:hAnsi="Tahoma" w:cs="Tahoma"/>
      <w:sz w:val="16"/>
      <w:szCs w:val="16"/>
    </w:rPr>
  </w:style>
  <w:style w:type="character" w:styleId="11" w:customStyle="1">
    <w:name w:val="Заголовок 1 Знак"/>
    <w:basedOn w:val="DefaultParagraphFont"/>
    <w:link w:val="1"/>
    <w:qFormat/>
    <w:rsid w:val="001e3020"/>
    <w:rPr>
      <w:rFonts w:ascii="Times New Roman" w:hAnsi="Times New Roman" w:eastAsia="Times New Roman" w:cs="Times New Roman"/>
      <w:b/>
      <w:kern w:val="2"/>
      <w:sz w:val="32"/>
      <w:szCs w:val="20"/>
      <w:lang w:eastAsia="ru-RU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link w:val="a5"/>
    <w:uiPriority w:val="99"/>
    <w:rsid w:val="00706d98"/>
    <w:pPr>
      <w:spacing w:before="0" w:after="0"/>
      <w:jc w:val="left"/>
    </w:pPr>
    <w:rPr>
      <w:rFonts w:eastAsia="Times New Roman"/>
      <w:sz w:val="24"/>
      <w:szCs w:val="20"/>
      <w:lang w:eastAsia="ru-RU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ListParagraph">
    <w:name w:val="List Paragraph"/>
    <w:basedOn w:val="Normal"/>
    <w:uiPriority w:val="34"/>
    <w:qFormat/>
    <w:rsid w:val="00f00ae0"/>
    <w:pPr>
      <w:spacing w:before="0" w:after="200"/>
      <w:ind w:left="720" w:hanging="0"/>
      <w:contextualSpacing/>
    </w:pPr>
    <w:rPr/>
  </w:style>
  <w:style w:type="paragraph" w:styleId="ConsPlusNormal" w:customStyle="1">
    <w:name w:val="ConsPlusNormal"/>
    <w:qFormat/>
    <w:rsid w:val="00706d98"/>
    <w:pPr>
      <w:widowControl/>
      <w:bidi w:val="0"/>
      <w:spacing w:lineRule="auto" w:line="240" w:before="0" w:after="0"/>
      <w:jc w:val="left"/>
    </w:pPr>
    <w:rPr>
      <w:rFonts w:ascii="Arial" w:hAnsi="Arial" w:eastAsia="Times New Roman" w:cs="Arial"/>
      <w:color w:val="auto"/>
      <w:kern w:val="0"/>
      <w:sz w:val="20"/>
      <w:szCs w:val="20"/>
      <w:lang w:eastAsia="ru-RU" w:val="ru-RU" w:bidi="ar-SA"/>
    </w:rPr>
  </w:style>
  <w:style w:type="paragraph" w:styleId="Style131" w:customStyle="1">
    <w:name w:val="Style13"/>
    <w:basedOn w:val="Normal"/>
    <w:uiPriority w:val="99"/>
    <w:qFormat/>
    <w:rsid w:val="00706d98"/>
    <w:pPr>
      <w:widowControl w:val="false"/>
      <w:spacing w:lineRule="exact" w:line="274" w:before="0" w:after="0"/>
      <w:jc w:val="left"/>
    </w:pPr>
    <w:rPr>
      <w:rFonts w:eastAsia="Times New Roman"/>
      <w:sz w:val="24"/>
      <w:szCs w:val="24"/>
      <w:lang w:eastAsia="ru-RU"/>
    </w:rPr>
  </w:style>
  <w:style w:type="paragraph" w:styleId="BalloonText">
    <w:name w:val="Balloon Text"/>
    <w:basedOn w:val="Normal"/>
    <w:link w:val="a7"/>
    <w:uiPriority w:val="99"/>
    <w:semiHidden/>
    <w:unhideWhenUsed/>
    <w:qFormat/>
    <w:rsid w:val="001e3020"/>
    <w:pPr>
      <w:spacing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Application>LibreOffice/7.0.0.3$Windows_X86_64 LibreOffice_project/8061b3e9204bef6b321a21033174034a5e2ea88e</Application>
  <Pages>9</Pages>
  <Words>1828</Words>
  <Characters>13770</Characters>
  <CharactersWithSpaces>16010</CharactersWithSpaces>
  <Paragraphs>178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2020-08-13T06:52:00Z</dcterms:created>
  <dc:creator>ГИС_ОГД</dc:creator>
  <dc:description/>
  <dc:language>ru-RU</dc:language>
  <cp:lastModifiedBy/>
  <cp:lastPrinted>2020-08-14T04:16:00Z</cp:lastPrinted>
  <dcterms:modified xsi:type="dcterms:W3CDTF">2020-09-04T15:04:12Z</dcterms:modified>
  <cp:revision>14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