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23.12.2019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бюджете поселения на 2020 год</w:t>
      </w:r>
    </w:p>
    <w:p>
      <w:pPr>
        <w:pStyle w:val="Normal"/>
        <w:widowControl w:val="false"/>
        <w:autoSpaceDE w:val="false"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t>Статья 1.</w:t>
      </w:r>
    </w:p>
    <w:p>
      <w:pPr>
        <w:pStyle w:val="Normal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ab/>
        <w:t>Утвердить основные характеристики бюджета поселения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  на 2020 год: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 xml:space="preserve">общий объем доходов в сумме   </w:t>
      </w:r>
      <w:r>
        <w:rPr>
          <w:rFonts w:cs="Arial" w:ascii="Arial" w:hAnsi="Arial"/>
          <w:b/>
          <w:sz w:val="24"/>
          <w:szCs w:val="24"/>
        </w:rPr>
        <w:t>43 400,80</w:t>
      </w:r>
      <w:r>
        <w:rPr>
          <w:rFonts w:cs="Arial" w:ascii="Arial" w:hAnsi="Arial"/>
          <w:sz w:val="24"/>
          <w:szCs w:val="24"/>
        </w:rPr>
        <w:t xml:space="preserve">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 xml:space="preserve">общий объем расходов в сумме </w:t>
      </w:r>
      <w:r>
        <w:rPr>
          <w:rFonts w:cs="Arial" w:ascii="Arial" w:hAnsi="Arial"/>
          <w:b/>
          <w:sz w:val="24"/>
          <w:szCs w:val="24"/>
        </w:rPr>
        <w:t>43 400,80</w:t>
      </w:r>
      <w:r>
        <w:rPr>
          <w:rFonts w:cs="Arial" w:ascii="Arial" w:hAnsi="Arial"/>
          <w:sz w:val="24"/>
          <w:szCs w:val="24"/>
        </w:rPr>
        <w:t xml:space="preserve"> тыс. рублей.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размер дефицита в сумме 0,0 тыс.рублей.</w:t>
      </w:r>
    </w:p>
    <w:p>
      <w:pPr>
        <w:pStyle w:val="Normal"/>
        <w:ind w:left="70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708" w:hanging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перечень  главных администраторов доходов бюджета поселения согласно приложению 1.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2.Утвердить перечень главных администраторов источников финансирования дефицита бюджета поселения согласно  приложению 2.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2020 год согласно приложению 3.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ab/>
      </w:r>
      <w:r>
        <w:rPr>
          <w:rFonts w:cs="Arial" w:ascii="Arial" w:hAnsi="Arial"/>
          <w:b/>
          <w:sz w:val="24"/>
          <w:szCs w:val="24"/>
        </w:rPr>
        <w:t>Статья 4.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Недоимка, пени и штрафы за несвоевременную уплату налогов зачисляются в   бюджет поселения   по нормативам, действующим в текущем финансовом году.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Недоимка, пени и штрафы по отмененным налогам и сборам зачисляются в  бюджет поселения по следующим нормативам: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Невыясненные поступления зачисляются в бюджет поселения      по   нормативу 100 процентов.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0" w:leader="none"/>
        </w:tabs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Прочие неналоговые доходы бюджета поселения зачисляются в бюджет поселения по нормативу 100 процентов.</w:t>
      </w:r>
    </w:p>
    <w:p>
      <w:pPr>
        <w:pStyle w:val="Normal"/>
        <w:ind w:left="360" w:hanging="0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left="735" w:hanging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5.</w:t>
      </w:r>
    </w:p>
    <w:p>
      <w:pPr>
        <w:pStyle w:val="Normal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источники финансирования дефицита бюджета поселения  на 2020 год согласно приложению 4.</w:t>
      </w:r>
    </w:p>
    <w:p>
      <w:pPr>
        <w:pStyle w:val="Normal"/>
        <w:ind w:firstLine="720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firstLine="72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Статья 6.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1) 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2020 год согласно приложению 5;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2) ведомственную структуру расходов бюджета поселения на 2020 год согласно приложению 6;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3) распределение бюджетных ассигнований по разделам, подразделам, группам видов расходов классификации расходов бюджета поселения на 2020 год  согласно приложению 7.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2. Утвердить резервный фонд администрации рабочего поселка Шаранга Шарангского муниципального района  в сумме  3,0 тыс.рублей.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737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Статья 7.</w:t>
      </w:r>
    </w:p>
    <w:p>
      <w:pPr>
        <w:pStyle w:val="ConsNormal"/>
        <w:bidi w:val="0"/>
        <w:ind w:firstLine="737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1. Остатки средств на счете финансового управления администрации Шарангского муниципального района Нижегородской области, открытом в Управлении Федерального казначейства по Нижегородской области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Шарангского муниципального района в 2020 году со счета финансового управления администрации Шарангского муниципального района в бюджет поселения с их возвратом до 31 декабря 2020 года на указанный счет в порядке, установленном финансовым управлением администрации Шарангского муниципального района.</w:t>
      </w:r>
    </w:p>
    <w:p>
      <w:pPr>
        <w:pStyle w:val="ConsNormal"/>
        <w:bidi w:val="0"/>
        <w:ind w:firstLine="737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2. 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 финансовое управление администрации Шарангского муниципального района.</w:t>
      </w:r>
    </w:p>
    <w:p>
      <w:pPr>
        <w:pStyle w:val="ConsNormal"/>
        <w:bidi w:val="0"/>
        <w:ind w:hanging="0"/>
        <w:jc w:val="both"/>
        <w:rPr>
          <w:i/>
          <w:i/>
          <w:kern w:val="2"/>
          <w:sz w:val="24"/>
          <w:szCs w:val="24"/>
        </w:rPr>
      </w:pPr>
      <w:r>
        <w:rPr>
          <w:i/>
          <w:kern w:val="2"/>
          <w:sz w:val="24"/>
          <w:szCs w:val="24"/>
        </w:rPr>
      </w:r>
    </w:p>
    <w:p>
      <w:pPr>
        <w:pStyle w:val="ConsNormal"/>
        <w:bidi w:val="0"/>
        <w:ind w:firstLine="737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ConsNormal"/>
        <w:bidi w:val="0"/>
        <w:ind w:firstLine="737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Статья 8.</w:t>
      </w:r>
    </w:p>
    <w:p>
      <w:pPr>
        <w:pStyle w:val="ConsNormal"/>
        <w:bidi w:val="0"/>
        <w:ind w:firstLine="709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1. 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2020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 настоящим решением.</w:t>
      </w:r>
    </w:p>
    <w:p>
      <w:pPr>
        <w:pStyle w:val="ConsNormal"/>
        <w:bidi w:val="0"/>
        <w:ind w:firstLine="709"/>
        <w:jc w:val="both"/>
        <w:rPr>
          <w:i/>
          <w:i/>
          <w:sz w:val="24"/>
          <w:szCs w:val="24"/>
        </w:rPr>
      </w:pPr>
      <w:r>
        <w:rPr>
          <w:sz w:val="24"/>
          <w:szCs w:val="24"/>
        </w:rPr>
        <w:t xml:space="preserve">2. 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Шарангского муниципального района </w:t>
      </w:r>
      <w:r>
        <w:rPr>
          <w:kern w:val="2"/>
          <w:sz w:val="24"/>
          <w:szCs w:val="24"/>
        </w:rPr>
        <w:t>Нижегородской области</w:t>
      </w:r>
      <w:r>
        <w:rPr>
          <w:sz w:val="24"/>
          <w:szCs w:val="24"/>
        </w:rPr>
        <w:t>.</w:t>
      </w:r>
    </w:p>
    <w:p>
      <w:pPr>
        <w:pStyle w:val="ConsNonformat"/>
        <w:bidi w:val="0"/>
        <w:ind w:firstLine="737"/>
        <w:jc w:val="left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</w:t>
      </w:r>
      <w:r>
        <w:rPr>
          <w:rFonts w:cs="Arial" w:ascii="Arial" w:hAnsi="Arial"/>
          <w:b/>
          <w:sz w:val="24"/>
          <w:szCs w:val="24"/>
        </w:rPr>
        <w:t>Статья 9.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Утвердить дорожный фонд муниципального образования рабочий поселок Шаранга Шарангского муниципального района в сумме 2637,4 тыс. рублей. </w:t>
      </w:r>
    </w:p>
    <w:p>
      <w:pPr>
        <w:pStyle w:val="ConsNormal"/>
        <w:bidi w:val="0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 </w:t>
      </w:r>
      <w:r>
        <w:rPr>
          <w:rFonts w:cs="Arial" w:ascii="Arial" w:hAnsi="Arial"/>
          <w:b/>
          <w:bCs/>
          <w:sz w:val="24"/>
          <w:szCs w:val="24"/>
        </w:rPr>
        <w:t>Статья 10.</w:t>
      </w:r>
    </w:p>
    <w:p>
      <w:pPr>
        <w:pStyle w:val="Normal"/>
        <w:ind w:firstLine="73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 </w:t>
      </w:r>
      <w:r>
        <w:rPr>
          <w:rFonts w:cs="Arial" w:ascii="Arial" w:hAnsi="Arial"/>
          <w:sz w:val="24"/>
          <w:szCs w:val="24"/>
        </w:rPr>
        <w:t>Утвердить в составе межбюджетных трансфертов объем иных межбюджетных трансфертов, передаваемых  из бюджета Шарангского поселкового совета Шарангского муниципального района на осуществление части полномочий по решению вопросов местного значения в соответствии с заключенным соглашением в сумме  10362,9 тыс.рублей.</w:t>
      </w:r>
    </w:p>
    <w:p>
      <w:pPr>
        <w:pStyle w:val="Normal"/>
        <w:ind w:firstLine="73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      </w:t>
      </w:r>
      <w:r>
        <w:rPr>
          <w:rFonts w:cs="Arial" w:ascii="Arial" w:hAnsi="Arial"/>
          <w:b/>
          <w:sz w:val="24"/>
          <w:szCs w:val="24"/>
        </w:rPr>
        <w:t>Статья 11.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</w:rPr>
        <w:t xml:space="preserve">           </w:t>
      </w:r>
      <w:r>
        <w:rPr>
          <w:rFonts w:cs="Arial" w:ascii="Arial" w:hAnsi="Arial"/>
          <w:bCs/>
          <w:sz w:val="24"/>
          <w:szCs w:val="24"/>
        </w:rPr>
        <w:t>1.Установить верхний предел муниципального внутреннего долга рабочего поселка Шаранга Шарангского муниципального района на 1 января 2021 года в размере 0,0 тыс.рублей, в том числе установить верхний предел долга по муниципальным гарантиям на 1 января 2021 года в размере 0,0 тыс.рублей.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Style19"/>
        <w:spacing w:lineRule="auto" w:line="240"/>
        <w:ind w:left="180" w:firstLine="180"/>
        <w:jc w:val="both"/>
        <w:rPr>
          <w:rFonts w:cs="Arial"/>
          <w:bCs/>
          <w:sz w:val="24"/>
          <w:szCs w:val="24"/>
        </w:rPr>
      </w:pPr>
      <w:r>
        <w:rPr>
          <w:rFonts w:eastAsia="Arial" w:cs="Arial"/>
          <w:bCs/>
          <w:sz w:val="24"/>
          <w:szCs w:val="24"/>
        </w:rPr>
        <w:t xml:space="preserve">   </w:t>
      </w:r>
      <w:r>
        <w:rPr>
          <w:rFonts w:cs="Arial"/>
          <w:bCs/>
          <w:sz w:val="24"/>
          <w:szCs w:val="24"/>
        </w:rPr>
        <w:t>Статья 12.</w:t>
      </w:r>
    </w:p>
    <w:p>
      <w:pPr>
        <w:pStyle w:val="Style19"/>
        <w:ind w:left="180" w:firstLine="180"/>
        <w:jc w:val="both"/>
        <w:rPr>
          <w:b w:val="false"/>
          <w:b w:val="false"/>
          <w:sz w:val="24"/>
          <w:szCs w:val="24"/>
        </w:rPr>
      </w:pPr>
      <w:r>
        <w:rPr>
          <w:rFonts w:eastAsia="Arial"/>
          <w:b w:val="false"/>
          <w:sz w:val="24"/>
          <w:szCs w:val="24"/>
        </w:rPr>
        <w:t xml:space="preserve">  </w:t>
      </w:r>
      <w:r>
        <w:rPr>
          <w:b w:val="false"/>
          <w:sz w:val="24"/>
          <w:szCs w:val="24"/>
        </w:rPr>
        <w:t>Настоящее решение вступает в силу с 1 января 2020 года.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М.В.Михеева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Normal"/>
        <w:rPr/>
      </w:pPr>
      <w:r>
        <w:rPr>
          <w:rFonts w:eastAsia="Arial" w:cs="Arial" w:ascii="Arial" w:hAnsi="Arial"/>
          <w:b/>
          <w:sz w:val="22"/>
          <w:szCs w:val="22"/>
        </w:rPr>
        <w:t xml:space="preserve">                   </w:t>
      </w:r>
      <w:r>
        <w:rPr>
          <w:rFonts w:eastAsia="Arial" w:cs="Arial" w:ascii="Arial" w:hAnsi="Arial"/>
          <w:sz w:val="22"/>
          <w:szCs w:val="22"/>
        </w:rPr>
        <w:t xml:space="preserve">                                                                        </w:t>
      </w:r>
    </w:p>
    <w:p>
      <w:pPr>
        <w:pStyle w:val="Style19"/>
        <w:rPr/>
      </w:pPr>
      <w:r>
        <w:rPr>
          <w:rFonts w:eastAsia="Arial"/>
        </w:rPr>
        <w:t xml:space="preserve">                 </w:t>
      </w:r>
      <w:r>
        <w:rPr/>
        <w:t>Перечень  главных администраторов доходов бюджета  поселения</w:t>
      </w:r>
    </w:p>
    <w:tbl>
      <w:tblPr>
        <w:tblW w:w="9757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35"/>
        <w:gridCol w:w="5538"/>
      </w:tblGrid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Ведомство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Коды бюджетной классификации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Главный администратор  доходов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  <w:t>100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lang w:val="en-US"/>
              </w:rPr>
            </w:pPr>
            <w:r>
              <w:rPr>
                <w:rFonts w:cs="Arial" w:ascii="Arial" w:hAnsi="Arial"/>
                <w:b/>
                <w:lang w:val="en-US"/>
              </w:rPr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Управление Федерального казначейства по Нижегородской области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10302</w:t>
            </w:r>
            <w:r>
              <w:rPr>
                <w:rFonts w:cs="Arial" w:ascii="Arial" w:hAnsi="Arial"/>
                <w:lang w:val="en-US"/>
              </w:rPr>
              <w:t>23</w:t>
            </w:r>
            <w:r>
              <w:rPr>
                <w:rFonts w:cs="Arial" w:ascii="Arial" w:hAnsi="Arial"/>
              </w:rPr>
              <w:t>1010000110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bidi w:val="0"/>
              <w:ind w:hanging="0"/>
              <w:jc w:val="left"/>
              <w:textAlignment w:val="baseline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Управление Федеральной налоговой службы по Нижегородской области </w:t>
            </w:r>
            <w:r>
              <w:rPr>
                <w:kern w:val="2"/>
              </w:rPr>
              <w:t xml:space="preserve">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bidi w:val="0"/>
              <w:ind w:hanging="0"/>
              <w:jc w:val="left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3">
              <w:r>
                <w:rPr>
                  <w:rStyle w:val="Style17"/>
                  <w:kern w:val="2"/>
                </w:rPr>
                <w:t>статьями 227</w:t>
              </w:r>
            </w:hyperlink>
            <w:r>
              <w:rPr>
                <w:kern w:val="2"/>
              </w:rPr>
              <w:t xml:space="preserve">, </w:t>
            </w:r>
            <w:hyperlink r:id="rId4">
              <w:r>
                <w:rPr>
                  <w:rStyle w:val="Style17"/>
                  <w:kern w:val="2"/>
                </w:rPr>
                <w:t>227</w:t>
              </w:r>
              <w:r>
                <w:rPr>
                  <w:rStyle w:val="Style17"/>
                  <w:kern w:val="2"/>
                  <w:vertAlign w:val="superscript"/>
                </w:rPr>
                <w:t>1</w:t>
              </w:r>
              <w:r>
                <w:rPr>
                  <w:rStyle w:val="Style17"/>
                  <w:kern w:val="2"/>
                </w:rPr>
                <w:t xml:space="preserve"> </w:t>
              </w:r>
            </w:hyperlink>
            <w:r>
              <w:rPr>
                <w:kern w:val="2"/>
              </w:rPr>
              <w:t xml:space="preserve">и </w:t>
            </w:r>
            <w:hyperlink r:id="rId5">
              <w:r>
                <w:rPr>
                  <w:rStyle w:val="Style17"/>
                  <w:kern w:val="2"/>
                </w:rPr>
                <w:t>228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bidi w:val="0"/>
              <w:ind w:hanging="0"/>
              <w:jc w:val="left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6">
              <w:r>
                <w:rPr>
                  <w:rStyle w:val="Style17"/>
                  <w:kern w:val="2"/>
                </w:rPr>
                <w:t>статьей 227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bidi w:val="0"/>
              <w:ind w:hanging="0"/>
              <w:jc w:val="left"/>
              <w:textAlignment w:val="baseline"/>
              <w:rPr/>
            </w:pPr>
            <w:r>
              <w:rPr>
                <w:kern w:val="2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7">
              <w:r>
                <w:rPr>
                  <w:rStyle w:val="Style17"/>
                  <w:kern w:val="2"/>
                </w:rPr>
                <w:t>статьей 228</w:t>
              </w:r>
            </w:hyperlink>
            <w:r>
              <w:rPr>
                <w:kern w:val="2"/>
              </w:rPr>
              <w:t xml:space="preserve"> Налогового кодекса Российской Федерации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1"/>
              <w:overflowPunct w:val="false"/>
              <w:bidi w:val="0"/>
              <w:ind w:hanging="0"/>
              <w:jc w:val="left"/>
              <w:textAlignment w:val="baseline"/>
              <w:rPr>
                <w:kern w:val="2"/>
              </w:rPr>
            </w:pPr>
            <w:r>
              <w:rPr>
                <w:kern w:val="2"/>
              </w:rPr>
              <w:t xml:space="preserve">Единый сельскохозяйственный налог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/>
            </w:pPr>
            <w:r>
              <w:rPr>
                <w:rFonts w:cs="Arial"/>
                <w:b w:val="false"/>
                <w:sz w:val="20"/>
              </w:rPr>
              <w:t>106010301</w:t>
            </w:r>
            <w:r>
              <w:rPr>
                <w:rFonts w:cs="Arial"/>
                <w:b w:val="false"/>
                <w:sz w:val="20"/>
                <w:lang w:val="en-US"/>
              </w:rPr>
              <w:t>3</w:t>
            </w:r>
            <w:r>
              <w:rPr>
                <w:rFonts w:cs="Arial"/>
                <w:b w:val="false"/>
                <w:sz w:val="20"/>
              </w:rPr>
              <w:t>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bidi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bidi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10606033130000110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организаций, обладающих земельным участком, расположенным в границах городских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bidi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bidi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10606043130000110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Земельный налог с физических лиц, обладающих земельным участком, расположенным в границах городских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10904053130000110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Земельный налог (по обязательствам, возникшим до 1 января 2006 года), мобилизуемый на территориях городских поселений</w:t>
            </w:r>
          </w:p>
        </w:tc>
      </w:tr>
      <w:tr>
        <w:trPr>
          <w:trHeight w:val="797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11105013130000120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Доходы, полученные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</w:tr>
      <w:tr>
        <w:trPr>
          <w:trHeight w:val="1144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11406013130000430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11406025130000430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находящихся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  <w:lang w:val="en-US"/>
              </w:rPr>
            </w:pPr>
            <w:r>
              <w:rPr>
                <w:rFonts w:cs="Arial"/>
                <w:b w:val="false"/>
                <w:sz w:val="20"/>
                <w:lang w:val="en-US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11701050130000180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Невыясненные поступления, зачисляемые в бюджеты городских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11705050130000180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неналоговые доходы бюджетов городских  поселений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20215001130000150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Дотации бюджетам городских поселений на выравнивание бюджетной обеспеченности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20235118130110150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 xml:space="preserve">20245160130000150  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20249999130000150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Прочие межбюджетные трансферты, передаваемые бюджетам городских поселений 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20249000139000150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межбюджетные трансферты, передаваемые бюджетам городских поселений по проекту по поддержке местных инициатив</w:t>
            </w:r>
          </w:p>
        </w:tc>
      </w:tr>
      <w:tr>
        <w:trPr>
          <w:trHeight w:val="1479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204 05099139000150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>
          <w:trHeight w:val="802" w:hRule="atLeast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20705030139000150</w:t>
            </w:r>
          </w:p>
        </w:tc>
        <w:tc>
          <w:tcPr>
            <w:tcW w:w="5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в бюджеты 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cs="Arial"/>
        </w:rPr>
      </w:pPr>
      <w:r>
        <w:rPr>
          <w:rFonts w:eastAsia="Arial"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b/>
          <w:sz w:val="22"/>
          <w:szCs w:val="22"/>
        </w:rPr>
        <w:t>Перечень главных администраторов источников финансирования дефицита бюджета поселения</w:t>
      </w:r>
    </w:p>
    <w:tbl>
      <w:tblPr>
        <w:tblW w:w="9910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552"/>
        <w:gridCol w:w="5902"/>
      </w:tblGrid>
      <w:tr>
        <w:trPr>
          <w:trHeight w:val="778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Ведомство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Главный администратор источников</w:t>
            </w:r>
          </w:p>
        </w:tc>
      </w:tr>
      <w:tr>
        <w:trPr>
          <w:trHeight w:val="540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447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01050201100000510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Увеличение прочих остатков денежных средств бюджета поселения</w:t>
            </w:r>
          </w:p>
        </w:tc>
      </w:tr>
      <w:tr>
        <w:trPr>
          <w:trHeight w:val="536" w:hRule="atLeast"/>
        </w:trPr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487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01050201100000610</w:t>
            </w:r>
          </w:p>
        </w:tc>
        <w:tc>
          <w:tcPr>
            <w:tcW w:w="5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Уменьшение прочих остатков денежных средств бюджета поселения</w:t>
            </w:r>
          </w:p>
        </w:tc>
      </w:tr>
    </w:tbl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Style19"/>
        <w:spacing w:lineRule="auto" w:line="240"/>
        <w:jc w:val="right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Приложение №3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clear" w:pos="720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2020 год</w:t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cs="Arial" w:ascii="Arial" w:hAnsi="Arial"/>
          <w:sz w:val="22"/>
          <w:szCs w:val="22"/>
        </w:rPr>
        <w:t>(тыс. рублей)</w:t>
      </w:r>
    </w:p>
    <w:tbl>
      <w:tblPr>
        <w:tblW w:w="9757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549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17515,4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</w:t>
            </w:r>
            <w:r>
              <w:rPr>
                <w:rFonts w:cs="Arial" w:ascii="Arial" w:hAnsi="Arial"/>
                <w:b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7875,8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61,5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2637,4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2637,4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1194,8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1624,6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-189,9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5642,5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2154,1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3488,4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</w:t>
            </w:r>
            <w:r>
              <w:rPr>
                <w:rFonts w:cs="Arial" w:ascii="Arial" w:hAnsi="Arial"/>
                <w:b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 </w:t>
            </w:r>
            <w:r>
              <w:rPr>
                <w:rFonts w:cs="Arial" w:ascii="Arial" w:hAnsi="Arial"/>
                <w:b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50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11406025130000430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1.6.1.2. Доходы от продажи земельных участков,находящихся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150,0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Прочие неналоговые доходы бюджетов городских поселений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22162,4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22162,4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3627,7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 xml:space="preserve">3627,7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295,8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20235118130110150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295,8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</w:rPr>
              <w:t xml:space="preserve">21962,9   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 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, в том числе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14354,6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2.1.3.1.1. 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( на реализацию общественно значимых проектов)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2.1.3.1.2. Межбюджетные трансферты,передаваемые бюджетам городским поселений для компенсации дополнительных расходов, возникших в результате решений ,принятых органами власти другого    ( формирование современной городской среды)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4354,6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7608,3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43400,8</w:t>
            </w:r>
          </w:p>
        </w:tc>
      </w:tr>
    </w:tbl>
    <w:p>
      <w:pPr>
        <w:pStyle w:val="Normal"/>
        <w:tabs>
          <w:tab w:val="clear" w:pos="720"/>
          <w:tab w:val="left" w:pos="5442" w:leader="none"/>
        </w:tabs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  <w:b/>
        </w:rPr>
        <w:t>на 2020 год</w:t>
      </w:r>
    </w:p>
    <w:p>
      <w:pPr>
        <w:pStyle w:val="Normal"/>
        <w:ind w:firstLine="360"/>
        <w:jc w:val="right"/>
        <w:rPr>
          <w:rFonts w:cs="Arial"/>
        </w:rPr>
      </w:pPr>
      <w:r>
        <w:rPr>
          <w:rFonts w:cs="Arial" w:ascii="Arial" w:hAnsi="Arial"/>
        </w:rPr>
        <w:t>(тыс.рублей)</w:t>
      </w:r>
    </w:p>
    <w:tbl>
      <w:tblPr>
        <w:tblW w:w="10800" w:type="dxa"/>
        <w:jc w:val="left"/>
        <w:tblInd w:w="-14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843"/>
        <w:gridCol w:w="10"/>
        <w:gridCol w:w="999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009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0,0</w:t>
            </w:r>
          </w:p>
        </w:tc>
        <w:tc>
          <w:tcPr>
            <w:tcW w:w="1009" w:type="dxa"/>
            <w:tcBorders>
              <w:left w:val="single" w:sz="4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0,0</w:t>
            </w:r>
          </w:p>
        </w:tc>
        <w:tc>
          <w:tcPr>
            <w:tcW w:w="1009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№5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поселения на 2020 год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>
          <w:rFonts w:eastAsia="Arial" w:cs="Arial" w:ascii="Arial" w:hAnsi="Arial"/>
          <w:kern w:val="2"/>
          <w:sz w:val="22"/>
          <w:szCs w:val="22"/>
        </w:rPr>
        <w:t xml:space="preserve"> </w:t>
      </w:r>
      <w:r>
        <w:rPr/>
        <w:t>(тыс. рублей)</w:t>
      </w:r>
    </w:p>
    <w:tbl>
      <w:tblPr>
        <w:tblW w:w="9654" w:type="dxa"/>
        <w:jc w:val="left"/>
        <w:tblInd w:w="-1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0"/>
        <w:gridCol w:w="1701"/>
        <w:gridCol w:w="1418"/>
        <w:gridCol w:w="1285"/>
      </w:tblGrid>
      <w:tr>
        <w:trPr>
          <w:tblHeader w:val="true"/>
          <w:trHeight w:val="143" w:hRule="atLeast"/>
        </w:trPr>
        <w:tc>
          <w:tcPr>
            <w:tcW w:w="5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52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52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08 0 30 03000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08 0  03 03000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10295,8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 </w:t>
            </w:r>
            <w:r>
              <w:rPr>
                <w:rFonts w:cs="Arial" w:ascii="Arial" w:hAnsi="Arial"/>
                <w:bCs/>
              </w:rPr>
              <w:t>10295,8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Повышение финансовой самостоятельности бюджетов поселения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10295,8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1164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 ,казенными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14 2 20 51180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213,5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82,3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19 0 00 00000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</w:t>
            </w: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территории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25991,5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25991,5       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88 8 01 00000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2757,0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1 761,6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1 185,9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88 8 03 00000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88 8 06 00000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12971,6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  <w:r>
              <w:rPr>
                <w:rFonts w:cs="Arial" w:ascii="Arial" w:hAnsi="Arial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753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5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7405,1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7405,1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315" w:hRule="atLeast"/>
        </w:trPr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</w:rPr>
              <w:t xml:space="preserve">43400,8 </w:t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2"/>
          <w:szCs w:val="22"/>
        </w:rPr>
      </w:pPr>
      <w:r>
        <w:rPr>
          <w:rFonts w:cs="Arial" w:ascii="Arial" w:hAnsi="Arial"/>
          <w:b/>
          <w:kern w:val="2"/>
          <w:sz w:val="22"/>
          <w:szCs w:val="2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</w:r>
    </w:p>
    <w:p>
      <w:pPr>
        <w:pStyle w:val="Normal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Style19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№6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  <w:bCs/>
        </w:rPr>
        <w:t>Ведомственная структура расходов бюджета поселения на 2020 год</w:t>
      </w:r>
    </w:p>
    <w:tbl>
      <w:tblPr>
        <w:tblW w:w="964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595"/>
        <w:gridCol w:w="255"/>
        <w:gridCol w:w="709"/>
        <w:gridCol w:w="992"/>
        <w:gridCol w:w="1559"/>
        <w:gridCol w:w="1134"/>
        <w:gridCol w:w="1134"/>
        <w:gridCol w:w="10"/>
      </w:tblGrid>
      <w:tr>
        <w:trPr>
          <w:trHeight w:val="264" w:hRule="atLeast"/>
        </w:trPr>
        <w:tc>
          <w:tcPr>
            <w:tcW w:w="3261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5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783" w:type="dxa"/>
            <w:gridSpan w:val="6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2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1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</w:rPr>
              <w:t xml:space="preserve">43400,8 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2814,0</w:t>
            </w:r>
          </w:p>
        </w:tc>
      </w:tr>
      <w:tr>
        <w:trPr>
          <w:trHeight w:val="816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2565,2</w:t>
            </w:r>
          </w:p>
        </w:tc>
      </w:tr>
      <w:tr>
        <w:trPr>
          <w:trHeight w:val="343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2565,2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1761,6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11 85,9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</w:tr>
      <w:tr>
        <w:trPr>
          <w:trHeight w:val="612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245,8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245,8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245,8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88 8 0193990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273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</w:t>
            </w: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11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2637,4           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</w:t>
            </w:r>
            <w:r>
              <w:rPr>
                <w:rFonts w:cs="Arial" w:ascii="Arial" w:hAnsi="Arial"/>
                <w:b/>
                <w:bCs/>
              </w:rPr>
              <w:t xml:space="preserve">23278,2 </w:t>
            </w:r>
          </w:p>
        </w:tc>
      </w:tr>
      <w:tr>
        <w:trPr>
          <w:trHeight w:val="493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22803,2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  <w:lang w:val="en-US"/>
              </w:rPr>
              <w:t>5555А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  <w:lang w:val="en-US"/>
              </w:rPr>
              <w:t>5555А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12171,6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</w:rPr>
              <w:t>12171,6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 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12171,6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4248,0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4248,0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7405,1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7405,1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</w:t>
            </w: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</w:t>
            </w: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43400,8</w:t>
            </w:r>
          </w:p>
        </w:tc>
      </w:tr>
    </w:tbl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Style19"/>
        <w:spacing w:lineRule="auto" w:line="240"/>
        <w:jc w:val="right"/>
        <w:rPr>
          <w:szCs w:val="28"/>
        </w:rPr>
      </w:pPr>
      <w:r>
        <w:rPr>
          <w:szCs w:val="28"/>
        </w:rPr>
      </w:r>
      <w:bookmarkStart w:id="0" w:name="_GoBack"/>
      <w:bookmarkStart w:id="1" w:name="_GoBack"/>
      <w:bookmarkEnd w:id="1"/>
    </w:p>
    <w:p>
      <w:pPr>
        <w:pStyle w:val="Style19"/>
        <w:spacing w:lineRule="auto" w:line="240"/>
        <w:jc w:val="right"/>
        <w:rPr/>
      </w:pPr>
      <w:r>
        <w:rPr>
          <w:rFonts w:eastAsia="Arial"/>
          <w:szCs w:val="28"/>
        </w:rPr>
        <w:t xml:space="preserve"> </w:t>
      </w:r>
      <w:r>
        <w:rPr>
          <w:rFonts w:cs="Arial"/>
          <w:szCs w:val="28"/>
        </w:rPr>
        <w:t>Приложение №7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к  решению поселкового Совета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9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964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239"/>
        <w:gridCol w:w="1321"/>
        <w:gridCol w:w="1417"/>
        <w:gridCol w:w="1559"/>
        <w:gridCol w:w="1134"/>
        <w:gridCol w:w="10"/>
      </w:tblGrid>
      <w:tr>
        <w:trPr>
          <w:trHeight w:val="509" w:hRule="atLeast"/>
        </w:trPr>
        <w:tc>
          <w:tcPr>
            <w:tcW w:w="9639" w:type="dxa"/>
            <w:gridSpan w:val="6"/>
            <w:tcBorders/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Распределение бюджетных ассигнований по разделам, подразделам, группам видов расходов классификации расходов бюджета поселения на 2020 год</w:t>
            </w:r>
          </w:p>
        </w:tc>
      </w:tr>
      <w:tr>
        <w:trPr>
          <w:trHeight w:val="264" w:hRule="atLeast"/>
        </w:trPr>
        <w:tc>
          <w:tcPr>
            <w:tcW w:w="3969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39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431" w:type="dxa"/>
            <w:gridSpan w:val="4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  <w:t>(тыс. рублей)</w:t>
            </w:r>
          </w:p>
          <w:p>
            <w:pPr>
              <w:pStyle w:val="Normal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64" w:hRule="atLeast"/>
        </w:trPr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9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Вид расходов</w:t>
            </w:r>
          </w:p>
        </w:tc>
        <w:tc>
          <w:tcPr>
            <w:tcW w:w="11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2 814,0</w:t>
            </w:r>
          </w:p>
        </w:tc>
      </w:tr>
      <w:tr>
        <w:trPr>
          <w:trHeight w:val="1241" w:hRule="atLeast"/>
          <w:cantSplit w:val="true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Cs/>
              </w:rPr>
            </w:pPr>
            <w:r>
              <w:rPr>
                <w:bCs/>
              </w:rPr>
              <w:t>2 565,2</w:t>
            </w:r>
          </w:p>
        </w:tc>
      </w:tr>
      <w:tr>
        <w:trPr>
          <w:trHeight w:val="154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</w:rPr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bCs/>
              </w:rPr>
              <w:t>100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Cs/>
              </w:rPr>
            </w:pPr>
            <w:r>
              <w:rPr>
                <w:bCs/>
              </w:rPr>
              <w:t>1989,5</w:t>
            </w:r>
          </w:p>
        </w:tc>
      </w:tr>
      <w:tr>
        <w:trPr>
          <w:trHeight w:val="447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Cs/>
              </w:rPr>
            </w:pPr>
            <w:r>
              <w:rPr>
                <w:bCs/>
              </w:rPr>
              <w:t>575,7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 xml:space="preserve">Резервные фонды 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/>
              <w:t>Иные бюджетные ассигнования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800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3,0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245,8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188,8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57,0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 оборона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295,8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100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213,5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82,3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21,5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21,5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Национальная экономика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Дорожное хозяйство (дорожные фонды)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 xml:space="preserve">                  </w:t>
            </w:r>
            <w:r>
              <w:rPr>
                <w:bCs/>
              </w:rPr>
              <w:t xml:space="preserve">2637,4 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>2637,4</w:t>
            </w:r>
          </w:p>
        </w:tc>
      </w:tr>
      <w:tr>
        <w:trPr>
          <w:trHeight w:val="719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                  </w:t>
            </w:r>
            <w:r>
              <w:rPr>
                <w:b/>
                <w:bCs/>
              </w:rPr>
              <w:t>23278,2</w:t>
            </w:r>
          </w:p>
        </w:tc>
      </w:tr>
      <w:tr>
        <w:trPr>
          <w:trHeight w:val="443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ind w:left="-391" w:hanging="0"/>
              <w:outlineLvl w:val="0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 xml:space="preserve">          </w:t>
            </w:r>
            <w:r>
              <w:rPr>
                <w:bCs/>
              </w:rPr>
              <w:t>475,0</w:t>
            </w:r>
          </w:p>
        </w:tc>
      </w:tr>
      <w:tr>
        <w:trPr>
          <w:trHeight w:val="1066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Благоустройство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26526,20</w:t>
            </w:r>
          </w:p>
        </w:tc>
      </w:tr>
      <w:tr>
        <w:trPr>
          <w:trHeight w:val="408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bCs/>
              </w:rPr>
            </w:pPr>
            <w:r>
              <w:rPr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Cs/>
              </w:rPr>
            </w:pPr>
            <w:r>
              <w:rPr>
                <w:bCs/>
              </w:rPr>
              <w:t>26526,2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Культура, кинематография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>
              <w:rPr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Культура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    </w:t>
            </w:r>
            <w:r>
              <w:rPr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/>
              <w:t xml:space="preserve"> </w:t>
            </w:r>
            <w:r>
              <w:rPr/>
              <w:t>Межбюджетные трансферты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Cs/>
              </w:rPr>
            </w:pPr>
            <w:r>
              <w:rPr>
                <w:bCs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500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>
              <w:rPr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Социальная политика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>268,0</w:t>
            </w:r>
          </w:p>
        </w:tc>
      </w:tr>
      <w:tr>
        <w:trPr>
          <w:trHeight w:val="375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b/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b/>
                <w:b/>
              </w:rPr>
            </w:pPr>
            <w:r>
              <w:rPr>
                <w:b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bCs/>
              </w:rPr>
            </w:pPr>
            <w:r>
              <w:rPr>
                <w:bCs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/>
              <w:t>200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/>
            </w:pPr>
            <w:r>
              <w:rPr/>
              <w:t>268,0</w:t>
            </w:r>
          </w:p>
        </w:tc>
      </w:tr>
      <w:tr>
        <w:trPr>
          <w:trHeight w:val="264" w:hRule="atLeast"/>
        </w:trPr>
        <w:tc>
          <w:tcPr>
            <w:tcW w:w="396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  <w:r>
              <w:rPr>
                <w:b/>
                <w:bCs/>
              </w:rPr>
              <w:t>Всего расходов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            </w:t>
            </w:r>
            <w:r>
              <w:rPr>
                <w:b/>
                <w:bCs/>
              </w:rPr>
              <w:t>43400,8</w:t>
            </w:r>
          </w:p>
        </w:tc>
      </w:tr>
    </w:tbl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4"/>
      <w:szCs w:val="24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</w:rPr>
  </w:style>
  <w:style w:type="character" w:styleId="WW8Num27z0">
    <w:name w:val="WW8Num27z0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>
      <w:rFonts w:ascii="Times New Roman" w:hAnsi="Times New Roman" w:cs="Times New Roman"/>
    </w:rPr>
  </w:style>
  <w:style w:type="character" w:styleId="WW8Num37z0">
    <w:name w:val="WW8Num37z0"/>
    <w:qFormat/>
    <w:rPr>
      <w:rFonts w:ascii="Times New Roman" w:hAnsi="Times New Roman" w:eastAsia="Times New Roman" w:cs="Times New Roman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7z3">
    <w:name w:val="WW8Num37z3"/>
    <w:qFormat/>
    <w:rPr>
      <w:rFonts w:ascii="Symbol" w:hAnsi="Symbol" w:cs="Symbol"/>
    </w:rPr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next w:val="Style19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8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9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врезки"/>
    <w:basedOn w:val="Normal"/>
    <w:qFormat/>
    <w:pPr/>
    <w:rPr/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183EB478FB1B8F121DD7B73E034B1FBAD8CA3DC50BB847197535F0F07363D4BC422B5BE7E6B6FtEF" TargetMode="External"/><Relationship Id="rId4" Type="http://schemas.openxmlformats.org/officeDocument/2006/relationships/hyperlink" Target="consultantplus://offline/ref=1183EB478FB1B8F121DD7B73E034B1FBAD8CA3DC50BB847197535F0F07363D4BC422B5B87B626Ft5F" TargetMode="External"/><Relationship Id="rId5" Type="http://schemas.openxmlformats.org/officeDocument/2006/relationships/hyperlink" Target="consultantplus://offline/ref=1183EB478FB1B8F121DD7B73E034B1FBAD8CA3DC50BB847197535F0F07363D4BC422B5BC7E6BF3F06DtAF" TargetMode="External"/><Relationship Id="rId6" Type="http://schemas.openxmlformats.org/officeDocument/2006/relationships/hyperlink" Target="consultantplus://offline/ref=3F1302EAC6728A67476F57BCC152AF941C8587E2237F3C150484C184BE35D3B578696661E55EoCu1F" TargetMode="External"/><Relationship Id="rId7" Type="http://schemas.openxmlformats.org/officeDocument/2006/relationships/hyperlink" Target="consultantplus://offline/ref=6BF47E39319B04FB6DD9619E0D3801F34C8C5181E915A6FF8BF2CD9B6B6C95B71B7AD282A62BE079b7v9F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580</TotalTime>
  <Application>LibreOffice/6.3.3.2$Windows_x86 LibreOffice_project/a64200df03143b798afd1ec74a12ab50359878ed</Application>
  <Pages>37</Pages>
  <Words>4649</Words>
  <Characters>31592</Characters>
  <CharactersWithSpaces>35853</CharactersWithSpaces>
  <Paragraphs>1176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2016-12-19T20:31:00Z</dcterms:created>
  <dc:creator>Катышева Е. В.</dc:creator>
  <dc:description/>
  <cp:keywords/>
  <dc:language>ru-RU</dc:language>
  <cp:lastModifiedBy>Комьютер</cp:lastModifiedBy>
  <cp:lastPrinted>2019-12-23T16:24:00Z</cp:lastPrinted>
  <dcterms:modified xsi:type="dcterms:W3CDTF">2020-01-10T15:16:00Z</dcterms:modified>
  <cp:revision>40</cp:revision>
  <dc:subject/>
  <dc:title>ПОСТАНОВЛЕНИЕ</dc:title>
</cp:coreProperties>
</file>