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  <w:lang w:val="ru-RU" w:eastAsia="ru-RU"/>
        </w:rPr>
        <w:t xml:space="preserve">         </w:t>
      </w: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4" t="-50" r="-44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8"/>
          <w:szCs w:val="28"/>
          <w:lang w:val="ru-RU" w:eastAsia="ru-RU"/>
        </w:rPr>
        <w:t xml:space="preserve">         </w:t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pacing w:val="60"/>
          <w:sz w:val="32"/>
          <w:szCs w:val="32"/>
          <w:lang w:eastAsia="ar-SA"/>
        </w:rPr>
      </w:pPr>
      <w:r>
        <w:rPr>
          <w:rFonts w:cs="Arial" w:ascii="Arial" w:hAnsi="Arial"/>
          <w:b/>
          <w:spacing w:val="60"/>
          <w:sz w:val="32"/>
          <w:szCs w:val="32"/>
          <w:lang w:eastAsia="ar-SA"/>
        </w:rPr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109220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8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3105" w:leader="none"/>
          <w:tab w:val="left" w:pos="3195" w:leader="none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 23.12.2019</w:t>
        <w:tab/>
        <w:tab/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32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center"/>
        <w:rPr>
          <w:rStyle w:val="Style15"/>
          <w:rFonts w:ascii="Arial" w:hAnsi="Arial" w:cs="Arial"/>
          <w:sz w:val="28"/>
          <w:szCs w:val="28"/>
        </w:rPr>
      </w:pPr>
      <w:r>
        <w:rPr>
          <w:rStyle w:val="Style15"/>
          <w:rFonts w:eastAsia="Arial" w:cs="Arial" w:ascii="Arial" w:hAnsi="Arial"/>
          <w:sz w:val="28"/>
          <w:szCs w:val="28"/>
        </w:rPr>
        <w:t xml:space="preserve"> </w:t>
      </w:r>
      <w:r>
        <w:rPr>
          <w:rStyle w:val="Style15"/>
          <w:rFonts w:cs="Arial" w:ascii="Arial" w:hAnsi="Arial"/>
          <w:sz w:val="28"/>
          <w:szCs w:val="28"/>
        </w:rPr>
        <w:t xml:space="preserve">Об утверждении земельного налога 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Style w:val="Style15"/>
          <w:rFonts w:cs="Arial" w:ascii="Arial" w:hAnsi="Arial"/>
          <w:sz w:val="28"/>
          <w:szCs w:val="28"/>
        </w:rPr>
        <w:t>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</w:rPr>
        <w:t xml:space="preserve">    </w:t>
      </w:r>
      <w:r>
        <w:rPr>
          <w:rFonts w:cs="Arial" w:ascii="Arial" w:hAnsi="Arial"/>
        </w:rPr>
        <w:t xml:space="preserve">В соответствии с </w:t>
      </w:r>
      <w:hyperlink r:id="rId3">
        <w:r>
          <w:rPr>
            <w:rStyle w:val="Style16"/>
            <w:rFonts w:cs="Arial" w:ascii="Arial" w:hAnsi="Arial"/>
          </w:rPr>
          <w:t>главой 31</w:t>
        </w:r>
      </w:hyperlink>
      <w:r>
        <w:rPr>
          <w:rFonts w:cs="Arial" w:ascii="Arial" w:hAnsi="Arial"/>
        </w:rPr>
        <w:t xml:space="preserve"> Налогового кодекса Российской Федерации,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autoSpaceDE w:val="false"/>
        <w:jc w:val="both"/>
        <w:rPr/>
      </w:pPr>
      <w:r>
        <w:rPr>
          <w:rFonts w:cs="Arial" w:ascii="Arial" w:hAnsi="Arial"/>
        </w:rPr>
        <w:t>1.Установить на территории рабочего поселка Шаранга Шарангского муниципального района Нижегородской области земельный налог.</w:t>
      </w:r>
    </w:p>
    <w:p>
      <w:pPr>
        <w:pStyle w:val="Normal"/>
        <w:tabs>
          <w:tab w:val="clear" w:pos="708"/>
          <w:tab w:val="left" w:pos="1320" w:leader="none"/>
        </w:tabs>
        <w:rPr>
          <w:rFonts w:ascii="Arial" w:hAnsi="Arial" w:cs="Arial"/>
        </w:rPr>
      </w:pPr>
      <w:r>
        <w:rPr>
          <w:rFonts w:cs="Arial" w:ascii="Arial" w:hAnsi="Arial"/>
        </w:rPr>
        <w:t>2. Налоговые ставки.</w:t>
      </w:r>
    </w:p>
    <w:p>
      <w:pPr>
        <w:pStyle w:val="Normal"/>
        <w:ind w:left="660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Налоговые ставки устанавливаются в следующих размерах:</w:t>
      </w:r>
    </w:p>
    <w:p>
      <w:pPr>
        <w:pStyle w:val="Normal"/>
        <w:tabs>
          <w:tab w:val="clear" w:pos="708"/>
          <w:tab w:val="left" w:pos="0" w:leader="none"/>
        </w:tabs>
        <w:ind w:right="-1" w:firstLine="709"/>
        <w:jc w:val="both"/>
        <w:rPr/>
      </w:pPr>
      <w:r>
        <w:rPr>
          <w:rFonts w:cs="Arial" w:ascii="Arial" w:hAnsi="Arial"/>
        </w:rPr>
        <w:t>1) 0,3 % от кадастровой стоимости участка в отношении земельных участков:</w:t>
      </w:r>
    </w:p>
    <w:p>
      <w:pPr>
        <w:pStyle w:val="Normal"/>
        <w:tabs>
          <w:tab w:val="clear" w:pos="708"/>
          <w:tab w:val="left" w:pos="0" w:leader="none"/>
        </w:tabs>
        <w:ind w:right="-1" w:hanging="0"/>
        <w:jc w:val="both"/>
        <w:rPr/>
      </w:pPr>
      <w:r>
        <w:rPr>
          <w:rFonts w:cs="Arial" w:ascii="Arial" w:hAnsi="Arial"/>
        </w:rPr>
        <w:t>- отнесенных к землям сельскохозяйственного назначения или к землям в составе зон сельскохозяйственного использования в населенных пунктах и используемых для сельскохозяйственного производства;</w:t>
      </w:r>
    </w:p>
    <w:p>
      <w:pPr>
        <w:pStyle w:val="Normal"/>
        <w:tabs>
          <w:tab w:val="clear" w:pos="708"/>
          <w:tab w:val="left" w:pos="0" w:leader="none"/>
        </w:tabs>
        <w:ind w:right="-1" w:hanging="0"/>
        <w:jc w:val="both"/>
        <w:rPr/>
      </w:pPr>
      <w:r>
        <w:rPr>
          <w:rFonts w:cs="Arial" w:ascii="Arial" w:hAnsi="Arial"/>
        </w:rPr>
        <w:t xml:space="preserve">- занятых жилищным фондом и объектами инженерной инфраструктуры  жилищно-коммунального комплекса (за исключением доли в праве на земельный участок, приходящейся на объект, не относящийся к жилищному фонду и к объектам инженерной инфраструктуры жилищно-коммунального комплекса) или приобретенных (предоставленных) для жилищного строительства (за исключением земельных участков, приобретенных (предоставленных) для индивидуального жилищного строительства, используемых в предпринимательской деятельности); </w:t>
      </w:r>
    </w:p>
    <w:p>
      <w:pPr>
        <w:pStyle w:val="Normal"/>
        <w:tabs>
          <w:tab w:val="clear" w:pos="708"/>
          <w:tab w:val="left" w:pos="0" w:leader="none"/>
        </w:tabs>
        <w:ind w:right="-1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- не используемых в предпринимательской деятельности, приобретенных (предоставленных) для ведения личного подсобного хозяйства, садоводства или огородничества, а также земельных участков общего назначения, предусмотренных Федеральным законом от 29 июля 2017 года №217-ФЗ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Федерации».</w:t>
      </w:r>
    </w:p>
    <w:p>
      <w:pPr>
        <w:pStyle w:val="Normal"/>
        <w:tabs>
          <w:tab w:val="clear" w:pos="708"/>
          <w:tab w:val="left" w:pos="0" w:leader="none"/>
        </w:tabs>
        <w:ind w:right="-1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-  ограниченных в обороте в соответствии с законодательством Российской Федерации, предоставленных для обеспечения обороны, безопасности и таможенных нужд;</w:t>
      </w:r>
    </w:p>
    <w:p>
      <w:pPr>
        <w:pStyle w:val="Normal"/>
        <w:suppressAutoHyphens w:val="true"/>
        <w:ind w:firstLine="660"/>
        <w:jc w:val="both"/>
        <w:rPr>
          <w:rFonts w:ascii="Arial" w:hAnsi="Arial" w:cs="Arial"/>
        </w:rPr>
      </w:pPr>
      <w:r>
        <w:rPr>
          <w:rFonts w:cs="Arial" w:ascii="Arial" w:hAnsi="Arial"/>
        </w:rPr>
        <w:t>2) 1,5 % от кадастровой стоимости участка в отношении прочих земельных участков.</w:t>
      </w:r>
    </w:p>
    <w:p>
      <w:pPr>
        <w:pStyle w:val="Normal"/>
        <w:jc w:val="both"/>
        <w:rPr/>
      </w:pPr>
      <w:r>
        <w:rPr>
          <w:rFonts w:cs="Arial" w:ascii="Arial" w:hAnsi="Arial"/>
        </w:rPr>
        <w:t>3. Кроме льгот, предусмотренных статьями 391, 395 Налогового кодекса РФ (часть вторая), предоставить льготу по оплате земельного налога в размере 100% от установленной ставки земельного налога следующим отдельным категориям налогоплательщиков:</w:t>
      </w:r>
    </w:p>
    <w:p>
      <w:pPr>
        <w:pStyle w:val="HTML1"/>
        <w:ind w:firstLine="540"/>
        <w:jc w:val="both"/>
        <w:rPr>
          <w:rFonts w:ascii="Arial" w:hAnsi="Arial" w:eastAsia="Times New Roman" w:cs="Arial"/>
          <w:sz w:val="24"/>
          <w:szCs w:val="24"/>
          <w:lang w:eastAsia="ru-RU"/>
        </w:rPr>
      </w:pPr>
      <w:r>
        <w:rPr>
          <w:rFonts w:eastAsia="Times New Roman" w:cs="Arial" w:ascii="Arial" w:hAnsi="Arial"/>
          <w:sz w:val="24"/>
          <w:szCs w:val="24"/>
          <w:lang w:eastAsia="ru-RU"/>
        </w:rPr>
        <w:t>- органам государственной власти, органам местного самоуправления муниципальных образований – в отношении земельных участков, предоставленных для обеспечения их деятельности;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540"/>
        <w:jc w:val="both"/>
        <w:rPr>
          <w:rFonts w:ascii="Arial" w:hAnsi="Arial" w:cs="Arial"/>
        </w:rPr>
      </w:pPr>
      <w:r>
        <w:rPr>
          <w:rFonts w:cs="Arial" w:ascii="Arial" w:hAnsi="Arial"/>
        </w:rPr>
        <w:t>- участникам Великой Отечественной войны, а также гражданам, на которых законодательством распространены социальные гарантии и льготы участников Великой Отечественной войны.</w:t>
      </w:r>
    </w:p>
    <w:p>
      <w:pPr>
        <w:pStyle w:val="Normal"/>
        <w:tabs>
          <w:tab w:val="clear" w:pos="708"/>
          <w:tab w:val="left" w:pos="720" w:leader="none"/>
        </w:tabs>
        <w:suppressAutoHyphens w:val="true"/>
        <w:rPr>
          <w:rFonts w:ascii="Arial" w:hAnsi="Arial" w:cs="Arial"/>
        </w:rPr>
      </w:pPr>
      <w:r>
        <w:rPr>
          <w:rFonts w:cs="Arial" w:ascii="Arial" w:hAnsi="Arial"/>
        </w:rPr>
        <w:t>4. Порядок и сроки уплаты налога и авансовых платежей по налогу.</w:t>
      </w:r>
    </w:p>
    <w:p>
      <w:pPr>
        <w:pStyle w:val="Normal"/>
        <w:jc w:val="both"/>
        <w:rPr/>
      </w:pPr>
      <w:r>
        <w:rPr>
          <w:rFonts w:eastAsia="Arial" w:cs="Arial" w:ascii="Arial" w:hAnsi="Arial"/>
        </w:rPr>
        <w:t xml:space="preserve">      </w:t>
      </w:r>
      <w:r>
        <w:rPr>
          <w:rFonts w:cs="Arial" w:ascii="Arial" w:hAnsi="Arial"/>
        </w:rPr>
        <w:t>-налогоплательщики – организации уплачивают авансовые платежи по итогам отчетного периода не позднее 10 мая, 10 августа, 10 ноября;</w:t>
      </w:r>
    </w:p>
    <w:p>
      <w:pPr>
        <w:pStyle w:val="Normal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</w:t>
      </w:r>
      <w:r>
        <w:rPr>
          <w:rFonts w:cs="Arial" w:ascii="Arial" w:hAnsi="Arial"/>
        </w:rPr>
        <w:t>-  налогоплательщики – организации уплачивают земельный налог в срок не позднее 10 февраля года, следующего за истекшим налоговым периодом;</w:t>
      </w:r>
    </w:p>
    <w:p>
      <w:pPr>
        <w:pStyle w:val="Normal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</w:t>
      </w:r>
      <w:r>
        <w:rPr>
          <w:rFonts w:cs="Arial" w:ascii="Arial" w:hAnsi="Arial"/>
        </w:rPr>
        <w:t>-  налогоплательщики – физические лица, уплачивают земельный налог в срок не позднее 1 декабря года,  следующего за истекшим налоговым периодом, на основании налогового уведомления, направленного налоговым органом.</w:t>
      </w:r>
    </w:p>
    <w:p>
      <w:pPr>
        <w:pStyle w:val="Normal"/>
        <w:jc w:val="both"/>
        <w:rPr/>
      </w:pPr>
      <w:r>
        <w:rPr>
          <w:rFonts w:cs="Arial" w:ascii="Arial" w:hAnsi="Arial"/>
          <w:lang w:eastAsia="ar-SA"/>
        </w:rPr>
        <w:t xml:space="preserve">5. </w:t>
      </w:r>
      <w:r>
        <w:rPr>
          <w:rFonts w:cs="Arial" w:ascii="Arial" w:hAnsi="Arial"/>
        </w:rPr>
        <w:t>Настоящее решение вступает в силу не ранее чем по истечении одного месяца со дня их официального опубликования и не ранее 1-го числа очередного налогового периода по соответствующему налогу.</w:t>
      </w:r>
    </w:p>
    <w:p>
      <w:pPr>
        <w:pStyle w:val="Normal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 xml:space="preserve">6. Настоящее решение опубликовать в районной газете </w:t>
      </w:r>
      <w:bookmarkStart w:id="0" w:name="_GoBack"/>
      <w:bookmarkEnd w:id="0"/>
      <w:r>
        <w:rPr>
          <w:rFonts w:cs="Arial" w:ascii="Arial" w:hAnsi="Arial"/>
          <w:lang w:eastAsia="ar-SA"/>
        </w:rPr>
        <w:t>«Знамя победы».</w:t>
      </w:r>
    </w:p>
    <w:p>
      <w:pPr>
        <w:pStyle w:val="Normal"/>
        <w:tabs>
          <w:tab w:val="clear" w:pos="708"/>
          <w:tab w:val="left" w:pos="660" w:leader="none"/>
        </w:tabs>
        <w:suppressAutoHyphens w:val="true"/>
        <w:jc w:val="both"/>
        <w:rPr/>
      </w:pPr>
      <w:r>
        <w:rPr>
          <w:rFonts w:cs="Arial" w:ascii="Arial" w:hAnsi="Arial"/>
        </w:rPr>
        <w:t>7. Признать утратившим силу:</w:t>
      </w:r>
    </w:p>
    <w:p>
      <w:pPr>
        <w:pStyle w:val="Normal"/>
        <w:autoSpaceDE w:val="false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 xml:space="preserve">-Решение поселкового Совета рабочего поселка Шаранга Шарангского муниципального района Нижегородской области от 22.12.2016 года № 37 «Об установлении земельного налога на территории рабочего поселка Шаранга Шарангского муниципального района Нижегородской области» </w:t>
      </w:r>
    </w:p>
    <w:p>
      <w:pPr>
        <w:pStyle w:val="Normal"/>
        <w:jc w:val="both"/>
        <w:rPr>
          <w:rFonts w:ascii="Arial" w:hAnsi="Arial" w:cs="Arial"/>
          <w:bCs/>
        </w:rPr>
      </w:pPr>
      <w:r>
        <w:rPr>
          <w:rFonts w:cs="Arial" w:ascii="Arial" w:hAnsi="Arial"/>
        </w:rPr>
        <w:t>- Решение поселкового Совета рабочего поселка Шаранга Шарангского муниципального района Нижегородской области от 16.07.2019 года № 17 «</w:t>
      </w:r>
      <w:r>
        <w:rPr>
          <w:rStyle w:val="Style15"/>
          <w:rFonts w:cs="Arial" w:ascii="Arial" w:hAnsi="Arial"/>
          <w:b w:val="false"/>
        </w:rPr>
        <w:t>О внесении изменений в решение поселкового Совета рабочего поселка Шаранга Шарангского муниципального района Нижегородской области от 22.12.2016 №37   «Об утверждении земельного налога на территории рабочего поселка Шаранга Шарангского муниципального района Нижегородской области»</w:t>
      </w:r>
    </w:p>
    <w:p>
      <w:pPr>
        <w:pStyle w:val="Normal"/>
        <w:ind w:firstLine="540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jc w:val="both"/>
        <w:rPr/>
      </w:pPr>
      <w:r>
        <w:rPr>
          <w:rFonts w:cs="Arial" w:ascii="Arial" w:hAnsi="Arial"/>
        </w:rPr>
        <w:t>Глава местного самоуправления      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08"/>
          <w:tab w:val="left" w:pos="0" w:leader="none"/>
          <w:tab w:val="left" w:pos="540" w:leader="none"/>
        </w:tabs>
        <w:spacing w:lineRule="auto" w:line="360"/>
        <w:jc w:val="both"/>
        <w:rPr>
          <w:sz w:val="28"/>
          <w:szCs w:val="28"/>
          <w:lang w:eastAsia="ar-SA"/>
        </w:rPr>
      </w:pPr>
      <w:r>
        <w:rPr>
          <w:b/>
          <w:sz w:val="28"/>
          <w:szCs w:val="28"/>
        </w:rPr>
        <w:tab/>
      </w:r>
    </w:p>
    <w:p>
      <w:pPr>
        <w:pStyle w:val="Normal"/>
        <w:suppressAutoHyphens w:val="true"/>
        <w:spacing w:lineRule="auto" w:line="360"/>
        <w:ind w:left="1020" w:hanging="0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</w:r>
    </w:p>
    <w:p>
      <w:pPr>
        <w:pStyle w:val="Style18"/>
        <w:jc w:val="right"/>
        <w:rPr>
          <w:rFonts w:ascii="Arial" w:hAnsi="Arial" w:cs="Arial"/>
          <w:b w:val="false"/>
          <w:b w:val="false"/>
          <w:sz w:val="22"/>
          <w:szCs w:val="22"/>
          <w:lang w:eastAsia="ar-SA"/>
        </w:rPr>
      </w:pPr>
      <w:r>
        <w:rPr>
          <w:rFonts w:cs="Arial" w:ascii="Arial" w:hAnsi="Arial"/>
          <w:b w:val="false"/>
          <w:sz w:val="22"/>
          <w:szCs w:val="22"/>
          <w:lang w:eastAsia="ar-SA"/>
        </w:rPr>
      </w:r>
    </w:p>
    <w:sectPr>
      <w:type w:val="nextPage"/>
      <w:pgSz w:w="11906" w:h="16838"/>
      <w:pgMar w:left="964" w:right="567" w:header="0" w:top="73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Consolas">
    <w:charset w:val="cc"/>
    <w:family w:val="modern"/>
    <w:pitch w:val="default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>
      <w:rFonts w:ascii="Times New Roman" w:hAnsi="Times New Roman" w:eastAsia="Times New Roman" w:cs="Times New Roman"/>
      <w:sz w:val="24"/>
    </w:rPr>
  </w:style>
  <w:style w:type="character" w:styleId="WW8Num18z1">
    <w:name w:val="WW8Num18z1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eastAsia="Calibri" w:cs="Times New Roman"/>
    </w:rPr>
  </w:style>
  <w:style w:type="character" w:styleId="WW8Num22z1">
    <w:name w:val="WW8Num22z1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/>
  </w:style>
  <w:style w:type="character" w:styleId="WW8Num27z1">
    <w:name w:val="WW8Num27z1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/>
  </w:style>
  <w:style w:type="character" w:styleId="WW8Num28z1">
    <w:name w:val="WW8Num28z1"/>
    <w:qFormat/>
    <w:rPr/>
  </w:style>
  <w:style w:type="character" w:styleId="WW8Num28z2">
    <w:name w:val="WW8Num28z2"/>
    <w:qFormat/>
    <w:rPr/>
  </w:style>
  <w:style w:type="character" w:styleId="WW8Num28z3">
    <w:name w:val="WW8Num28z3"/>
    <w:qFormat/>
    <w:rPr/>
  </w:style>
  <w:style w:type="character" w:styleId="WW8Num28z4">
    <w:name w:val="WW8Num28z4"/>
    <w:qFormat/>
    <w:rPr/>
  </w:style>
  <w:style w:type="character" w:styleId="WW8Num28z5">
    <w:name w:val="WW8Num28z5"/>
    <w:qFormat/>
    <w:rPr/>
  </w:style>
  <w:style w:type="character" w:styleId="WW8Num28z6">
    <w:name w:val="WW8Num28z6"/>
    <w:qFormat/>
    <w:rPr/>
  </w:style>
  <w:style w:type="character" w:styleId="WW8Num28z7">
    <w:name w:val="WW8Num28z7"/>
    <w:qFormat/>
    <w:rPr/>
  </w:style>
  <w:style w:type="character" w:styleId="WW8Num28z8">
    <w:name w:val="WW8Num28z8"/>
    <w:qFormat/>
    <w:rPr/>
  </w:style>
  <w:style w:type="character" w:styleId="WW8Num29z0">
    <w:name w:val="WW8Num29z0"/>
    <w:qFormat/>
    <w:rPr/>
  </w:style>
  <w:style w:type="character" w:styleId="WW8Num29z1">
    <w:name w:val="WW8Num29z1"/>
    <w:qFormat/>
    <w:rPr/>
  </w:style>
  <w:style w:type="character" w:styleId="WW8Num29z2">
    <w:name w:val="WW8Num29z2"/>
    <w:qFormat/>
    <w:rPr/>
  </w:style>
  <w:style w:type="character" w:styleId="WW8Num29z3">
    <w:name w:val="WW8Num29z3"/>
    <w:qFormat/>
    <w:rPr/>
  </w:style>
  <w:style w:type="character" w:styleId="WW8Num29z4">
    <w:name w:val="WW8Num29z4"/>
    <w:qFormat/>
    <w:rPr/>
  </w:style>
  <w:style w:type="character" w:styleId="WW8Num29z5">
    <w:name w:val="WW8Num29z5"/>
    <w:qFormat/>
    <w:rPr/>
  </w:style>
  <w:style w:type="character" w:styleId="WW8Num29z6">
    <w:name w:val="WW8Num29z6"/>
    <w:qFormat/>
    <w:rPr/>
  </w:style>
  <w:style w:type="character" w:styleId="WW8Num29z7">
    <w:name w:val="WW8Num29z7"/>
    <w:qFormat/>
    <w:rPr/>
  </w:style>
  <w:style w:type="character" w:styleId="WW8Num29z8">
    <w:name w:val="WW8Num29z8"/>
    <w:qFormat/>
    <w:rPr/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basedOn w:val="Style12"/>
    <w:qFormat/>
    <w:rPr>
      <w:rFonts w:ascii="Tahoma" w:hAnsi="Tahoma" w:eastAsia="Times New Roman" w:cs="Tahoma"/>
      <w:sz w:val="16"/>
      <w:szCs w:val="16"/>
    </w:rPr>
  </w:style>
  <w:style w:type="character" w:styleId="Style14">
    <w:name w:val="Основной текст Знак"/>
    <w:basedOn w:val="Style12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5">
    <w:name w:val="Выделение жирным"/>
    <w:qFormat/>
    <w:rPr>
      <w:b/>
      <w:bCs/>
    </w:rPr>
  </w:style>
  <w:style w:type="character" w:styleId="31">
    <w:name w:val="Заголовок 3 Знак"/>
    <w:basedOn w:val="Style12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ConsPlusNormal">
    <w:name w:val="ConsPlusNormal Знак"/>
    <w:basedOn w:val="Style12"/>
    <w:qFormat/>
    <w:rPr>
      <w:rFonts w:ascii="Arial" w:hAnsi="Arial" w:eastAsia="Times New Roman" w:cs="Arial"/>
      <w:lang w:val="ru-RU" w:bidi="ar-SA"/>
    </w:rPr>
  </w:style>
  <w:style w:type="character" w:styleId="Appleconvertedspace">
    <w:name w:val="apple-converted-space"/>
    <w:basedOn w:val="Style12"/>
    <w:qFormat/>
    <w:rPr/>
  </w:style>
  <w:style w:type="character" w:styleId="FontStyle15">
    <w:name w:val="Font Style15"/>
    <w:basedOn w:val="Style12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basedOn w:val="Style12"/>
    <w:qFormat/>
    <w:rPr>
      <w:rFonts w:ascii="Times New Roman" w:hAnsi="Times New Roman" w:cs="Times New Roman"/>
      <w:sz w:val="26"/>
      <w:szCs w:val="26"/>
    </w:rPr>
  </w:style>
  <w:style w:type="character" w:styleId="2">
    <w:name w:val="Основной текст (2)_"/>
    <w:basedOn w:val="Style12"/>
    <w:qFormat/>
    <w:rPr>
      <w:sz w:val="28"/>
      <w:szCs w:val="28"/>
      <w:shd w:fill="FFFFFF" w:val="clear"/>
    </w:rPr>
  </w:style>
  <w:style w:type="character" w:styleId="HTML">
    <w:name w:val="Стандартный HTML Знак"/>
    <w:basedOn w:val="Style12"/>
    <w:qFormat/>
    <w:rPr>
      <w:rFonts w:ascii="Consolas" w:hAnsi="Consolas" w:eastAsia="Calibri" w:cs="Times New Roman"/>
    </w:rPr>
  </w:style>
  <w:style w:type="character" w:styleId="Style16">
    <w:name w:val="Интернет-ссылка"/>
    <w:rPr>
      <w:color w:val="000080"/>
      <w:u w:val="single"/>
      <w:lang w:val="zxx" w:eastAsia="zxx" w:bidi="zxx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jc w:val="center"/>
    </w:pPr>
    <w:rPr>
      <w:b/>
      <w:bCs/>
      <w:sz w:val="28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Style22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4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5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uto" w:before="300" w:after="420"/>
      <w:jc w:val="right"/>
    </w:pPr>
    <w:rPr>
      <w:rFonts w:ascii="Calibri" w:hAnsi="Calibri" w:eastAsia="Calibri" w:cs="Calibri"/>
      <w:sz w:val="28"/>
      <w:szCs w:val="28"/>
    </w:rPr>
  </w:style>
  <w:style w:type="paragraph" w:styleId="HTML1">
    <w:name w:val="Стандартный HTML"/>
    <w:basedOn w:val="Normal"/>
    <w:qFormat/>
    <w:pPr/>
    <w:rPr>
      <w:rFonts w:ascii="Consolas" w:hAnsi="Consolas" w:eastAsia="Calibri" w:cs="Times New Roman"/>
      <w:sz w:val="20"/>
      <w:szCs w:val="20"/>
    </w:rPr>
  </w:style>
  <w:style w:type="paragraph" w:styleId="Style26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consultantplus://offline/ref=E82F8340F11ABA865098B8C703DE2A8C725CB6459CF5011C36693FA9D97410E2E749FD1163A2R6p4H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462</TotalTime>
  <Application>LibreOffice/6.3.3.2$Windows_x86 LibreOffice_project/a64200df03143b798afd1ec74a12ab50359878ed</Application>
  <Pages>2</Pages>
  <Words>501</Words>
  <Characters>3703</Characters>
  <CharactersWithSpaces>4312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2017-03-12T12:58:00Z</dcterms:created>
  <dc:creator>Home</dc:creator>
  <dc:description/>
  <cp:keywords/>
  <dc:language>ru-RU</dc:language>
  <cp:lastModifiedBy>Admin</cp:lastModifiedBy>
  <cp:lastPrinted>2019-12-23T16:10:00Z</cp:lastPrinted>
  <dcterms:modified xsi:type="dcterms:W3CDTF">2019-12-23T15:13:00Z</dcterms:modified>
  <cp:revision>39</cp:revision>
  <dc:subject/>
  <dc:title/>
</cp:coreProperties>
</file>