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jc w:val="both"/>
        <w:rPr>
          <w:rFonts w:ascii="Arial" w:hAnsi="Arial" w:cs="Arial"/>
          <w:sz w:val="28"/>
          <w:szCs w:val="28"/>
        </w:rPr>
      </w:pPr>
      <w:r>
        <w:rPr>
          <w:rFonts w:cs="Arial" w:ascii="Arial" w:hAnsi="Arial"/>
          <w:sz w:val="28"/>
          <w:szCs w:val="28"/>
        </w:rPr>
      </w:r>
    </w:p>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4" t="-50" r="-44"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sz w:val="28"/>
          <w:szCs w:val="28"/>
        </w:rPr>
      </w:pPr>
      <w:r>
        <w:rPr>
          <w:rFonts w:cs="Arial" w:ascii="Arial" w:hAnsi="Arial"/>
          <w:sz w:val="28"/>
          <w:szCs w:val="28"/>
        </w:rPr>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Normal"/>
        <w:jc w:val="center"/>
        <w:rPr>
          <w:rFonts w:ascii="Arial" w:hAnsi="Arial" w:cs="Arial"/>
          <w:b/>
          <w:b/>
          <w:spacing w:val="60"/>
          <w:sz w:val="32"/>
          <w:szCs w:val="32"/>
          <w:lang w:eastAsia="ar-SA"/>
        </w:rPr>
      </w:pPr>
      <w:r>
        <w:rPr>
          <w:rFonts w:cs="Arial" w:ascii="Arial" w:hAnsi="Arial"/>
          <w:b/>
          <w:spacing w:val="60"/>
          <w:sz w:val="32"/>
          <w:szCs w:val="32"/>
          <w:lang w:eastAsia="ar-SA"/>
        </w:rPr>
      </w:r>
    </w:p>
    <w:p>
      <w:pPr>
        <w:pStyle w:val="1"/>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1" allowOverlap="1" relativeHeight="3">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r>
        <mc:AlternateContent>
          <mc:Choice Requires="wps">
            <w:drawing>
              <wp:anchor behindDoc="0" distT="0" distB="0" distL="114935" distR="114935" simplePos="0" locked="0" layoutInCell="1" allowOverlap="1" relativeHeight="4">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v:rect>
            </w:pict>
          </mc:Fallback>
        </mc:AlternateContent>
      </w:r>
    </w:p>
    <w:p>
      <w:pPr>
        <w:pStyle w:val="Normal"/>
        <w:tabs>
          <w:tab w:val="clear" w:pos="708"/>
          <w:tab w:val="left" w:pos="3105" w:leader="none"/>
          <w:tab w:val="left" w:pos="3195" w:leader="none"/>
          <w:tab w:val="left" w:pos="4253" w:leader="none"/>
        </w:tabs>
        <w:ind w:firstLine="567"/>
        <w:jc w:val="center"/>
        <w:rPr>
          <w:rFonts w:ascii="Arial" w:hAnsi="Arial" w:cs="Arial"/>
        </w:rPr>
      </w:pPr>
      <w:r>
        <w:rPr>
          <w:rFonts w:cs="Arial" w:ascii="Arial" w:hAnsi="Arial"/>
        </w:rPr>
        <w:t>от 01.10.2019</w:t>
        <w:tab/>
        <w:tab/>
        <w:tab/>
        <w:tab/>
        <w:tab/>
        <w:tab/>
        <w:tab/>
        <w:tab/>
        <w:tab/>
      </w:r>
      <w:r>
        <w:rPr>
          <w:rFonts w:cs="Arial" w:ascii="Arial" w:hAnsi="Arial"/>
          <w:lang w:val="en-US"/>
        </w:rPr>
        <w:t>N</w:t>
      </w:r>
      <w:r>
        <w:rPr>
          <w:rFonts w:cs="Arial" w:ascii="Arial" w:hAnsi="Arial"/>
        </w:rPr>
        <w:t>23</w:t>
      </w:r>
    </w:p>
    <w:p>
      <w:pPr>
        <w:pStyle w:val="Normal"/>
        <w:widowControl w:val="false"/>
        <w:autoSpaceDE w:val="false"/>
        <w:ind w:firstLine="567"/>
        <w:jc w:val="center"/>
        <w:rPr>
          <w:rFonts w:ascii="Arial" w:hAnsi="Arial" w:cs="Arial"/>
          <w:b/>
          <w:b/>
          <w:sz w:val="28"/>
          <w:szCs w:val="28"/>
        </w:rPr>
      </w:pPr>
      <w:r>
        <w:rPr>
          <w:rFonts w:cs="Arial" w:ascii="Arial" w:hAnsi="Arial"/>
          <w:b/>
          <w:sz w:val="28"/>
          <w:szCs w:val="28"/>
        </w:rPr>
      </w:r>
    </w:p>
    <w:p>
      <w:pPr>
        <w:pStyle w:val="Normal"/>
        <w:jc w:val="center"/>
        <w:rPr>
          <w:rStyle w:val="Style15"/>
          <w:rFonts w:ascii="Arial" w:hAnsi="Arial" w:cs="Arial"/>
          <w:sz w:val="28"/>
          <w:szCs w:val="28"/>
        </w:rPr>
      </w:pPr>
      <w:r>
        <w:rPr>
          <w:rStyle w:val="Style15"/>
          <w:rFonts w:cs="Arial" w:ascii="Arial" w:hAnsi="Arial"/>
          <w:sz w:val="28"/>
          <w:szCs w:val="28"/>
        </w:rPr>
        <w:t xml:space="preserve">О внесении изменений </w:t>
      </w:r>
    </w:p>
    <w:p>
      <w:pPr>
        <w:pStyle w:val="Normal"/>
        <w:jc w:val="center"/>
        <w:rPr>
          <w:rStyle w:val="Style15"/>
          <w:rFonts w:ascii="Arial" w:hAnsi="Arial" w:cs="Arial"/>
          <w:sz w:val="28"/>
          <w:szCs w:val="28"/>
        </w:rPr>
      </w:pPr>
      <w:r>
        <w:rPr>
          <w:rStyle w:val="Style15"/>
          <w:rFonts w:cs="Arial" w:ascii="Arial" w:hAnsi="Arial"/>
          <w:sz w:val="28"/>
          <w:szCs w:val="28"/>
        </w:rPr>
        <w:t>в решение поселкового Совета рабочего поселка</w:t>
      </w:r>
    </w:p>
    <w:p>
      <w:pPr>
        <w:pStyle w:val="Normal"/>
        <w:jc w:val="center"/>
        <w:rPr>
          <w:rFonts w:ascii="Arial" w:hAnsi="Arial" w:cs="Arial"/>
          <w:b/>
          <w:b/>
          <w:bCs/>
          <w:sz w:val="28"/>
          <w:szCs w:val="28"/>
        </w:rPr>
      </w:pPr>
      <w:r>
        <w:rPr>
          <w:rStyle w:val="Style15"/>
          <w:rFonts w:cs="Arial" w:ascii="Arial" w:hAnsi="Arial"/>
          <w:sz w:val="28"/>
          <w:szCs w:val="28"/>
        </w:rPr>
        <w:t>Шаранга Шарангского муниципального района Нижегородской области от 22.12.2016 №38 «О денежном содержании муниципальных служащих администрации рабочего поселка Шаранга Шарангского муниципального района Нижегородской области»</w:t>
      </w:r>
    </w:p>
    <w:p>
      <w:pPr>
        <w:pStyle w:val="Normal"/>
        <w:widowControl w:val="false"/>
        <w:numPr>
          <w:ilvl w:val="0"/>
          <w:numId w:val="0"/>
        </w:numPr>
        <w:autoSpaceDE w:val="false"/>
        <w:jc w:val="center"/>
        <w:outlineLvl w:val="0"/>
        <w:rPr>
          <w:rFonts w:ascii="Arial" w:hAnsi="Arial" w:cs="Arial"/>
          <w:b/>
          <w:b/>
          <w:bCs/>
          <w:sz w:val="28"/>
          <w:szCs w:val="28"/>
        </w:rPr>
      </w:pPr>
      <w:r>
        <w:rPr>
          <w:rFonts w:cs="Arial" w:ascii="Arial" w:hAnsi="Arial"/>
          <w:b/>
          <w:bCs/>
          <w:sz w:val="28"/>
          <w:szCs w:val="28"/>
        </w:rPr>
      </w:r>
    </w:p>
    <w:p>
      <w:pPr>
        <w:pStyle w:val="Normal"/>
        <w:widowControl w:val="false"/>
        <w:autoSpaceDE w:val="false"/>
        <w:ind w:firstLine="567"/>
        <w:jc w:val="both"/>
        <w:rPr/>
      </w:pPr>
      <w:r>
        <w:rPr>
          <w:rFonts w:eastAsia="Arial" w:cs="Arial" w:ascii="Arial" w:hAnsi="Arial"/>
        </w:rPr>
        <w:t xml:space="preserve">         </w:t>
      </w:r>
      <w:r>
        <w:rPr>
          <w:rFonts w:cs="Arial" w:ascii="Arial" w:hAnsi="Arial"/>
        </w:rPr>
        <w:t>В соответствии с распоряжением администрации Шарангского муниципального района Нижегородской области от 12 декабря 2017 №94 «О принятии мер по увеличению оплаты труда работников бюджетного сектора экономики Шарангского района», Уставом рабочего поселка Шаранга Шарангского муниципального района Нижегородской области,  поселковый Совет рабочего посёлка Шаранга Шарангского муниципального района Нижегородской области РЕШИЛ:</w:t>
      </w:r>
    </w:p>
    <w:p>
      <w:pPr>
        <w:pStyle w:val="Normal"/>
        <w:suppressAutoHyphens w:val="true"/>
        <w:autoSpaceDE w:val="false"/>
        <w:jc w:val="both"/>
        <w:rPr>
          <w:rFonts w:ascii="Arial" w:hAnsi="Arial" w:cs="Arial"/>
          <w:bCs/>
        </w:rPr>
      </w:pPr>
      <w:r>
        <w:rPr>
          <w:rFonts w:eastAsia="Arial" w:cs="Arial" w:ascii="Arial" w:hAnsi="Arial"/>
          <w:bCs/>
        </w:rPr>
        <w:t xml:space="preserve">            </w:t>
      </w:r>
      <w:r>
        <w:rPr>
          <w:rFonts w:cs="Arial" w:ascii="Arial" w:hAnsi="Arial"/>
          <w:bCs/>
        </w:rPr>
        <w:t xml:space="preserve">1.Внести в решение поселкового Совета рабочего поселка Шаранга Шарангского муниципального района Нижегородской области от 22.12.2016 №38 </w:t>
      </w:r>
      <w:r>
        <w:rPr>
          <w:rStyle w:val="Style15"/>
          <w:rFonts w:cs="Arial" w:ascii="Arial" w:hAnsi="Arial"/>
          <w:b w:val="false"/>
        </w:rPr>
        <w:t>«О денежном содержании муниципальных служащих администрации рабочего поселка Шаранга Шарангского муниципального района Нижегородской области»</w:t>
      </w:r>
      <w:r>
        <w:rPr>
          <w:rFonts w:cs="Arial" w:ascii="Arial" w:hAnsi="Arial"/>
          <w:bCs/>
        </w:rPr>
        <w:t xml:space="preserve"> (далее – решение) следующие изменения:</w:t>
      </w:r>
    </w:p>
    <w:p>
      <w:pPr>
        <w:pStyle w:val="ConsPlusNormal1"/>
        <w:bidi w:val="0"/>
        <w:ind w:hanging="0"/>
        <w:jc w:val="both"/>
        <w:rPr/>
      </w:pPr>
      <w:r>
        <w:rPr>
          <w:sz w:val="24"/>
          <w:szCs w:val="24"/>
        </w:rPr>
        <w:t>1.1.Приложение «Размеры должностных окладов муниципальных служащих администрации  рабочего поселка Шаранга Шарангского муниципального района  Нижегородской области</w:t>
      </w:r>
      <w:r>
        <w:rPr>
          <w:b/>
          <w:sz w:val="24"/>
          <w:szCs w:val="24"/>
        </w:rPr>
        <w:t xml:space="preserve"> </w:t>
      </w:r>
      <w:r>
        <w:rPr>
          <w:sz w:val="24"/>
          <w:szCs w:val="24"/>
        </w:rPr>
        <w:t>» изложить в следующей редакции</w:t>
      </w:r>
      <w:r>
        <w:rPr/>
        <w:t>:</w:t>
      </w:r>
    </w:p>
    <w:tbl>
      <w:tblPr>
        <w:tblW w:w="10041" w:type="dxa"/>
        <w:jc w:val="left"/>
        <w:tblInd w:w="-113" w:type="dxa"/>
        <w:tblCellMar>
          <w:top w:w="0" w:type="dxa"/>
          <w:left w:w="108" w:type="dxa"/>
          <w:bottom w:w="0" w:type="dxa"/>
          <w:right w:w="108" w:type="dxa"/>
        </w:tblCellMar>
      </w:tblPr>
      <w:tblGrid>
        <w:gridCol w:w="5920"/>
        <w:gridCol w:w="4121"/>
      </w:tblGrid>
      <w:tr>
        <w:trPr/>
        <w:tc>
          <w:tcPr>
            <w:tcW w:w="5920" w:type="dxa"/>
            <w:tcBorders>
              <w:top w:val="single" w:sz="4" w:space="0" w:color="000000"/>
              <w:left w:val="single" w:sz="4" w:space="0" w:color="000000"/>
              <w:bottom w:val="single" w:sz="4" w:space="0" w:color="000000"/>
            </w:tcBorders>
            <w:shd w:fill="auto" w:val="clear"/>
          </w:tcPr>
          <w:p>
            <w:pPr>
              <w:pStyle w:val="ConsPlusNormal1"/>
              <w:bidi w:val="0"/>
              <w:ind w:hanging="0"/>
              <w:jc w:val="center"/>
              <w:rPr>
                <w:sz w:val="24"/>
                <w:szCs w:val="24"/>
              </w:rPr>
            </w:pPr>
            <w:r>
              <w:rPr>
                <w:sz w:val="24"/>
                <w:szCs w:val="24"/>
              </w:rPr>
              <w:t>Наименование должности</w:t>
            </w:r>
          </w:p>
        </w:tc>
        <w:tc>
          <w:tcPr>
            <w:tcW w:w="4121" w:type="dxa"/>
            <w:tcBorders>
              <w:top w:val="single" w:sz="4" w:space="0" w:color="000000"/>
              <w:left w:val="single" w:sz="4" w:space="0" w:color="000000"/>
              <w:bottom w:val="single" w:sz="4" w:space="0" w:color="000000"/>
              <w:right w:val="single" w:sz="4" w:space="0" w:color="000000"/>
            </w:tcBorders>
            <w:shd w:fill="auto" w:val="clear"/>
          </w:tcPr>
          <w:p>
            <w:pPr>
              <w:pStyle w:val="ConsPlusNormal1"/>
              <w:bidi w:val="0"/>
              <w:ind w:hanging="0"/>
              <w:jc w:val="center"/>
              <w:rPr>
                <w:sz w:val="24"/>
                <w:szCs w:val="24"/>
              </w:rPr>
            </w:pPr>
            <w:r>
              <w:rPr>
                <w:sz w:val="24"/>
                <w:szCs w:val="24"/>
              </w:rPr>
              <w:t>Размер должностного оклада (руб.)</w:t>
            </w:r>
          </w:p>
        </w:tc>
      </w:tr>
      <w:tr>
        <w:trPr/>
        <w:tc>
          <w:tcPr>
            <w:tcW w:w="5920" w:type="dxa"/>
            <w:tcBorders>
              <w:top w:val="single" w:sz="4" w:space="0" w:color="000000"/>
              <w:left w:val="single" w:sz="4" w:space="0" w:color="000000"/>
              <w:bottom w:val="single" w:sz="4" w:space="0" w:color="000000"/>
            </w:tcBorders>
            <w:shd w:fill="auto" w:val="clear"/>
          </w:tcPr>
          <w:p>
            <w:pPr>
              <w:pStyle w:val="ConsPlusNormal1"/>
              <w:bidi w:val="0"/>
              <w:ind w:firstLine="709"/>
              <w:jc w:val="both"/>
              <w:rPr>
                <w:sz w:val="24"/>
                <w:szCs w:val="24"/>
              </w:rPr>
            </w:pPr>
            <w:r>
              <w:rPr>
                <w:sz w:val="24"/>
                <w:szCs w:val="24"/>
              </w:rPr>
              <w:t>Глава администрации</w:t>
            </w:r>
          </w:p>
        </w:tc>
        <w:tc>
          <w:tcPr>
            <w:tcW w:w="4121" w:type="dxa"/>
            <w:tcBorders>
              <w:top w:val="single" w:sz="4" w:space="0" w:color="000000"/>
              <w:left w:val="single" w:sz="4" w:space="0" w:color="000000"/>
              <w:bottom w:val="single" w:sz="4" w:space="0" w:color="000000"/>
              <w:right w:val="single" w:sz="4" w:space="0" w:color="000000"/>
            </w:tcBorders>
            <w:shd w:fill="auto" w:val="clear"/>
            <w:vAlign w:val="center"/>
          </w:tcPr>
          <w:p>
            <w:pPr>
              <w:pStyle w:val="ConsPlusNormal1"/>
              <w:bidi w:val="0"/>
              <w:ind w:hanging="0"/>
              <w:jc w:val="center"/>
              <w:rPr/>
            </w:pPr>
            <w:r>
              <w:rPr>
                <w:sz w:val="24"/>
                <w:szCs w:val="24"/>
              </w:rPr>
              <w:t>16 261,00</w:t>
            </w:r>
          </w:p>
        </w:tc>
      </w:tr>
      <w:tr>
        <w:trPr/>
        <w:tc>
          <w:tcPr>
            <w:tcW w:w="5920" w:type="dxa"/>
            <w:tcBorders>
              <w:top w:val="single" w:sz="4" w:space="0" w:color="000000"/>
              <w:left w:val="single" w:sz="4" w:space="0" w:color="000000"/>
              <w:bottom w:val="single" w:sz="4" w:space="0" w:color="000000"/>
            </w:tcBorders>
            <w:shd w:fill="auto" w:val="clear"/>
            <w:vAlign w:val="center"/>
          </w:tcPr>
          <w:p>
            <w:pPr>
              <w:pStyle w:val="ConsPlusNormal1"/>
              <w:bidi w:val="0"/>
              <w:ind w:firstLine="709"/>
              <w:jc w:val="both"/>
              <w:rPr>
                <w:sz w:val="24"/>
                <w:szCs w:val="24"/>
              </w:rPr>
            </w:pPr>
            <w:r>
              <w:rPr>
                <w:sz w:val="24"/>
                <w:szCs w:val="24"/>
              </w:rPr>
              <w:t>Специалист первой категории</w:t>
            </w:r>
          </w:p>
        </w:tc>
        <w:tc>
          <w:tcPr>
            <w:tcW w:w="4121" w:type="dxa"/>
            <w:tcBorders>
              <w:top w:val="single" w:sz="4" w:space="0" w:color="000000"/>
              <w:left w:val="single" w:sz="4" w:space="0" w:color="000000"/>
              <w:bottom w:val="single" w:sz="4" w:space="0" w:color="000000"/>
              <w:right w:val="single" w:sz="4" w:space="0" w:color="000000"/>
            </w:tcBorders>
            <w:shd w:fill="auto" w:val="clear"/>
          </w:tcPr>
          <w:p>
            <w:pPr>
              <w:pStyle w:val="ConsPlusNormal1"/>
              <w:bidi w:val="0"/>
              <w:ind w:hanging="0"/>
              <w:jc w:val="center"/>
              <w:rPr/>
            </w:pPr>
            <w:r>
              <w:rPr>
                <w:sz w:val="24"/>
                <w:szCs w:val="24"/>
              </w:rPr>
              <w:t>6 668,00</w:t>
            </w:r>
          </w:p>
        </w:tc>
      </w:tr>
      <w:tr>
        <w:trPr/>
        <w:tc>
          <w:tcPr>
            <w:tcW w:w="5920" w:type="dxa"/>
            <w:tcBorders>
              <w:top w:val="single" w:sz="4" w:space="0" w:color="000000"/>
              <w:left w:val="single" w:sz="4" w:space="0" w:color="000000"/>
              <w:bottom w:val="single" w:sz="4" w:space="0" w:color="000000"/>
            </w:tcBorders>
            <w:shd w:fill="auto" w:val="clear"/>
            <w:vAlign w:val="center"/>
          </w:tcPr>
          <w:p>
            <w:pPr>
              <w:pStyle w:val="ConsPlusNormal1"/>
              <w:bidi w:val="0"/>
              <w:ind w:firstLine="709"/>
              <w:jc w:val="both"/>
              <w:rPr>
                <w:sz w:val="24"/>
                <w:szCs w:val="24"/>
              </w:rPr>
            </w:pPr>
            <w:r>
              <w:rPr>
                <w:sz w:val="24"/>
                <w:szCs w:val="24"/>
              </w:rPr>
              <w:t>Специалист первой категории</w:t>
            </w:r>
          </w:p>
        </w:tc>
        <w:tc>
          <w:tcPr>
            <w:tcW w:w="4121" w:type="dxa"/>
            <w:tcBorders>
              <w:top w:val="single" w:sz="4" w:space="0" w:color="000000"/>
              <w:left w:val="single" w:sz="4" w:space="0" w:color="000000"/>
              <w:bottom w:val="single" w:sz="4" w:space="0" w:color="000000"/>
              <w:right w:val="single" w:sz="4" w:space="0" w:color="000000"/>
            </w:tcBorders>
            <w:shd w:fill="auto" w:val="clear"/>
          </w:tcPr>
          <w:p>
            <w:pPr>
              <w:pStyle w:val="ConsPlusNormal1"/>
              <w:bidi w:val="0"/>
              <w:ind w:hanging="0"/>
              <w:jc w:val="center"/>
              <w:rPr/>
            </w:pPr>
            <w:r>
              <w:rPr>
                <w:sz w:val="24"/>
                <w:szCs w:val="24"/>
              </w:rPr>
              <w:t>6 262,00</w:t>
            </w:r>
          </w:p>
        </w:tc>
      </w:tr>
      <w:tr>
        <w:trPr/>
        <w:tc>
          <w:tcPr>
            <w:tcW w:w="5920" w:type="dxa"/>
            <w:tcBorders>
              <w:top w:val="single" w:sz="4" w:space="0" w:color="000000"/>
              <w:left w:val="single" w:sz="4" w:space="0" w:color="000000"/>
              <w:bottom w:val="single" w:sz="4" w:space="0" w:color="000000"/>
            </w:tcBorders>
            <w:shd w:fill="auto" w:val="clear"/>
            <w:vAlign w:val="center"/>
          </w:tcPr>
          <w:p>
            <w:pPr>
              <w:pStyle w:val="ConsPlusNormal1"/>
              <w:bidi w:val="0"/>
              <w:ind w:firstLine="709"/>
              <w:jc w:val="both"/>
              <w:rPr>
                <w:sz w:val="24"/>
                <w:szCs w:val="24"/>
              </w:rPr>
            </w:pPr>
            <w:r>
              <w:rPr>
                <w:sz w:val="24"/>
                <w:szCs w:val="24"/>
              </w:rPr>
              <w:t>Специалист второй категории</w:t>
            </w:r>
          </w:p>
        </w:tc>
        <w:tc>
          <w:tcPr>
            <w:tcW w:w="4121" w:type="dxa"/>
            <w:tcBorders>
              <w:top w:val="single" w:sz="4" w:space="0" w:color="000000"/>
              <w:left w:val="single" w:sz="4" w:space="0" w:color="000000"/>
              <w:bottom w:val="single" w:sz="4" w:space="0" w:color="000000"/>
              <w:right w:val="single" w:sz="4" w:space="0" w:color="000000"/>
            </w:tcBorders>
            <w:shd w:fill="auto" w:val="clear"/>
          </w:tcPr>
          <w:p>
            <w:pPr>
              <w:pStyle w:val="ConsPlusNormal1"/>
              <w:bidi w:val="0"/>
              <w:ind w:hanging="0"/>
              <w:jc w:val="center"/>
              <w:rPr/>
            </w:pPr>
            <w:r>
              <w:rPr>
                <w:sz w:val="24"/>
                <w:szCs w:val="24"/>
              </w:rPr>
              <w:t>5 530,00</w:t>
            </w:r>
          </w:p>
        </w:tc>
      </w:tr>
    </w:tbl>
    <w:p>
      <w:pPr>
        <w:pStyle w:val="Normal"/>
        <w:jc w:val="both"/>
        <w:rPr>
          <w:rFonts w:ascii="Arial" w:hAnsi="Arial" w:cs="Arial"/>
          <w:bCs/>
        </w:rPr>
      </w:pPr>
      <w:r>
        <w:rPr>
          <w:rFonts w:eastAsia="Arial" w:cs="Arial" w:ascii="Arial" w:hAnsi="Arial"/>
        </w:rPr>
        <w:t xml:space="preserve">           </w:t>
      </w:r>
      <w:r>
        <w:rPr>
          <w:rFonts w:cs="Arial" w:ascii="Arial" w:hAnsi="Arial"/>
        </w:rPr>
        <w:t>2. Признать утратившим силу решение поселкового Совета рабочего поселка Шаранга Шарангского муниципального района Нижегородской области от 02.03.2018 №09 «</w:t>
      </w:r>
      <w:r>
        <w:rPr>
          <w:rStyle w:val="Style15"/>
          <w:rFonts w:cs="Arial" w:ascii="Arial" w:hAnsi="Arial"/>
          <w:b w:val="false"/>
        </w:rPr>
        <w:t>О внесении изменений  в решение поселкового Совета рабочего поселка Шаранга Шарангского муниципального района Нижегородской области от 22.12.2016 №38 «О денежном содержании муниципальных служащих администрации рабочего поселка Шаранга Шарангского муниципального района Нижегородской области»</w:t>
      </w:r>
      <w:r>
        <w:rPr/>
        <w:t>»</w:t>
      </w:r>
    </w:p>
    <w:p>
      <w:pPr>
        <w:pStyle w:val="ConsPlusNormal1"/>
        <w:bidi w:val="0"/>
        <w:jc w:val="both"/>
        <w:rPr/>
      </w:pPr>
      <w:r>
        <w:rPr>
          <w:sz w:val="24"/>
          <w:szCs w:val="24"/>
        </w:rPr>
        <w:t xml:space="preserve">3. </w:t>
      </w:r>
      <w:r>
        <w:rPr>
          <w:color w:val="000000"/>
          <w:sz w:val="24"/>
          <w:szCs w:val="24"/>
        </w:rPr>
        <w:t>Настоящее решение вступает в силу с 1 октября 2019 года</w:t>
      </w:r>
      <w:r>
        <w:rPr>
          <w:sz w:val="24"/>
          <w:szCs w:val="24"/>
        </w:rPr>
        <w:t>.</w:t>
      </w:r>
    </w:p>
    <w:p>
      <w:pPr>
        <w:pStyle w:val="Normal"/>
        <w:ind w:firstLine="540"/>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76"/>
        <w:jc w:val="both"/>
        <w:rPr/>
      </w:pPr>
      <w:r>
        <w:rPr>
          <w:rFonts w:cs="Arial" w:ascii="Arial" w:hAnsi="Arial"/>
        </w:rPr>
        <w:t>Глава местного самоуправления                                                                      М.В.Михеева</w:t>
      </w:r>
    </w:p>
    <w:sectPr>
      <w:type w:val="nextPage"/>
      <w:pgSz w:w="11906" w:h="16838"/>
      <w:pgMar w:left="964" w:right="567" w:header="0" w:top="737"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eastAsia="Calibri" w:cs="Times New Roman"/>
    </w:rPr>
  </w:style>
  <w:style w:type="character" w:styleId="WW8Num20z1">
    <w:name w:val="WW8Num20z1"/>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paragraph" w:styleId="Style16">
    <w:name w:val="Заголовок"/>
    <w:basedOn w:val="Normal"/>
    <w:next w:val="Style17"/>
    <w:qFormat/>
    <w:pPr>
      <w:keepNext w:val="true"/>
      <w:spacing w:before="240" w:after="120"/>
    </w:pPr>
    <w:rPr>
      <w:rFonts w:ascii="Liberation Sans" w:hAnsi="Liberation Sans" w:eastAsia="Microsoft YaHei" w:cs="Mangal"/>
      <w:sz w:val="28"/>
      <w:szCs w:val="28"/>
    </w:rPr>
  </w:style>
  <w:style w:type="paragraph" w:styleId="Style17">
    <w:name w:val="Body Text"/>
    <w:basedOn w:val="Normal"/>
    <w:pPr>
      <w:jc w:val="center"/>
    </w:pPr>
    <w:rPr>
      <w:b/>
      <w:bCs/>
      <w:sz w:val="28"/>
    </w:rPr>
  </w:style>
  <w:style w:type="paragraph" w:styleId="Style18">
    <w:name w:val="List"/>
    <w:basedOn w:val="Style17"/>
    <w:pPr/>
    <w:rPr>
      <w:rFonts w:cs="Mangal"/>
    </w:rPr>
  </w:style>
  <w:style w:type="paragraph" w:styleId="Style19">
    <w:name w:val="Caption"/>
    <w:basedOn w:val="Normal"/>
    <w:qFormat/>
    <w:pPr>
      <w:suppressLineNumbers/>
      <w:spacing w:before="120" w:after="120"/>
    </w:pPr>
    <w:rPr>
      <w:rFonts w:cs="Mangal"/>
      <w:i/>
      <w:iCs/>
      <w:sz w:val="24"/>
      <w:szCs w:val="24"/>
    </w:rPr>
  </w:style>
  <w:style w:type="paragraph" w:styleId="Style20">
    <w:name w:val="Указатель"/>
    <w:basedOn w:val="Normal"/>
    <w:qFormat/>
    <w:pPr>
      <w:suppressLineNumbers/>
    </w:pPr>
    <w:rPr>
      <w:rFonts w:cs="Mangal"/>
    </w:rPr>
  </w:style>
  <w:style w:type="paragraph" w:styleId="Style21">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22">
    <w:name w:val="Текст выноски"/>
    <w:basedOn w:val="Normal"/>
    <w:qFormat/>
    <w:pPr/>
    <w:rPr>
      <w:rFonts w:ascii="Tahoma" w:hAnsi="Tahoma" w:cs="Tahoma"/>
      <w:sz w:val="16"/>
      <w:szCs w:val="16"/>
    </w:rPr>
  </w:style>
  <w:style w:type="paragraph" w:styleId="ConsNormal">
    <w:name w:val="Con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bidi w:val="0"/>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bidi w:val="0"/>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3">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bidi w:val="0"/>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bidi w:val="0"/>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Style24">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uto" w:before="300" w:after="420"/>
      <w:jc w:val="right"/>
    </w:pPr>
    <w:rPr>
      <w:rFonts w:ascii="Calibri" w:hAnsi="Calibri" w:eastAsia="Calibri" w:cs="Calibri"/>
      <w:sz w:val="28"/>
      <w:szCs w:val="28"/>
    </w:rPr>
  </w:style>
  <w:style w:type="paragraph" w:styleId="Style25">
    <w:name w:val="Содержимое врезки"/>
    <w:basedOn w:val="Normal"/>
    <w:qFormat/>
    <w:pPr/>
    <w:rPr/>
  </w:style>
  <w:style w:type="paragraph" w:styleId="Style26">
    <w:name w:val="Содержимое таблицы"/>
    <w:basedOn w:val="Normal"/>
    <w:qFormat/>
    <w:pPr>
      <w:suppressLineNumbers/>
    </w:pPr>
    <w:rPr/>
  </w:style>
  <w:style w:type="paragraph" w:styleId="Style27">
    <w:name w:val="Заголовок таблицы"/>
    <w:basedOn w:val="Style26"/>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286</TotalTime>
  <Application>LibreOffice/6.3.3.2$Windows_x86 LibreOffice_project/a64200df03143b798afd1ec74a12ab50359878ed</Application>
  <Pages>1</Pages>
  <Words>238</Words>
  <Characters>1859</Characters>
  <CharactersWithSpaces>2193</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dc:language>ru-RU</dc:language>
  <cp:lastModifiedBy>Admin</cp:lastModifiedBy>
  <cp:lastPrinted>2019-10-11T08:42:00Z</cp:lastPrinted>
  <dcterms:modified xsi:type="dcterms:W3CDTF">2019-10-11T07:54:00Z</dcterms:modified>
  <cp:revision>16</cp:revision>
  <dc:subject/>
  <dc:title/>
</cp:coreProperties>
</file>