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8.wmf" ContentType="image/x-wmf"/>
  <Override PartName="/word/media/image2.png" ContentType="image/png"/>
  <Override PartName="/word/media/image9.wmf" ContentType="image/x-wmf"/>
  <Override PartName="/word/media/image3.jpeg" ContentType="image/jpeg"/>
  <Override PartName="/word/media/image4.wmf" ContentType="image/x-wmf"/>
  <Override PartName="/word/media/image5.wmf" ContentType="image/x-wmf"/>
  <Override PartName="/word/media/image6.wmf" ContentType="image/x-wmf"/>
  <Override PartName="/word/media/image7.wmf" ContentType="image/x-wmf"/>
  <Override PartName="/word/media/image10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25.11.2019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135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4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Об </w:t>
      </w:r>
      <w:r>
        <w:rPr>
          <w:rFonts w:cs="Arial" w:ascii="Arial" w:hAnsi="Arial"/>
          <w:b/>
          <w:sz w:val="32"/>
          <w:szCs w:val="32"/>
        </w:rPr>
        <w:t>утверждении схемы водоснабжения и водоотведения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ind w:firstLine="54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В соответствии со статьей 6 Федерального закона от 07.12.2011 №416-ФЗ «О водоснабжении и водоотведении», постановлением Правительства Российской Федерации от 05.09.2013 №782 «О схемах водоснабжения и водоотведения», Уставом рабочего поселка Шаранга Шарангского муниципального района Нижегородской области, администрация рабочего посёлка Шаранга Шарангского муниципального района Нижегородской области (далее – администрация)  </w:t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Title"/>
        <w:widowControl/>
        <w:bidi w:val="0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1. Утвердить схему водоснабжения и водоотведения на территории рабочего поселка Шаранга Шарангского муниципального района Нижегородской области на период 2019-2033 г.г. согласно приложению.</w:t>
      </w:r>
    </w:p>
    <w:p>
      <w:pPr>
        <w:pStyle w:val="Normal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  <w:t>2.</w:t>
      </w:r>
      <w:r>
        <w:rPr>
          <w:rFonts w:cs="Arial" w:ascii="Arial" w:hAnsi="Arial"/>
          <w:sz w:val="24"/>
          <w:szCs w:val="24"/>
        </w:rPr>
        <w:t xml:space="preserve"> Разместить настоящее постановление на официальном сайте в сети интернет.</w:t>
      </w:r>
    </w:p>
    <w:p>
      <w:pPr>
        <w:pStyle w:val="Normal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  Контроль за исполнением настоящего постановления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 администрации</w:t>
        <w:tab/>
        <w:t>С.В.Краев</w:t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12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PlusNormal1"/>
        <w:bidi w:val="0"/>
        <w:ind w:firstLine="567"/>
        <w:jc w:val="right"/>
        <w:rPr>
          <w:rFonts w:ascii="Arial" w:hAnsi="Arial"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Утверждена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постановлением администрации 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bidi w:val="0"/>
        <w:ind w:firstLine="567"/>
        <w:jc w:val="right"/>
        <w:rPr/>
      </w:pPr>
      <w:r>
        <w:rPr>
          <w:sz w:val="22"/>
          <w:szCs w:val="22"/>
        </w:rPr>
        <w:t>от  25.11.2019 №135</w:t>
      </w:r>
    </w:p>
    <w:p>
      <w:pPr>
        <w:pStyle w:val="Normal"/>
        <w:shd w:fill="FFFFFF" w:val="clear"/>
        <w:spacing w:lineRule="exact" w:line="322"/>
        <w:ind w:left="10" w:right="67" w:hanging="0"/>
        <w:jc w:val="both"/>
        <w:rPr>
          <w:spacing w:val="18"/>
          <w:sz w:val="22"/>
          <w:szCs w:val="22"/>
        </w:rPr>
      </w:pPr>
      <w:r>
        <w:rPr>
          <w:spacing w:val="18"/>
          <w:sz w:val="22"/>
          <w:szCs w:val="22"/>
        </w:rPr>
      </w:r>
    </w:p>
    <w:p>
      <w:pPr>
        <w:pStyle w:val="Normal"/>
        <w:ind w:firstLine="709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Схема водоснабжения и водоотведения</w:t>
      </w:r>
    </w:p>
    <w:p>
      <w:pPr>
        <w:pStyle w:val="Normal"/>
        <w:ind w:firstLine="709"/>
        <w:jc w:val="center"/>
        <w:rPr/>
      </w:pPr>
      <w:r>
        <w:rPr>
          <w:rFonts w:cs="Arial" w:ascii="Arial" w:hAnsi="Arial"/>
          <w:b/>
          <w:sz w:val="22"/>
          <w:szCs w:val="22"/>
        </w:rPr>
        <w:t>на территории городского поселения рабочего поселка Шаранга</w:t>
      </w:r>
    </w:p>
    <w:p>
      <w:pPr>
        <w:pStyle w:val="Normal"/>
        <w:ind w:firstLine="709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Шарангского муниципального района</w:t>
      </w:r>
    </w:p>
    <w:p>
      <w:pPr>
        <w:pStyle w:val="Normal"/>
        <w:ind w:firstLine="709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Нижегородской области</w:t>
      </w:r>
    </w:p>
    <w:p>
      <w:pPr>
        <w:pStyle w:val="Normal"/>
        <w:jc w:val="center"/>
        <w:rPr/>
      </w:pPr>
      <w:r>
        <w:rPr>
          <w:rFonts w:eastAsia="Arial" w:cs="Arial" w:ascii="Arial" w:hAnsi="Arial"/>
          <w:b/>
          <w:sz w:val="22"/>
          <w:szCs w:val="22"/>
        </w:rPr>
        <w:t xml:space="preserve">           </w:t>
      </w:r>
      <w:r>
        <w:rPr>
          <w:rFonts w:cs="Arial" w:ascii="Arial" w:hAnsi="Arial"/>
          <w:b/>
          <w:sz w:val="22"/>
          <w:szCs w:val="22"/>
        </w:rPr>
        <w:t>на период 2019-2033 годов</w:t>
      </w:r>
    </w:p>
    <w:p>
      <w:pPr>
        <w:pStyle w:val="Normal"/>
        <w:rPr>
          <w:rFonts w:ascii="Arial" w:hAnsi="Arial" w:cs="Arial"/>
          <w:b/>
          <w:b/>
          <w:spacing w:val="1"/>
          <w:sz w:val="22"/>
          <w:szCs w:val="22"/>
        </w:rPr>
      </w:pPr>
      <w:r>
        <w:rPr>
          <w:rFonts w:cs="Arial" w:ascii="Arial" w:hAnsi="Arial"/>
          <w:b/>
          <w:spacing w:val="1"/>
          <w:sz w:val="22"/>
          <w:szCs w:val="22"/>
        </w:rPr>
      </w:r>
    </w:p>
    <w:p>
      <w:pPr>
        <w:pStyle w:val="Normal"/>
        <w:ind w:firstLine="709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 xml:space="preserve">Схема водоснабжения и водоотведения  </w:t>
      </w:r>
      <w:r>
        <w:rPr>
          <w:rFonts w:cs="Arial" w:ascii="Arial" w:hAnsi="Arial"/>
        </w:rPr>
        <w:t>— документ, содержащий материалы по обоснованию эффективного и безопасного функционирования системы водоснабжения и водоотведения, ее развития с учетом правового регулирования в области энергосбережения и повышения энергетической эффективности, санитарной и экологической безопасности.</w:t>
      </w:r>
    </w:p>
    <w:p>
      <w:pPr>
        <w:pStyle w:val="ConsPlusNormal1"/>
        <w:bidi w:val="0"/>
        <w:ind w:firstLine="709"/>
        <w:jc w:val="both"/>
        <w:rPr/>
      </w:pPr>
      <w:r>
        <w:rPr/>
        <w:t>Основанием для разработки схемы водоснабжения и водоотведения является:  Федеральный закон от 07.12.2011 г№416-ФЗ «О водоснабжении и водоотведении».</w:t>
      </w:r>
    </w:p>
    <w:p>
      <w:pPr>
        <w:pStyle w:val="ConsPlusNormal1"/>
        <w:bidi w:val="0"/>
        <w:ind w:firstLine="709"/>
        <w:jc w:val="both"/>
        <w:rPr/>
      </w:pPr>
      <w:r>
        <w:rPr>
          <w:rFonts w:eastAsia="Arial"/>
        </w:rPr>
        <w:t xml:space="preserve">  </w:t>
      </w:r>
      <w:r>
        <w:rPr/>
        <w:t>Схема водоснабжения и водоотведения разрабатывается в целях определение долгосрочной перспективы развития системы водоснабжения и водоотведения, обеспечения надежного водоснабжения и водоотведения наиболее рациональным способом при минимальном воздействии на окружающую среду, а также экономического стимулирования развития систем водоснабжения и водоотведения и внедрения энергосберегающих технологий, повышение надежности работы систем водоснабжения и водоотведения в соответствии с нормативными требованиями, обеспечение жителей сельсовета водоснабжением и водоотведением, улучшение качества жизни за счет развития коммунальной инфраструктуры  существующих объектов.</w:t>
      </w:r>
    </w:p>
    <w:p>
      <w:pPr>
        <w:pStyle w:val="Style29"/>
        <w:spacing w:lineRule="auto" w:line="240"/>
        <w:ind w:left="0" w:hanging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Основными задачами при разработке схемы водоснабжения и водоотведения поселения являются:</w:t>
      </w:r>
    </w:p>
    <w:p>
      <w:pPr>
        <w:pStyle w:val="Style29"/>
        <w:spacing w:lineRule="auto" w:line="240"/>
        <w:ind w:left="0" w:hanging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- обследование системы водоснабжения и водоотведения, анализ существующей ситуации в водоснабжении поселения;</w:t>
      </w:r>
    </w:p>
    <w:p>
      <w:pPr>
        <w:pStyle w:val="Style29"/>
        <w:spacing w:lineRule="auto" w:line="240"/>
        <w:ind w:left="0" w:hanging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- выбор оптимального варианта развития водоснабжения и водоотведения и основные рекомендации по развитию системы водоснабжения и водоотведения.</w:t>
      </w:r>
    </w:p>
    <w:p>
      <w:pPr>
        <w:pStyle w:val="Normal"/>
        <w:ind w:firstLine="720"/>
        <w:jc w:val="both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</w:r>
    </w:p>
    <w:p>
      <w:pPr>
        <w:pStyle w:val="Style29"/>
        <w:spacing w:lineRule="auto" w:line="240"/>
        <w:ind w:left="0" w:firstLine="708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Раздел 1. Технико-экономическое состояние централизованных систем водоснабжения  сельского поселения</w:t>
      </w:r>
    </w:p>
    <w:p>
      <w:pPr>
        <w:pStyle w:val="ConsPlusNormal1"/>
        <w:numPr>
          <w:ilvl w:val="1"/>
          <w:numId w:val="2"/>
        </w:numPr>
        <w:bidi w:val="0"/>
        <w:ind w:left="0" w:firstLine="709"/>
        <w:jc w:val="both"/>
        <w:rPr>
          <w:b/>
          <w:b/>
        </w:rPr>
      </w:pPr>
      <w:r>
        <w:rPr>
          <w:b/>
        </w:rPr>
        <w:t>Описание системы и структуры водоснабжения поселения</w:t>
      </w:r>
    </w:p>
    <w:p>
      <w:pPr>
        <w:pStyle w:val="Normal"/>
        <w:ind w:firstLine="709"/>
        <w:jc w:val="both"/>
        <w:rPr/>
      </w:pPr>
      <w:r>
        <w:rPr>
          <w:rFonts w:cs="Arial" w:ascii="Arial" w:hAnsi="Arial"/>
          <w:b/>
          <w:bCs/>
          <w:color w:val="222222"/>
          <w:shd w:fill="FFFFFF" w:val="clear"/>
        </w:rPr>
        <w:t xml:space="preserve">Городское поселение р.п.Шаранга – </w:t>
      </w:r>
      <w:r>
        <w:rPr>
          <w:rFonts w:cs="Arial" w:ascii="Arial" w:hAnsi="Arial"/>
          <w:color w:val="222222"/>
          <w:shd w:fill="FFFFFF" w:val="clear"/>
        </w:rPr>
        <w:t>муниципальное образование в </w:t>
      </w:r>
      <w:hyperlink r:id="rId3">
        <w:r>
          <w:rPr>
            <w:rStyle w:val="Style14"/>
            <w:rFonts w:cs="Arial" w:ascii="Arial" w:hAnsi="Arial"/>
            <w:color w:val="000000"/>
            <w:shd w:fill="FFFFFF" w:val="clear"/>
          </w:rPr>
          <w:t>Нижегородской области</w:t>
        </w:r>
      </w:hyperlink>
      <w:r>
        <w:rPr>
          <w:rFonts w:cs="Arial" w:ascii="Arial" w:hAnsi="Arial"/>
          <w:color w:val="000000"/>
          <w:shd w:fill="FFFFFF" w:val="clear"/>
        </w:rPr>
        <w:t xml:space="preserve">.  </w:t>
      </w:r>
      <w:r>
        <w:rPr>
          <w:rFonts w:cs="Arial" w:ascii="Arial" w:hAnsi="Arial"/>
        </w:rPr>
        <w:t xml:space="preserve">Рабочий поселок Шаранга входит в состав городского поселения р. п.  Шаранга и является административным центром Шарангского муниципального района. Численность населения по состоянию на 01.01.2019г. составила 6,816 тыс. человек. </w:t>
      </w:r>
      <w:r>
        <w:rPr>
          <w:rFonts w:cs="Arial" w:ascii="Arial" w:hAnsi="Arial"/>
          <w:color w:val="222222"/>
          <w:shd w:fill="FFFFFF" w:val="clear"/>
        </w:rPr>
        <w:t xml:space="preserve"> </w:t>
      </w:r>
      <w:r>
        <w:rPr>
          <w:rFonts w:cs="Arial" w:ascii="Arial" w:hAnsi="Arial"/>
        </w:rPr>
        <w:t>В состав муниципального образования входят 4 поселения: р.п.Шаранга, д.Большой Рейчваж, д.Малый Рейчваж, д. Куршаково.</w:t>
      </w:r>
    </w:p>
    <w:p>
      <w:pPr>
        <w:pStyle w:val="Normal"/>
        <w:ind w:firstLine="709"/>
        <w:jc w:val="both"/>
        <w:rPr>
          <w:rFonts w:ascii="Arial" w:hAnsi="Arial" w:cs="Arial"/>
        </w:rPr>
      </w:pPr>
      <w:r>
        <w:rPr>
          <w:rFonts w:cs="Arial" w:ascii="Arial" w:hAnsi="Arial"/>
        </w:rPr>
        <w:t>Основные характеристики городского поселения – рабочий  поселок Шаранга приведены в таблице 1.</w:t>
      </w:r>
    </w:p>
    <w:p>
      <w:pPr>
        <w:pStyle w:val="Normal"/>
        <w:ind w:left="435" w:hanging="0"/>
        <w:rPr>
          <w:rFonts w:cs="Arial"/>
        </w:rPr>
      </w:pPr>
      <w:r>
        <w:rPr>
          <w:rFonts w:cs="Arial" w:ascii="Arial" w:hAnsi="Arial"/>
          <w:iCs/>
          <w:color w:val="000000"/>
        </w:rPr>
        <w:t>Таблица 1 - Общие сведения о территории</w:t>
      </w:r>
    </w:p>
    <w:tbl>
      <w:tblPr>
        <w:tblW w:w="5000" w:type="pct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3535"/>
        <w:gridCol w:w="4868"/>
      </w:tblGrid>
      <w:tr>
        <w:trPr>
          <w:trHeight w:val="340" w:hRule="atLeast"/>
        </w:trPr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№</w:t>
            </w:r>
            <w:r>
              <w:rPr>
                <w:rFonts w:eastAsia="Arial" w:cs="Arial" w:ascii="Arial" w:hAnsi="Arial"/>
                <w:b/>
                <w:bCs/>
                <w:color w:val="000000"/>
              </w:rPr>
              <w:t xml:space="preserve"> </w:t>
            </w:r>
            <w:r>
              <w:rPr>
                <w:rFonts w:cs="Arial" w:ascii="Arial" w:hAnsi="Arial"/>
                <w:b/>
                <w:bCs/>
                <w:color w:val="000000"/>
              </w:rPr>
              <w:t>п/п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Параметры</w:t>
            </w:r>
          </w:p>
        </w:tc>
        <w:tc>
          <w:tcPr>
            <w:tcW w:w="4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Описание</w:t>
            </w:r>
          </w:p>
        </w:tc>
      </w:tr>
      <w:tr>
        <w:trPr>
          <w:trHeight w:val="340" w:hRule="atLeast"/>
        </w:trPr>
        <w:tc>
          <w:tcPr>
            <w:tcW w:w="95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</w:t>
            </w:r>
          </w:p>
        </w:tc>
        <w:tc>
          <w:tcPr>
            <w:tcW w:w="353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Площадь территории, км</w:t>
            </w:r>
            <w:r>
              <w:rPr>
                <w:rFonts w:cs="Arial" w:ascii="Arial" w:hAnsi="Arial"/>
                <w:color w:val="000000"/>
                <w:vertAlign w:val="superscript"/>
              </w:rPr>
              <w:t>2</w:t>
            </w:r>
          </w:p>
        </w:tc>
        <w:tc>
          <w:tcPr>
            <w:tcW w:w="4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10,91</w:t>
            </w:r>
          </w:p>
        </w:tc>
      </w:tr>
      <w:tr>
        <w:trPr>
          <w:trHeight w:val="340" w:hRule="atLeast"/>
        </w:trPr>
        <w:tc>
          <w:tcPr>
            <w:tcW w:w="95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</w:t>
            </w:r>
          </w:p>
        </w:tc>
        <w:tc>
          <w:tcPr>
            <w:tcW w:w="353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Численность населения, чел.</w:t>
            </w:r>
          </w:p>
        </w:tc>
        <w:tc>
          <w:tcPr>
            <w:tcW w:w="4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6816</w:t>
            </w:r>
          </w:p>
        </w:tc>
      </w:tr>
      <w:tr>
        <w:trPr>
          <w:trHeight w:val="340" w:hRule="atLeast"/>
        </w:trPr>
        <w:tc>
          <w:tcPr>
            <w:tcW w:w="95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</w:t>
            </w:r>
          </w:p>
        </w:tc>
        <w:tc>
          <w:tcPr>
            <w:tcW w:w="353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Плотность населения, чел/км</w:t>
            </w:r>
            <w:r>
              <w:rPr>
                <w:rFonts w:cs="Arial" w:ascii="Arial" w:hAnsi="Arial"/>
                <w:color w:val="000000"/>
                <w:vertAlign w:val="superscript"/>
              </w:rPr>
              <w:t>2</w:t>
            </w:r>
          </w:p>
        </w:tc>
        <w:tc>
          <w:tcPr>
            <w:tcW w:w="4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603</w:t>
            </w:r>
          </w:p>
        </w:tc>
      </w:tr>
      <w:tr>
        <w:trPr>
          <w:trHeight w:val="340" w:hRule="atLeast"/>
        </w:trPr>
        <w:tc>
          <w:tcPr>
            <w:tcW w:w="95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</w:t>
            </w:r>
          </w:p>
        </w:tc>
        <w:tc>
          <w:tcPr>
            <w:tcW w:w="353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Расстояние до областного центра</w:t>
            </w:r>
          </w:p>
        </w:tc>
        <w:tc>
          <w:tcPr>
            <w:tcW w:w="4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278 км</w:t>
            </w:r>
          </w:p>
        </w:tc>
      </w:tr>
      <w:tr>
        <w:trPr>
          <w:trHeight w:val="340" w:hRule="atLeast"/>
        </w:trPr>
        <w:tc>
          <w:tcPr>
            <w:tcW w:w="95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</w:t>
            </w:r>
          </w:p>
        </w:tc>
        <w:tc>
          <w:tcPr>
            <w:tcW w:w="353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Наличие природных ресурсов</w:t>
            </w:r>
          </w:p>
        </w:tc>
        <w:tc>
          <w:tcPr>
            <w:tcW w:w="4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Глины, пески, суглинки, торф</w:t>
            </w:r>
          </w:p>
        </w:tc>
      </w:tr>
      <w:tr>
        <w:trPr>
          <w:trHeight w:val="340" w:hRule="atLeast"/>
        </w:trPr>
        <w:tc>
          <w:tcPr>
            <w:tcW w:w="95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</w:t>
            </w:r>
          </w:p>
        </w:tc>
        <w:tc>
          <w:tcPr>
            <w:tcW w:w="353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Основные виды экономической деятельности</w:t>
            </w:r>
          </w:p>
        </w:tc>
        <w:tc>
          <w:tcPr>
            <w:tcW w:w="4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Деревообрабатывающая, пищевая промышленность, строительство</w:t>
            </w:r>
          </w:p>
        </w:tc>
      </w:tr>
    </w:tbl>
    <w:p>
      <w:pPr>
        <w:pStyle w:val="Normal"/>
        <w:ind w:left="435" w:hanging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Описание границ городского поселения - рабочего поселка Шаранга приведено в таблице 2.</w:t>
      </w:r>
    </w:p>
    <w:p>
      <w:pPr>
        <w:pStyle w:val="Normal"/>
        <w:ind w:left="435" w:hanging="0"/>
        <w:rPr>
          <w:rFonts w:cs="Arial"/>
        </w:rPr>
      </w:pPr>
      <w:r>
        <w:rPr>
          <w:rFonts w:cs="Arial" w:ascii="Arial" w:hAnsi="Arial"/>
          <w:iCs/>
          <w:color w:val="000000"/>
        </w:rPr>
        <w:t>Таблица 2- Описание границ территории</w:t>
      </w:r>
    </w:p>
    <w:tbl>
      <w:tblPr>
        <w:tblW w:w="5000" w:type="pct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3535"/>
        <w:gridCol w:w="4868"/>
      </w:tblGrid>
      <w:tr>
        <w:trPr>
          <w:tblHeader w:val="true"/>
          <w:trHeight w:val="340" w:hRule="atLeast"/>
        </w:trPr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№</w:t>
            </w:r>
            <w:r>
              <w:rPr>
                <w:rFonts w:eastAsia="Arial" w:cs="Arial" w:ascii="Arial" w:hAnsi="Arial"/>
                <w:b/>
                <w:bCs/>
                <w:color w:val="000000"/>
              </w:rPr>
              <w:t xml:space="preserve"> </w:t>
            </w:r>
            <w:r>
              <w:rPr>
                <w:rFonts w:cs="Arial" w:ascii="Arial" w:hAnsi="Arial"/>
                <w:b/>
                <w:bCs/>
                <w:color w:val="000000"/>
              </w:rPr>
              <w:t>п/п</w:t>
            </w:r>
          </w:p>
        </w:tc>
        <w:tc>
          <w:tcPr>
            <w:tcW w:w="3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Параметры</w:t>
            </w:r>
          </w:p>
        </w:tc>
        <w:tc>
          <w:tcPr>
            <w:tcW w:w="4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Описание</w:t>
            </w:r>
          </w:p>
        </w:tc>
      </w:tr>
      <w:tr>
        <w:trPr>
          <w:trHeight w:val="340" w:hRule="atLeast"/>
        </w:trPr>
        <w:tc>
          <w:tcPr>
            <w:tcW w:w="95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</w:t>
            </w:r>
          </w:p>
        </w:tc>
        <w:tc>
          <w:tcPr>
            <w:tcW w:w="353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Закон о границах:</w:t>
            </w:r>
          </w:p>
        </w:tc>
        <w:tc>
          <w:tcPr>
            <w:tcW w:w="4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«Об утверждении границ, состава территории Шарангского муниципального района, границ и состава территорий муниципальных образований, входящих в состав Шарангского муниципального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района» от 09.09.2005 г. (№ 136-З)</w:t>
            </w:r>
          </w:p>
        </w:tc>
      </w:tr>
      <w:tr>
        <w:trPr>
          <w:trHeight w:val="340" w:hRule="atLeast"/>
        </w:trPr>
        <w:tc>
          <w:tcPr>
            <w:tcW w:w="95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</w:t>
            </w:r>
          </w:p>
        </w:tc>
        <w:tc>
          <w:tcPr>
            <w:tcW w:w="353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Соседние административно-территориальные образования:</w:t>
            </w:r>
          </w:p>
        </w:tc>
        <w:tc>
          <w:tcPr>
            <w:tcW w:w="4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40" w:hRule="atLeast"/>
        </w:trPr>
        <w:tc>
          <w:tcPr>
            <w:tcW w:w="95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353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север</w:t>
            </w:r>
          </w:p>
        </w:tc>
        <w:tc>
          <w:tcPr>
            <w:tcW w:w="4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Большеустинский сельсовет</w:t>
            </w:r>
          </w:p>
        </w:tc>
      </w:tr>
      <w:tr>
        <w:trPr>
          <w:trHeight w:val="340" w:hRule="atLeast"/>
        </w:trPr>
        <w:tc>
          <w:tcPr>
            <w:tcW w:w="95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353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запад</w:t>
            </w:r>
          </w:p>
        </w:tc>
        <w:tc>
          <w:tcPr>
            <w:tcW w:w="4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Большеустинский и Черномужский сельсоветы</w:t>
            </w:r>
          </w:p>
        </w:tc>
      </w:tr>
      <w:tr>
        <w:trPr>
          <w:trHeight w:val="340" w:hRule="atLeast"/>
        </w:trPr>
        <w:tc>
          <w:tcPr>
            <w:tcW w:w="95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353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юг</w:t>
            </w:r>
          </w:p>
        </w:tc>
        <w:tc>
          <w:tcPr>
            <w:tcW w:w="4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Черномужский сельсовет</w:t>
            </w:r>
          </w:p>
        </w:tc>
      </w:tr>
      <w:tr>
        <w:trPr>
          <w:trHeight w:val="340" w:hRule="atLeast"/>
        </w:trPr>
        <w:tc>
          <w:tcPr>
            <w:tcW w:w="95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353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восток</w:t>
            </w:r>
          </w:p>
        </w:tc>
        <w:tc>
          <w:tcPr>
            <w:tcW w:w="48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Большерудкинский сельсовет</w:t>
            </w:r>
          </w:p>
        </w:tc>
      </w:tr>
    </w:tbl>
    <w:p>
      <w:pPr>
        <w:pStyle w:val="Normal"/>
        <w:ind w:left="435" w:hanging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left="435" w:hanging="0"/>
        <w:rPr>
          <w:rFonts w:ascii="Arial" w:hAnsi="Arial" w:cs="Arial"/>
        </w:rPr>
      </w:pPr>
      <w:r>
        <w:rPr>
          <w:rFonts w:cs="Arial" w:ascii="Arial" w:hAnsi="Arial"/>
        </w:rPr>
        <w:t>Положение рабочего поселка в структуре расселения показано на рисунках 1 и 2.</w:t>
      </w:r>
    </w:p>
    <w:p>
      <w:pPr>
        <w:pStyle w:val="ConsPlusNormal1"/>
        <w:bidi w:val="0"/>
        <w:spacing w:lineRule="auto" w:line="360"/>
        <w:ind w:left="709" w:hanging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  <w:lang w:val="ru-RU" w:eastAsia="ru-RU"/>
        </w:rPr>
        <w:drawing>
          <wp:inline distT="0" distB="0" distL="0" distR="0">
            <wp:extent cx="4422775" cy="4362450"/>
            <wp:effectExtent l="0" t="0" r="0" b="0"/>
            <wp:docPr id="3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-5" t="-5" r="-5" b="-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2775" cy="436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32"/>
        <w:shd w:fill="FFFFFF" w:val="clear"/>
        <w:spacing w:lineRule="auto" w:line="360" w:before="0" w:after="0"/>
        <w:ind w:firstLine="709"/>
        <w:jc w:val="both"/>
        <w:rPr>
          <w:b/>
          <w:b/>
          <w:bCs/>
          <w:color w:val="222222"/>
          <w:sz w:val="28"/>
          <w:szCs w:val="28"/>
        </w:rPr>
      </w:pPr>
      <w:r>
        <w:rPr>
          <w:b/>
          <w:bCs/>
          <w:color w:val="222222"/>
          <w:sz w:val="28"/>
          <w:szCs w:val="28"/>
        </w:rPr>
        <w:t xml:space="preserve"> </w:t>
      </w:r>
    </w:p>
    <w:p>
      <w:pPr>
        <w:pStyle w:val="Normal"/>
        <w:jc w:val="center"/>
        <w:rPr>
          <w:rFonts w:ascii="Arial" w:hAnsi="Arial" w:cs="Arial"/>
          <w:color w:val="000000"/>
          <w:lang w:val="ru-RU" w:eastAsia="ru-RU"/>
        </w:rPr>
      </w:pPr>
      <w:r>
        <w:rPr>
          <w:rFonts w:cs="Arial" w:ascii="Arial" w:hAnsi="Arial"/>
          <w:color w:val="000000"/>
          <w:lang w:val="ru-RU" w:eastAsia="ru-RU"/>
        </w:rPr>
        <w:t>Рисунок 1 – Положение Шарангского района в структуре Нижегородской области</w:t>
      </w:r>
    </w:p>
    <w:p>
      <w:pPr>
        <w:pStyle w:val="Style32"/>
        <w:shd w:fill="FFFFFF" w:val="clear"/>
        <w:spacing w:lineRule="auto" w:line="360" w:before="0" w:after="0"/>
        <w:ind w:firstLine="709"/>
        <w:jc w:val="both"/>
        <w:rPr>
          <w:rFonts w:ascii="Arial" w:hAnsi="Arial" w:cs="Arial"/>
          <w:b/>
          <w:b/>
          <w:bCs/>
          <w:color w:val="222222"/>
          <w:sz w:val="28"/>
          <w:szCs w:val="28"/>
          <w:lang w:val="ru-RU" w:eastAsia="ru-RU"/>
        </w:rPr>
      </w:pPr>
      <w:r>
        <w:rPr>
          <w:rFonts w:cs="Arial" w:ascii="Arial" w:hAnsi="Arial"/>
          <w:b/>
          <w:bCs/>
          <w:color w:val="222222"/>
          <w:sz w:val="28"/>
          <w:szCs w:val="28"/>
          <w:lang w:val="ru-RU" w:eastAsia="ru-RU"/>
        </w:rPr>
      </w:r>
    </w:p>
    <w:p>
      <w:pPr>
        <w:pStyle w:val="Style32"/>
        <w:shd w:fill="FFFFFF" w:val="clear"/>
        <w:spacing w:lineRule="auto" w:line="360" w:before="0" w:after="0"/>
        <w:ind w:firstLine="709"/>
        <w:jc w:val="both"/>
        <w:rPr>
          <w:b/>
          <w:b/>
          <w:bCs/>
          <w:color w:val="222222"/>
          <w:sz w:val="28"/>
          <w:szCs w:val="28"/>
        </w:rPr>
      </w:pPr>
      <w:r>
        <w:rPr>
          <w:b/>
          <w:bCs/>
          <w:color w:val="222222"/>
          <w:sz w:val="28"/>
          <w:szCs w:val="28"/>
        </w:rPr>
      </w:r>
    </w:p>
    <w:p>
      <w:pPr>
        <w:pStyle w:val="Style32"/>
        <w:shd w:fill="FFFFFF" w:val="clear"/>
        <w:spacing w:lineRule="auto" w:line="360" w:before="0" w:after="0"/>
        <w:ind w:firstLine="709"/>
        <w:jc w:val="both"/>
        <w:rPr>
          <w:color w:val="222222"/>
          <w:sz w:val="28"/>
          <w:szCs w:val="28"/>
          <w:lang w:val="ru-RU" w:eastAsia="ru-RU"/>
        </w:rPr>
      </w:pPr>
      <w:r>
        <w:rPr>
          <w:color w:val="222222"/>
          <w:sz w:val="28"/>
          <w:szCs w:val="28"/>
          <w:lang w:val="ru-RU" w:eastAsia="ru-RU"/>
        </w:rPr>
        <w:drawing>
          <wp:inline distT="0" distB="0" distL="0" distR="0">
            <wp:extent cx="4685665" cy="4494530"/>
            <wp:effectExtent l="0" t="0" r="0" b="0"/>
            <wp:docPr id="4" name="Рисунок 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11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2" t="-2" r="-2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5665" cy="449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32"/>
        <w:shd w:fill="FFFFFF" w:val="clear"/>
        <w:spacing w:before="0" w:after="0"/>
        <w:ind w:firstLine="709"/>
        <w:jc w:val="both"/>
        <w:rPr>
          <w:rFonts w:ascii="Arial" w:hAnsi="Arial" w:cs="Arial"/>
          <w:color w:val="000000"/>
          <w:sz w:val="22"/>
          <w:szCs w:val="22"/>
          <w:lang w:val="ru-RU" w:eastAsia="ru-RU"/>
        </w:rPr>
      </w:pPr>
      <w:r>
        <w:rPr>
          <w:rFonts w:cs="Arial" w:ascii="Arial" w:hAnsi="Arial"/>
          <w:color w:val="000000"/>
          <w:sz w:val="22"/>
          <w:szCs w:val="22"/>
          <w:lang w:val="ru-RU" w:eastAsia="ru-RU"/>
        </w:rPr>
        <w:t>Рисунок 2 – Расположение р. п. Шаранга в структуре Шарангского района Нижегородской области</w:t>
      </w:r>
    </w:p>
    <w:p>
      <w:pPr>
        <w:pStyle w:val="Normal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>Климат территории района умеренно континентальный с холодной продолжительной зимой и умеренно теплым коротким летом. Зима - холодная и многоснежная.  Абсолютная минимальная температура января равна минус 46 градусов, абсолютная максимальная температура июля равна плюс 38 градусов. Устойчивый переход средней температуры через 0° весной происходит 3 - 6 апреля. Продолжительность теплого периода с температурой выше 0° составляет 216 суток. Средняя температура наружного воздуха  за отопительный сезон составляет – 4,7 °. Продолжительность отопительного периода 222 дня.</w:t>
      </w:r>
    </w:p>
    <w:p>
      <w:pPr>
        <w:pStyle w:val="Normal"/>
        <w:ind w:firstLine="709"/>
        <w:jc w:val="both"/>
        <w:rPr/>
      </w:pPr>
      <w:r>
        <w:rPr>
          <w:rFonts w:cs="Arial" w:ascii="Arial" w:hAnsi="Arial"/>
          <w:sz w:val="22"/>
          <w:szCs w:val="22"/>
        </w:rPr>
        <w:t xml:space="preserve">Основным источником водоснабжения населения и хозяйств поселения  являются подземные воды. Система водоснабжения р. п. Шаранга состоит из артезианской скважины, водонапорной башни и водопроводной сети. </w:t>
      </w:r>
    </w:p>
    <w:p>
      <w:pPr>
        <w:pStyle w:val="Normal"/>
        <w:ind w:firstLine="709"/>
        <w:jc w:val="both"/>
        <w:rPr/>
      </w:pPr>
      <w:r>
        <w:rPr>
          <w:rFonts w:cs="Arial" w:ascii="Arial" w:hAnsi="Arial"/>
          <w:sz w:val="22"/>
          <w:szCs w:val="22"/>
        </w:rPr>
        <w:t>Система водоснабжения городского поселения р. п. Шаранга имеет следующую схему: вода забирается насосами из артезианских скважин и подается на станцию водоподготовки и далее в водонапорную башню, откуда поступает в разводящую сеть села. Часть жителей пользуется водой из водоразборных колонок и шахтных колодцев. Системы водоснабжения применяются низкого давления и обеспечивают удовлетворение хозяйственно-питьевых нужд населения, бытовых и, частично, производственных нужд предприятий, противопожарных и поливочных нужд.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Добыча подземных вод осуществляется из водозаборов, состоящих из 11 действующих скважин, расположенных в с.Большой Рейчваж и в р.п. Шаранга. Водозабор д.Большой Рейчваж состоит из одной скважины №1, расположенной в 180 м северо-восточнее деревни. Скважина пробурена в 1968 глубиной 130 м. Скважина  не оборудована водоизмерительной аппаратурой. Водозабор р.п.Шаранга состоит из десяти скважин. Скважины №2-№11 расположены на территории р.п. Шаранга. </w:t>
      </w:r>
    </w:p>
    <w:p>
      <w:pPr>
        <w:pStyle w:val="Normal"/>
        <w:autoSpaceDE w:val="false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Скважины пробурены в 1960-1990 годах глубиной50-68,0 м</w:t>
      </w:r>
    </w:p>
    <w:p>
      <w:pPr>
        <w:pStyle w:val="Normal"/>
        <w:autoSpaceDE w:val="false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Суммарный лимит водопотребления составляет  746,38 куб.м/сутки (при условии все скважины действующие).</w:t>
      </w:r>
    </w:p>
    <w:p>
      <w:pPr>
        <w:pStyle w:val="Normal"/>
        <w:autoSpaceDE w:val="false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autoSpaceDE w:val="false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Характеристика системы водоснабжения представлена в таблице 3.</w:t>
      </w:r>
    </w:p>
    <w:p>
      <w:pPr>
        <w:sectPr>
          <w:type w:val="nextPage"/>
          <w:pgSz w:w="11906" w:h="16838"/>
          <w:pgMar w:left="1701" w:right="850" w:header="0" w:top="1134" w:footer="0" w:bottom="1134" w:gutter="0"/>
          <w:pgNumType w:fmt="decimal"/>
          <w:formProt w:val="false"/>
          <w:textDirection w:val="lrTb"/>
          <w:docGrid w:type="default" w:linePitch="360" w:charSpace="0"/>
        </w:sectPr>
        <w:pStyle w:val="Normal"/>
        <w:autoSpaceDE w:val="false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cs="Arial"/>
        </w:rPr>
      </w:pPr>
      <w:r>
        <w:rPr>
          <w:rFonts w:cs="Arial" w:ascii="Arial" w:hAnsi="Arial"/>
          <w:iCs/>
          <w:color w:val="000000"/>
          <w:sz w:val="22"/>
          <w:szCs w:val="22"/>
        </w:rPr>
        <w:t>Таблица 3 – Характеристика системы водоснабжения</w:t>
      </w:r>
    </w:p>
    <w:tbl>
      <w:tblPr>
        <w:tblW w:w="5000" w:type="pct"/>
        <w:jc w:val="left"/>
        <w:tblInd w:w="-16" w:type="dxa"/>
        <w:tblCellMar>
          <w:top w:w="0" w:type="dxa"/>
          <w:left w:w="11" w:type="dxa"/>
          <w:bottom w:w="0" w:type="dxa"/>
          <w:right w:w="11" w:type="dxa"/>
        </w:tblCellMar>
      </w:tblPr>
      <w:tblGrid>
        <w:gridCol w:w="1806"/>
        <w:gridCol w:w="926"/>
        <w:gridCol w:w="667"/>
        <w:gridCol w:w="1590"/>
        <w:gridCol w:w="698"/>
        <w:gridCol w:w="1418"/>
        <w:gridCol w:w="1459"/>
        <w:gridCol w:w="1418"/>
        <w:gridCol w:w="920"/>
        <w:gridCol w:w="978"/>
        <w:gridCol w:w="1605"/>
        <w:gridCol w:w="1085"/>
      </w:tblGrid>
      <w:tr>
        <w:trPr>
          <w:trHeight w:val="340" w:hRule="atLeast"/>
        </w:trPr>
        <w:tc>
          <w:tcPr>
            <w:tcW w:w="18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eastAsia="Arial" w:cs="Arial" w:ascii="Arial" w:hAnsi="Arial"/>
                <w:b/>
                <w:sz w:val="18"/>
                <w:szCs w:val="18"/>
              </w:rPr>
              <w:t xml:space="preserve">   </w:t>
            </w: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Местонахождение</w:t>
            </w:r>
          </w:p>
        </w:tc>
        <w:tc>
          <w:tcPr>
            <w:tcW w:w="52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Артезианские скважины</w:t>
            </w:r>
          </w:p>
        </w:tc>
        <w:tc>
          <w:tcPr>
            <w:tcW w:w="2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Емкости для хранения воды</w:t>
            </w:r>
          </w:p>
        </w:tc>
        <w:tc>
          <w:tcPr>
            <w:tcW w:w="45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Водопроводные сети</w:t>
            </w:r>
          </w:p>
        </w:tc>
      </w:tr>
      <w:tr>
        <w:trPr>
          <w:trHeight w:val="340" w:hRule="atLeast"/>
        </w:trPr>
        <w:tc>
          <w:tcPr>
            <w:tcW w:w="180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Номер по паспорту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Дебит, м</w:t>
            </w:r>
            <w:r>
              <w:rPr>
                <w:rFonts w:cs="Arial" w:ascii="Arial" w:hAnsi="Arial"/>
                <w:b/>
                <w:color w:val="000000"/>
                <w:sz w:val="18"/>
                <w:szCs w:val="18"/>
                <w:vertAlign w:val="superscript"/>
              </w:rPr>
              <w:t>3</w:t>
            </w: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 xml:space="preserve">/час 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Характеристика качества воды. Параметры несоответствия СанПиН 2.1.4.1074-01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Марка насоса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Год ввода в эксплуатацию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Объем, м3 (высота ствола водонапорной башни, м)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Год ввода в эксплуатацию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Диаметр, мм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Материал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Протяженность, км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Состояние (% износа)</w:t>
            </w:r>
          </w:p>
        </w:tc>
      </w:tr>
      <w:tr>
        <w:trPr>
          <w:trHeight w:val="340" w:hRule="atLeast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Ул. Родниковая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7,62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Соответствует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ЭЦВ 8-25-100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1990 г.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ВБ – 25(10м)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1990 г.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44,725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</w:tr>
      <w:tr>
        <w:trPr>
          <w:trHeight w:val="340" w:hRule="atLeast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Ул. Свободы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7,67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Соответствует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ЭЦВ 6-16-75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1960 г.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ВБ – 25(10м)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1995 г.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</w:tr>
      <w:tr>
        <w:trPr>
          <w:trHeight w:val="340" w:hRule="atLeast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Ул. Заречная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1,3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Соответствует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ЭЦВ 6-6,3-85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1973 г.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ВБ – 15(10м)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1973 г.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</w:tr>
      <w:tr>
        <w:trPr>
          <w:trHeight w:val="340" w:hRule="atLeast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Ул. Набережная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1,58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Соответствует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ЭЦВ 6-6,5-100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1966 г.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</w:tr>
      <w:tr>
        <w:trPr>
          <w:trHeight w:val="340" w:hRule="atLeast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Ул. Производственная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1,58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Соответствует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ЭЦВ 6-6,3-85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1973 г.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</w:tr>
      <w:tr>
        <w:trPr>
          <w:trHeight w:val="340" w:hRule="atLeast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Ул. Строителей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1,05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Соответствует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ЭЦВ 6-6,3-85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1976 г.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ВБ – 15(10м)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1976 г.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</w:tr>
      <w:tr>
        <w:trPr>
          <w:trHeight w:val="340" w:hRule="atLeast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Ул. Светлая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0,53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Соответствует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ЭЦВ 6-6,3-85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1970 г.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ВБ – 15(10м)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1970 г.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</w:tr>
      <w:tr>
        <w:trPr>
          <w:trHeight w:val="340" w:hRule="atLeast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Ул. Заводская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1,25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Не соответствует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ЭЦВ 6-6,3-85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1990 г.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</w:tr>
      <w:tr>
        <w:trPr>
          <w:trHeight w:val="340" w:hRule="atLeast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Ул. Дружбы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1,58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Соответствует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ЭЦВ 6-6,3-85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1984 г.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ВБ – 15(10м)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1984 г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</w:tr>
      <w:tr>
        <w:trPr>
          <w:trHeight w:val="340" w:hRule="atLeast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Микрорайон Молодежный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0,7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Соответствует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ЭЦВ 6-16-75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2011 г.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0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</w:t>
            </w:r>
          </w:p>
        </w:tc>
      </w:tr>
      <w:tr>
        <w:trPr>
          <w:trHeight w:val="340" w:hRule="atLeast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Всего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44,725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</w:tbl>
    <w:p>
      <w:pPr>
        <w:sectPr>
          <w:type w:val="nextPage"/>
          <w:pgSz w:orient="landscape" w:w="16838" w:h="11906"/>
          <w:pgMar w:left="1134" w:right="1134" w:header="0" w:top="1701" w:footer="0" w:bottom="851" w:gutter="0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autoSpaceDE w:val="false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Водопроводная сеть жилого фонда представляет собой замкнутую кольцевую систему  водопроводных  труб диаметром 20-160мм. Материал, из которого выполнен водопровод: сталь, металл, полиэтилен. Общая протяженность  систем водоснабжения составляет 44,725 км. Схема систем водоснабжения представлена на рис.1-рис.7</w:t>
      </w:r>
      <w:r>
        <w:rPr>
          <w:rFonts w:cs="Arial" w:ascii="Arial" w:hAnsi="Arial"/>
          <w:bCs/>
          <w:iCs/>
          <w:color w:val="2D2D2D"/>
          <w:spacing w:val="2"/>
          <w:sz w:val="22"/>
          <w:szCs w:val="22"/>
        </w:rPr>
        <w:t xml:space="preserve">  </w:t>
      </w:r>
      <w:r>
        <w:rPr>
          <w:rFonts w:cs="Arial" w:ascii="Arial" w:hAnsi="Arial"/>
          <w:bCs/>
          <w:iCs/>
          <w:spacing w:val="2"/>
          <w:sz w:val="22"/>
          <w:szCs w:val="22"/>
        </w:rPr>
        <w:t>графической части (Приложение к схеме).</w:t>
      </w:r>
    </w:p>
    <w:p>
      <w:pPr>
        <w:pStyle w:val="Normal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Formattext"/>
        <w:numPr>
          <w:ilvl w:val="1"/>
          <w:numId w:val="2"/>
        </w:numPr>
        <w:shd w:fill="FFFFFF" w:val="clear"/>
        <w:spacing w:before="0" w:after="0"/>
        <w:ind w:left="720" w:hanging="720"/>
        <w:jc w:val="both"/>
        <w:textAlignment w:val="baseline"/>
        <w:rPr>
          <w:rFonts w:ascii="Arial" w:hAnsi="Arial" w:cs="Arial"/>
          <w:b/>
          <w:b/>
          <w:bCs/>
          <w:iCs/>
          <w:color w:val="2D2D2D"/>
          <w:spacing w:val="2"/>
          <w:sz w:val="22"/>
          <w:szCs w:val="22"/>
        </w:rPr>
      </w:pPr>
      <w:r>
        <w:rPr>
          <w:rFonts w:cs="Arial" w:ascii="Arial" w:hAnsi="Arial"/>
          <w:b/>
          <w:bCs/>
          <w:iCs/>
          <w:color w:val="2D2D2D"/>
          <w:spacing w:val="2"/>
          <w:sz w:val="22"/>
          <w:szCs w:val="22"/>
        </w:rPr>
        <w:t>Описание территорий поселения, не охваченных централизованными системами водоснабжения.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 xml:space="preserve">Население деревень д.Малый Рейчваж, д. Куршаково пользуется водой в хозяйственных целях из собственных колодцев от 20-30 м. глубиной.  </w:t>
      </w:r>
    </w:p>
    <w:p>
      <w:pPr>
        <w:pStyle w:val="Normal"/>
        <w:ind w:firstLine="709"/>
        <w:jc w:val="both"/>
        <w:rPr>
          <w:rFonts w:ascii="Arial" w:hAnsi="Arial" w:cs="Arial"/>
          <w:b/>
          <w:b/>
          <w:bCs/>
          <w:iCs/>
          <w:color w:val="2D2D2D"/>
          <w:spacing w:val="2"/>
          <w:sz w:val="22"/>
          <w:szCs w:val="22"/>
          <w:highlight w:val="white"/>
        </w:rPr>
      </w:pPr>
      <w:r>
        <w:rPr>
          <w:rFonts w:cs="Arial" w:ascii="Arial" w:hAnsi="Arial"/>
          <w:b/>
          <w:bCs/>
          <w:iCs/>
          <w:color w:val="2D2D2D"/>
          <w:spacing w:val="2"/>
          <w:sz w:val="22"/>
          <w:szCs w:val="22"/>
          <w:shd w:fill="FFFFFF" w:val="clear"/>
        </w:rPr>
        <w:t>1.3. Перечень лиц, владеющих на праве собственности или другом законном основании объектами централизованной системы водоснабжения, с указанием принадлежащих этим лицам таких объектов (границ зон, в которых расположены такие объекты).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 xml:space="preserve">В настоящее время объекты систем водоснабжения  является собственностью Шарангского муниципального района и в целях наиболее эффективного использования муниципального имущества  переданы </w:t>
      </w:r>
      <w:r>
        <w:rPr>
          <w:rFonts w:cs="Arial" w:ascii="Arial" w:hAnsi="Arial"/>
          <w:color w:val="000000"/>
          <w:sz w:val="22"/>
          <w:szCs w:val="22"/>
        </w:rPr>
        <w:t>на праве хозяйственное ведение в МУП Шарангского муниципального района «Коммунсервис».</w:t>
      </w:r>
    </w:p>
    <w:p>
      <w:pPr>
        <w:pStyle w:val="Normal"/>
        <w:autoSpaceDE w:val="false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Данная организация оказывает услуги по водоснабжению, в том числе:</w:t>
      </w:r>
    </w:p>
    <w:p>
      <w:pPr>
        <w:pStyle w:val="Normal"/>
        <w:autoSpaceDE w:val="false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-добыча пресных подземных вод для хозяйственно-питьевого водоснабжения;</w:t>
      </w:r>
    </w:p>
    <w:p>
      <w:pPr>
        <w:pStyle w:val="Normal"/>
        <w:autoSpaceDE w:val="false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-обслуживание водопроводных сетей;</w:t>
      </w:r>
    </w:p>
    <w:p>
      <w:pPr>
        <w:pStyle w:val="Normal"/>
        <w:autoSpaceDE w:val="false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-установка приборов учета (водомеров), их опломбировка.</w:t>
      </w:r>
    </w:p>
    <w:p>
      <w:pPr>
        <w:pStyle w:val="Normal"/>
        <w:autoSpaceDE w:val="false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Взаимоотношения предприятия с потребителями  услуг  осуществляются на договорной основе. Качество предоставляемых услуг соответствует требованиям, определенным действующим законодательством. 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Качество воды соответствует требованиям СанПин 2.1.4.1074-01. «Питьевая вода. Гигиенические требования к качеству воды централизованных систем питьевого водоснабжения. Контроль качества. Гигиенические требования к обеспечению безопасности систем горячего водоснабжения».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Style29"/>
        <w:spacing w:lineRule="auto" w:line="240"/>
        <w:ind w:left="435" w:hanging="0"/>
        <w:jc w:val="center"/>
        <w:rPr>
          <w:rFonts w:ascii="Arial" w:hAnsi="Arial" w:cs="Arial"/>
          <w:b/>
          <w:b/>
          <w:bCs/>
          <w:color w:val="000000"/>
        </w:rPr>
      </w:pPr>
      <w:r>
        <w:rPr>
          <w:rStyle w:val="31"/>
          <w:color w:val="000000"/>
        </w:rPr>
        <w:t>Раздел 2. Направления развития централизованных систем водоснабжения.</w:t>
      </w:r>
    </w:p>
    <w:p>
      <w:pPr>
        <w:pStyle w:val="ConsPlusNormal1"/>
        <w:bidi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Основными целями развития системы водоснабжения являются:</w:t>
      </w:r>
    </w:p>
    <w:p>
      <w:pPr>
        <w:pStyle w:val="ConsPlusNormal1"/>
        <w:bidi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- обеспечение эксплуатационной надежности и безопасности систем водоснабжения как части коммунальных систем жизнеобеспечения населения;</w:t>
      </w:r>
    </w:p>
    <w:p>
      <w:pPr>
        <w:pStyle w:val="ConsPlusNormal1"/>
        <w:bidi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- обеспечение финансовой и производственно-технологической доступности услуг водоснабжения надлежащего качества для населения и других потребителей;</w:t>
      </w:r>
    </w:p>
    <w:p>
      <w:pPr>
        <w:pStyle w:val="ConsPlusNormal1"/>
        <w:bidi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- обеспечение рационального использования воды, как природной, так и питьевого качества, выполнение природоохранных требований;</w:t>
      </w:r>
    </w:p>
    <w:p>
      <w:pPr>
        <w:pStyle w:val="ConsPlusNormal1"/>
        <w:bidi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- обеспечение подачи абонентам определенного объема питьевой воды установленного качества.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nsPlusNormal1"/>
        <w:bidi w:val="0"/>
        <w:spacing w:before="120" w:after="0"/>
        <w:ind w:firstLine="539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>Раздел 3. Предложения по строительству, реконструкции и модернизации объектов централизованных систем водоснабжения.</w:t>
      </w:r>
    </w:p>
    <w:p>
      <w:pPr>
        <w:pStyle w:val="Normal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ConsPlusNormal1"/>
        <w:bidi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На территории городского поселения  имеются проблемные вопросы в сфере водоснабжения: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1. Отсутствие необходимого комплекса очистных сооружений (установок по обеззараживанию) на водопроводах, подающих потребителям воду.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2. Высокая изношенность головных сооружений и разводящих сетей, приводящая к частым прорывам на сетях.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3. Высокие потери воды в процессе транспортировки ее к местам потребления.</w:t>
      </w:r>
    </w:p>
    <w:p>
      <w:pPr>
        <w:pStyle w:val="Normal"/>
        <w:autoSpaceDE w:val="false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Износ водопроводной сети составляет более 80%. При таком состоянии  водопроводной сети, необходима модернизация и реконструкция системы  водоснабжения.</w:t>
      </w:r>
    </w:p>
    <w:p>
      <w:pPr>
        <w:pStyle w:val="Normal"/>
        <w:ind w:firstLine="709"/>
        <w:jc w:val="both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Ежегодно планируется капитальный и текущий ремонт сетей водоснабжения, как за счет тарифа, так и за счет бюджетных средств. </w:t>
      </w:r>
    </w:p>
    <w:p>
      <w:pPr>
        <w:pStyle w:val="Normal"/>
        <w:ind w:firstLine="709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tabs>
          <w:tab w:val="clear" w:pos="720"/>
          <w:tab w:val="left" w:pos="1545" w:leader="none"/>
        </w:tabs>
        <w:ind w:firstLine="680"/>
        <w:jc w:val="both"/>
        <w:rPr>
          <w:rFonts w:ascii="Arial" w:hAnsi="Arial" w:cs="Arial"/>
          <w:b/>
          <w:b/>
          <w:color w:val="000000"/>
          <w:sz w:val="22"/>
          <w:szCs w:val="22"/>
        </w:rPr>
      </w:pPr>
      <w:r>
        <w:rPr>
          <w:rFonts w:cs="Arial" w:ascii="Arial" w:hAnsi="Arial"/>
          <w:b/>
          <w:color w:val="000000"/>
          <w:sz w:val="22"/>
          <w:szCs w:val="22"/>
        </w:rPr>
        <w:t xml:space="preserve">Раздел 4. Экологические аспекты мероприятий по строительству, реконструкции и модернизации объектов централизованных систем водоснабжения </w:t>
      </w:r>
    </w:p>
    <w:p>
      <w:pPr>
        <w:pStyle w:val="Normal"/>
        <w:tabs>
          <w:tab w:val="clear" w:pos="720"/>
          <w:tab w:val="left" w:pos="1545" w:leader="none"/>
        </w:tabs>
        <w:ind w:firstLine="68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 xml:space="preserve">4.1. Сведения о мерах по предотвращению вредного воздействия на водный бассейн предлагаемых к новому строительству и реконструкции объектов централизованной системы водоснабжения при сбросе промывных вод </w:t>
      </w:r>
    </w:p>
    <w:p>
      <w:pPr>
        <w:pStyle w:val="Normal"/>
        <w:tabs>
          <w:tab w:val="clear" w:pos="720"/>
          <w:tab w:val="left" w:pos="1545" w:leader="none"/>
        </w:tabs>
        <w:ind w:firstLine="68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В связи с тем, что в системах централизованного водоснабжения городского поселения р.п. Шаранга отсутствуют очистные сооружения, а также не планируется их строительство, сброса или утилизации промывных вод из системы водоподготовки не производится. </w:t>
      </w:r>
    </w:p>
    <w:p>
      <w:pPr>
        <w:pStyle w:val="Normal"/>
        <w:tabs>
          <w:tab w:val="clear" w:pos="720"/>
          <w:tab w:val="left" w:pos="1545" w:leader="none"/>
        </w:tabs>
        <w:ind w:firstLine="680"/>
        <w:jc w:val="both"/>
        <w:rPr>
          <w:rFonts w:ascii="Arial" w:hAnsi="Arial" w:cs="Arial"/>
          <w:b/>
          <w:b/>
          <w:color w:val="000000"/>
          <w:sz w:val="22"/>
          <w:szCs w:val="22"/>
        </w:rPr>
      </w:pPr>
      <w:r>
        <w:rPr>
          <w:rFonts w:cs="Arial" w:ascii="Arial" w:hAnsi="Arial"/>
          <w:b/>
          <w:color w:val="000000"/>
          <w:sz w:val="22"/>
          <w:szCs w:val="22"/>
        </w:rPr>
        <w:t>4.2 Сведения о мерах по предотвращению вредного воздействия на окружающую среду при реализации мероприятий по снабжению и хранению химических реагентов, используемых в водоподготовке.</w:t>
      </w:r>
    </w:p>
    <w:p>
      <w:pPr>
        <w:pStyle w:val="Normal"/>
        <w:tabs>
          <w:tab w:val="clear" w:pos="720"/>
          <w:tab w:val="left" w:pos="1545" w:leader="none"/>
        </w:tabs>
        <w:ind w:firstLine="68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>В связи с тем, что в системах централизованного водоснабжения городского поселения р.п.Шаранга отсутствуют очистные сооружения, а также не планируется их строительство, мероприятия по снабжению и хранению химических реагентов, используемых в водоподготовке (хлор и др.) не осуществляются.</w:t>
      </w:r>
    </w:p>
    <w:p>
      <w:pPr>
        <w:pStyle w:val="Normal"/>
        <w:tabs>
          <w:tab w:val="clear" w:pos="720"/>
          <w:tab w:val="left" w:pos="1545" w:leader="none"/>
        </w:tabs>
        <w:ind w:firstLine="680"/>
        <w:jc w:val="both"/>
        <w:rPr>
          <w:rFonts w:ascii="Arial" w:hAnsi="Arial" w:cs="Arial"/>
          <w:b/>
          <w:b/>
          <w:color w:val="000000"/>
          <w:sz w:val="22"/>
          <w:szCs w:val="22"/>
        </w:rPr>
      </w:pPr>
      <w:r>
        <w:rPr>
          <w:rFonts w:cs="Arial" w:ascii="Arial" w:hAnsi="Arial"/>
          <w:b/>
          <w:color w:val="000000"/>
          <w:sz w:val="22"/>
          <w:szCs w:val="22"/>
        </w:rPr>
        <w:t>Раздел 5. Перечень выявленных бесхозяйных объектов централизованных систем водоснабжения.</w:t>
      </w:r>
    </w:p>
    <w:p>
      <w:pPr>
        <w:pStyle w:val="Normal"/>
        <w:tabs>
          <w:tab w:val="clear" w:pos="720"/>
          <w:tab w:val="left" w:pos="1545" w:leader="none"/>
        </w:tabs>
        <w:ind w:firstLine="68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>На территории городского поселения р.п. Шаранга бесхозяйных объектов централизованной системы водоснабжения не выявлено.</w:t>
      </w:r>
    </w:p>
    <w:p>
      <w:pPr>
        <w:pStyle w:val="1"/>
        <w:spacing w:lineRule="auto" w:line="240" w:before="0" w:after="0"/>
        <w:ind w:firstLine="709"/>
        <w:jc w:val="both"/>
        <w:rPr>
          <w:rFonts w:ascii="Arial" w:hAnsi="Arial" w:cs="Arial"/>
          <w:b w:val="false"/>
          <w:b w:val="false"/>
          <w:color w:val="000000"/>
          <w:sz w:val="22"/>
          <w:szCs w:val="22"/>
        </w:rPr>
      </w:pPr>
      <w:r>
        <w:rPr>
          <w:rFonts w:eastAsia="Arial" w:cs="Arial" w:ascii="Arial" w:hAnsi="Arial"/>
          <w:b w:val="false"/>
          <w:color w:val="000000"/>
          <w:sz w:val="22"/>
          <w:szCs w:val="22"/>
        </w:rPr>
        <w:t xml:space="preserve">                      </w:t>
      </w:r>
      <w:r>
        <w:rPr>
          <w:rFonts w:eastAsia="Arial" w:cs="Arial" w:ascii="Arial" w:hAnsi="Arial"/>
          <w:b w:val="false"/>
          <w:sz w:val="22"/>
          <w:szCs w:val="22"/>
        </w:rPr>
        <w:t xml:space="preserve">      </w:t>
      </w:r>
      <w:r>
        <w:rPr>
          <w:rFonts w:cs="Arial" w:ascii="Arial" w:hAnsi="Arial"/>
          <w:sz w:val="22"/>
          <w:szCs w:val="22"/>
        </w:rPr>
        <w:t>Глава 2. Схема водоотведения</w:t>
      </w:r>
    </w:p>
    <w:p>
      <w:pPr>
        <w:pStyle w:val="2"/>
        <w:ind w:firstLine="709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Раздел 1. Существующее положение в сфере водоотведения муниципального образования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Существующая система водоотведения поселения в основном выгребная канализация основана на вывозе жидких бытовых отходов специальной  техникой.  Процент оборудования жилых помещений системой канализации по поселку составляет не более 20%. Планируется оборудование системой канализации жилых помещений при их подключении к системе водопровода, как помещений нового строительства, так и уже существующих. </w:t>
      </w:r>
    </w:p>
    <w:p>
      <w:pPr>
        <w:pStyle w:val="Normal"/>
        <w:ind w:firstLine="709"/>
        <w:jc w:val="both"/>
        <w:rPr/>
      </w:pPr>
      <w:r>
        <w:rPr>
          <w:rFonts w:cs="Arial" w:ascii="Arial" w:hAnsi="Arial"/>
          <w:sz w:val="22"/>
          <w:szCs w:val="22"/>
        </w:rPr>
        <w:t xml:space="preserve">Очистные сооружения канализации р. п. Шаранга предназначены для очистки сточных вод, образующихся от жизнедеятельности поселка и ряда предприятий, в основном, социального назначения. Сточные воды из канализационной насосной станции периодически откачиваются одним из погружных насосов на «БиОКС -200». Стоки проходят по канализационным коллекторам диаметра 225,114,150. 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Характеристика системы водоотведения в р. п. Шаранга приведена в таблице 1.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sectPr>
          <w:type w:val="nextPage"/>
          <w:pgSz w:w="11906" w:h="16838"/>
          <w:pgMar w:left="1701" w:right="850" w:header="0" w:top="1134" w:footer="0" w:bottom="1134" w:gutter="0"/>
          <w:pgNumType w:fmt="decimal"/>
          <w:formProt w:val="false"/>
          <w:textDirection w:val="lrTb"/>
          <w:docGrid w:type="default" w:linePitch="360" w:charSpace="0"/>
        </w:sect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r>
        <w:rPr/>
        <w:t>Таблица 1 - Характеристика системы водоотведения</w:t>
      </w:r>
    </w:p>
    <w:tbl>
      <w:tblPr>
        <w:tblW w:w="5000" w:type="pct"/>
        <w:jc w:val="left"/>
        <w:tblInd w:w="-16" w:type="dxa"/>
        <w:tblCellMar>
          <w:top w:w="0" w:type="dxa"/>
          <w:left w:w="11" w:type="dxa"/>
          <w:bottom w:w="0" w:type="dxa"/>
          <w:right w:w="11" w:type="dxa"/>
        </w:tblCellMar>
      </w:tblPr>
      <w:tblGrid>
        <w:gridCol w:w="1485"/>
        <w:gridCol w:w="1215"/>
        <w:gridCol w:w="2402"/>
        <w:gridCol w:w="1133"/>
        <w:gridCol w:w="1272"/>
        <w:gridCol w:w="1179"/>
        <w:gridCol w:w="1180"/>
        <w:gridCol w:w="1182"/>
        <w:gridCol w:w="879"/>
        <w:gridCol w:w="879"/>
        <w:gridCol w:w="879"/>
        <w:gridCol w:w="885"/>
      </w:tblGrid>
      <w:tr>
        <w:trPr>
          <w:trHeight w:val="340" w:hRule="atLeast"/>
        </w:trPr>
        <w:tc>
          <w:tcPr>
            <w:tcW w:w="14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Местонахождение</w:t>
            </w:r>
          </w:p>
        </w:tc>
        <w:tc>
          <w:tcPr>
            <w:tcW w:w="60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Очистные сооружения</w:t>
            </w:r>
          </w:p>
        </w:tc>
        <w:tc>
          <w:tcPr>
            <w:tcW w:w="35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 xml:space="preserve">Канализационные 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насосные станции</w:t>
            </w:r>
          </w:p>
        </w:tc>
        <w:tc>
          <w:tcPr>
            <w:tcW w:w="35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Канализационные сети</w:t>
            </w:r>
          </w:p>
        </w:tc>
      </w:tr>
      <w:tr>
        <w:trPr>
          <w:trHeight w:val="340" w:hRule="atLeast"/>
        </w:trPr>
        <w:tc>
          <w:tcPr>
            <w:tcW w:w="14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Производительность, м</w:t>
            </w:r>
            <w:r>
              <w:rPr>
                <w:rFonts w:cs="Arial" w:ascii="Arial" w:hAnsi="Arial"/>
                <w:b/>
                <w:color w:val="000000"/>
                <w:sz w:val="18"/>
                <w:szCs w:val="18"/>
                <w:vertAlign w:val="superscript"/>
              </w:rPr>
              <w:t>3</w:t>
            </w: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/сут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Состав очистных сооружений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Выпуск очищенных вод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Состояние (% износа)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Производительность, м</w:t>
            </w:r>
            <w:r>
              <w:rPr>
                <w:rFonts w:cs="Arial" w:ascii="Arial" w:hAnsi="Arial"/>
                <w:b/>
                <w:color w:val="000000"/>
                <w:sz w:val="18"/>
                <w:szCs w:val="18"/>
                <w:vertAlign w:val="superscript"/>
              </w:rPr>
              <w:t>3</w:t>
            </w: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/сут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Марка насоса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Состояние (% износа)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Диаметр, мм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Материал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Протяженность, км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color w:val="000000"/>
                <w:sz w:val="18"/>
                <w:szCs w:val="18"/>
              </w:rPr>
              <w:t>Состояние (% износа)</w:t>
            </w:r>
          </w:p>
        </w:tc>
      </w:tr>
      <w:tr>
        <w:trPr>
          <w:trHeight w:val="1680" w:hRule="atLeast"/>
        </w:trPr>
        <w:tc>
          <w:tcPr>
            <w:tcW w:w="14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Р. п. Шаранга</w:t>
            </w:r>
          </w:p>
        </w:tc>
        <w:tc>
          <w:tcPr>
            <w:tcW w:w="12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2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БиОКС 200:</w:t>
            </w:r>
          </w:p>
          <w:p>
            <w:pPr>
              <w:pStyle w:val="Normal"/>
              <w:rPr/>
            </w:pPr>
            <w:r>
              <w:rPr>
                <w:rFonts w:cs="Arial" w:ascii="Arial" w:hAnsi="Arial"/>
                <w:sz w:val="18"/>
                <w:szCs w:val="18"/>
              </w:rPr>
              <w:t>1.Приемная камера с решетчатым контейнером-1шт.</w:t>
            </w:r>
          </w:p>
          <w:p>
            <w:pPr>
              <w:pStyle w:val="Normal"/>
              <w:rPr/>
            </w:pPr>
            <w:r>
              <w:rPr>
                <w:rFonts w:cs="Arial" w:ascii="Arial" w:hAnsi="Arial"/>
                <w:sz w:val="18"/>
                <w:szCs w:val="18"/>
              </w:rPr>
              <w:t>2.Двухсекционная песколовка -1 шт.</w:t>
            </w:r>
          </w:p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3.Усреднитель-1 шт.</w:t>
            </w:r>
          </w:p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4.Денитрификатор -1 шт.</w:t>
            </w:r>
          </w:p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5.Аэротенк 1 ступени очистки-2 шт.</w:t>
            </w:r>
          </w:p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6.Аэротенк-нитрификатор- 2шт.</w:t>
            </w:r>
          </w:p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7.Вторичный отстойник - 2шт.</w:t>
            </w:r>
          </w:p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8.Двухсекционный фильтр с плавающей загрузкой – 2шт</w:t>
            </w:r>
          </w:p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9. Фильтр –адсорбер -2 шт.</w:t>
            </w:r>
          </w:p>
          <w:p>
            <w:pPr>
              <w:pStyle w:val="Normal"/>
              <w:rPr/>
            </w:pPr>
            <w:r>
              <w:rPr>
                <w:rFonts w:cs="Arial" w:ascii="Arial" w:hAnsi="Arial"/>
                <w:sz w:val="18"/>
                <w:szCs w:val="18"/>
              </w:rPr>
              <w:t>10. Бактерицидная ультрафиолетовая установка «Лазурь-М10» - 2шт.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-</w:t>
            </w:r>
          </w:p>
        </w:tc>
        <w:tc>
          <w:tcPr>
            <w:tcW w:w="12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5% (2010 г.)</w:t>
            </w:r>
          </w:p>
        </w:tc>
        <w:tc>
          <w:tcPr>
            <w:tcW w:w="11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-</w:t>
            </w:r>
          </w:p>
        </w:tc>
        <w:tc>
          <w:tcPr>
            <w:tcW w:w="11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Grunfos SEV.80.80.60.2.51D</w:t>
            </w:r>
          </w:p>
        </w:tc>
        <w:tc>
          <w:tcPr>
            <w:tcW w:w="11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15%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(2010 г.)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225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НПВХ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8,897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20% (2019 г.)</w:t>
            </w:r>
          </w:p>
        </w:tc>
      </w:tr>
      <w:tr>
        <w:trPr>
          <w:trHeight w:val="1680" w:hRule="atLeast"/>
        </w:trPr>
        <w:tc>
          <w:tcPr>
            <w:tcW w:w="14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21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240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13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2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17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1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</w:r>
          </w:p>
        </w:tc>
        <w:tc>
          <w:tcPr>
            <w:tcW w:w="118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114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Сталь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1,289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20% (2019 г.)</w:t>
            </w:r>
          </w:p>
        </w:tc>
      </w:tr>
      <w:tr>
        <w:trPr>
          <w:trHeight w:val="1680" w:hRule="atLeast"/>
        </w:trPr>
        <w:tc>
          <w:tcPr>
            <w:tcW w:w="14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21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240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13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2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17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1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</w:r>
          </w:p>
        </w:tc>
        <w:tc>
          <w:tcPr>
            <w:tcW w:w="118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150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Керамика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0,413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20% (2019 г.)</w:t>
            </w:r>
          </w:p>
        </w:tc>
      </w:tr>
      <w:tr>
        <w:trPr>
          <w:trHeight w:val="340" w:hRule="atLeast"/>
        </w:trPr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Всего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200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- 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- 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- 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 </w:t>
            </w: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 </w:t>
            </w: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- 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8"/>
                <w:szCs w:val="18"/>
              </w:rPr>
              <w:t>10,599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ascii="Arial" w:hAnsi="Arial"/>
                <w:color w:val="000000"/>
                <w:sz w:val="18"/>
                <w:szCs w:val="18"/>
              </w:rPr>
              <w:t>- </w:t>
            </w:r>
          </w:p>
        </w:tc>
      </w:tr>
    </w:tbl>
    <w:p>
      <w:pPr>
        <w:sectPr>
          <w:type w:val="nextPage"/>
          <w:pgSz w:orient="landscape" w:w="16838" w:h="11906"/>
          <w:pgMar w:left="1134" w:right="1134" w:header="0" w:top="1701" w:footer="0" w:bottom="851" w:gutter="0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1"/>
        <w:bidi w:val="0"/>
        <w:ind w:firstLine="539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>Раздел 2. Предложения по строительству, реконструкции и модернизации объектов централизованных систем водоотведения.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Существующие БиОСК, принимающие стоки от застройки р. п. Шаранга, необходимо реконструировать с увеличением производительности и доведением степени очистки до нормативных показателей с выпуском в р. п.  Шаранга.</w:t>
      </w:r>
    </w:p>
    <w:p>
      <w:pPr>
        <w:pStyle w:val="Normal"/>
        <w:spacing w:before="0" w:after="0"/>
        <w:ind w:firstLine="709"/>
        <w:contextualSpacing/>
        <w:jc w:val="both"/>
        <w:rPr/>
      </w:pPr>
      <w:r>
        <w:rPr>
          <w:rFonts w:cs="Arial" w:ascii="Arial" w:hAnsi="Arial"/>
          <w:sz w:val="22"/>
          <w:szCs w:val="22"/>
        </w:rPr>
        <w:t>В целях сохранности чистоты водоемов очистка сточных вод перед сбросом должна соответствовать требованиям и нормам СанПиН 2.1.5.980-00 «Водоотведение населенных мест, санитарная охрана водных объектов. Гигиенические требования к охране поверхностных вод».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Перечень мероприятий по развитию систем водоотведения р. п. Шаранга приведены в таблице 2.</w:t>
      </w:r>
    </w:p>
    <w:p>
      <w:pPr>
        <w:pStyle w:val="Normal"/>
        <w:rPr>
          <w:rFonts w:cs="Arial"/>
        </w:rPr>
      </w:pPr>
      <w:r>
        <w:rPr>
          <w:rFonts w:cs="Arial" w:ascii="Arial" w:hAnsi="Arial"/>
          <w:iCs/>
          <w:color w:val="000000"/>
          <w:sz w:val="22"/>
          <w:szCs w:val="22"/>
        </w:rPr>
        <w:t>Таблица 2 - Перечень мероприятий по развитию системы водоотведения</w:t>
      </w:r>
    </w:p>
    <w:tbl>
      <w:tblPr>
        <w:tblW w:w="9223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4"/>
        <w:gridCol w:w="3269"/>
      </w:tblGrid>
      <w:tr>
        <w:trPr>
          <w:trHeight w:val="340" w:hRule="atLeast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Наименование</w:t>
            </w:r>
          </w:p>
        </w:tc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Параметры</w:t>
            </w:r>
          </w:p>
        </w:tc>
      </w:tr>
      <w:tr>
        <w:trPr>
          <w:trHeight w:val="340" w:hRule="atLeast"/>
        </w:trPr>
        <w:tc>
          <w:tcPr>
            <w:tcW w:w="9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 xml:space="preserve">На </w:t>
            </w:r>
            <w:r>
              <w:rPr>
                <w:rFonts w:cs="Arial" w:ascii="Arial" w:hAnsi="Arial"/>
                <w:b/>
                <w:bCs/>
                <w:color w:val="000000"/>
                <w:lang w:val="en-US"/>
              </w:rPr>
              <w:t>I</w:t>
            </w:r>
            <w:r>
              <w:rPr>
                <w:rFonts w:cs="Arial" w:ascii="Arial" w:hAnsi="Arial"/>
                <w:b/>
                <w:bCs/>
                <w:color w:val="000000"/>
              </w:rPr>
              <w:t xml:space="preserve"> очередь</w:t>
            </w:r>
          </w:p>
        </w:tc>
      </w:tr>
      <w:tr>
        <w:trPr>
          <w:trHeight w:val="340" w:hRule="atLeast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Fonts w:cs="Arial" w:ascii="Arial" w:hAnsi="Arial"/>
                <w:color w:val="000000"/>
              </w:rPr>
              <w:t>Строительство канализационных коллекторов в р. п. Шаранга</w:t>
            </w:r>
          </w:p>
        </w:tc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Протяженность – 0,60 км</w:t>
            </w:r>
          </w:p>
        </w:tc>
      </w:tr>
      <w:tr>
        <w:trPr>
          <w:trHeight w:val="340" w:hRule="atLeast"/>
        </w:trPr>
        <w:tc>
          <w:tcPr>
            <w:tcW w:w="9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 расчетный срок</w:t>
            </w:r>
          </w:p>
        </w:tc>
      </w:tr>
      <w:tr>
        <w:trPr>
          <w:trHeight w:val="340" w:hRule="atLeast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 xml:space="preserve">Реконструкция существующих очистных сооружений </w:t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р. п. Шаранга</w:t>
            </w:r>
          </w:p>
        </w:tc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Доведение производительности до 1900 м</w:t>
            </w:r>
            <w:r>
              <w:rPr>
                <w:rFonts w:cs="Arial" w:ascii="Arial" w:hAnsi="Arial"/>
                <w:color w:val="000000"/>
                <w:vertAlign w:val="superscript"/>
              </w:rPr>
              <w:t>3</w:t>
            </w:r>
            <w:r>
              <w:rPr>
                <w:rFonts w:cs="Arial" w:ascii="Arial" w:hAnsi="Arial"/>
                <w:color w:val="000000"/>
              </w:rPr>
              <w:t>/сут</w:t>
            </w:r>
          </w:p>
        </w:tc>
      </w:tr>
      <w:tr>
        <w:trPr>
          <w:trHeight w:val="340" w:hRule="atLeast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 xml:space="preserve">Строительство канализационной насосной станции в </w:t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р. п. Шаранга</w:t>
            </w:r>
          </w:p>
        </w:tc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Производительностью 200 м</w:t>
            </w:r>
            <w:r>
              <w:rPr>
                <w:rFonts w:cs="Arial" w:ascii="Arial" w:hAnsi="Arial"/>
                <w:color w:val="000000"/>
                <w:vertAlign w:val="superscript"/>
              </w:rPr>
              <w:t>3</w:t>
            </w:r>
            <w:r>
              <w:rPr>
                <w:rFonts w:cs="Arial" w:ascii="Arial" w:hAnsi="Arial"/>
                <w:color w:val="000000"/>
              </w:rPr>
              <w:t>/сут</w:t>
            </w:r>
          </w:p>
        </w:tc>
      </w:tr>
      <w:tr>
        <w:trPr>
          <w:trHeight w:val="340" w:hRule="atLeast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 xml:space="preserve">Строительство канализационных насосных станции в </w:t>
            </w:r>
          </w:p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р. п. Шаранга</w:t>
            </w:r>
          </w:p>
        </w:tc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Производительностью 600 м</w:t>
            </w:r>
            <w:r>
              <w:rPr>
                <w:rFonts w:cs="Arial" w:ascii="Arial" w:hAnsi="Arial"/>
                <w:color w:val="000000"/>
                <w:vertAlign w:val="superscript"/>
              </w:rPr>
              <w:t>3</w:t>
            </w:r>
            <w:r>
              <w:rPr>
                <w:rFonts w:cs="Arial" w:ascii="Arial" w:hAnsi="Arial"/>
                <w:color w:val="000000"/>
              </w:rPr>
              <w:t>/сут</w:t>
            </w:r>
          </w:p>
        </w:tc>
      </w:tr>
      <w:tr>
        <w:trPr>
          <w:trHeight w:val="340" w:hRule="atLeast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Fonts w:cs="Arial" w:ascii="Arial" w:hAnsi="Arial"/>
                <w:color w:val="000000"/>
              </w:rPr>
              <w:t>Строительство канализационных коллекторов в р. п. Шаранга</w:t>
            </w:r>
          </w:p>
        </w:tc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Протяженность – 5,7 км</w:t>
            </w:r>
          </w:p>
        </w:tc>
      </w:tr>
    </w:tbl>
    <w:p>
      <w:pPr>
        <w:pStyle w:val="Style33"/>
        <w:spacing w:before="0" w:after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Мощности и характеристики объектов водоотведения необходимо уточнить при рабочем проектировании.</w:t>
      </w:r>
    </w:p>
    <w:p>
      <w:pPr>
        <w:pStyle w:val="Normal"/>
        <w:rPr>
          <w:rFonts w:ascii="Arial" w:hAnsi="Arial" w:cs="Arial"/>
          <w:sz w:val="22"/>
          <w:szCs w:val="22"/>
          <w:lang w:val="ru-RU"/>
        </w:rPr>
      </w:pPr>
      <w:r>
        <w:rPr>
          <w:rFonts w:cs="Arial" w:ascii="Arial" w:hAnsi="Arial"/>
          <w:sz w:val="22"/>
          <w:szCs w:val="22"/>
          <w:lang w:val="ru-RU"/>
        </w:rPr>
      </w:r>
    </w:p>
    <w:p>
      <w:pPr>
        <w:pStyle w:val="Normal"/>
        <w:rPr>
          <w:rFonts w:ascii="Arial" w:hAnsi="Arial" w:cs="Arial"/>
          <w:sz w:val="28"/>
          <w:szCs w:val="28"/>
          <w:lang w:val="ru-RU"/>
        </w:rPr>
      </w:pPr>
      <w:r>
        <w:rPr>
          <w:rFonts w:cs="Arial" w:ascii="Arial" w:hAnsi="Arial"/>
          <w:sz w:val="28"/>
          <w:szCs w:val="28"/>
          <w:lang w:val="ru-RU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2040" w:leader="none"/>
        </w:tabs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2040" w:leader="none"/>
        </w:tabs>
        <w:jc w:val="right"/>
        <w:rPr/>
      </w:pPr>
      <w:r>
        <w:rPr/>
        <w:t xml:space="preserve">Приложение к Схеме водоснабжения и водоотведения </w:t>
      </w:r>
    </w:p>
    <w:p>
      <w:pPr>
        <w:pStyle w:val="Normal"/>
        <w:tabs>
          <w:tab w:val="clear" w:pos="720"/>
          <w:tab w:val="left" w:pos="2040" w:leader="none"/>
        </w:tabs>
        <w:jc w:val="right"/>
        <w:rPr/>
      </w:pPr>
      <w:r>
        <w:rPr/>
        <w:t xml:space="preserve">на территории городского поселения р.п. Шаранга </w:t>
      </w:r>
    </w:p>
    <w:p>
      <w:pPr>
        <w:pStyle w:val="Normal"/>
        <w:tabs>
          <w:tab w:val="clear" w:pos="720"/>
          <w:tab w:val="left" w:pos="2040" w:leader="none"/>
        </w:tabs>
        <w:jc w:val="right"/>
        <w:rPr/>
      </w:pPr>
      <w:r>
        <w:rPr/>
        <w:t>Шарангского муниципального района</w:t>
      </w:r>
    </w:p>
    <w:p>
      <w:pPr>
        <w:pStyle w:val="Normal"/>
        <w:tabs>
          <w:tab w:val="clear" w:pos="720"/>
          <w:tab w:val="left" w:pos="2040" w:leader="none"/>
        </w:tabs>
        <w:jc w:val="right"/>
        <w:rPr/>
      </w:pPr>
      <w:r>
        <w:rPr/>
        <w:t xml:space="preserve">Нижегородской области </w:t>
      </w:r>
    </w:p>
    <w:p>
      <w:pPr>
        <w:pStyle w:val="Normal"/>
        <w:tabs>
          <w:tab w:val="clear" w:pos="720"/>
          <w:tab w:val="left" w:pos="2040" w:leader="none"/>
        </w:tabs>
        <w:jc w:val="right"/>
        <w:rPr/>
      </w:pPr>
      <w:r>
        <w:rPr/>
        <w:t>на период 2019-2033 годов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ГРАФИЧЕСКАЯ ЧАСТЬ</w:t>
      </w:r>
    </w:p>
    <w:p>
      <w:pPr>
        <w:pStyle w:val="Normal"/>
        <w:ind w:firstLine="708"/>
        <w:jc w:val="right"/>
        <w:rPr>
          <w:sz w:val="28"/>
          <w:szCs w:val="28"/>
        </w:rPr>
      </w:pPr>
      <w:r>
        <w:rPr>
          <w:sz w:val="28"/>
          <w:szCs w:val="28"/>
        </w:rPr>
        <w:t>Рис.1</w:t>
      </w:r>
    </w:p>
    <w:p>
      <w:pPr>
        <w:pStyle w:val="Normal"/>
        <w:ind w:firstLine="708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87645" cy="7521575"/>
            <wp:effectExtent l="0" t="0" r="0" b="0"/>
            <wp:docPr id="5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3" t="-2" r="-3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645" cy="752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708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08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08"/>
        <w:jc w:val="right"/>
        <w:rPr>
          <w:sz w:val="28"/>
          <w:szCs w:val="28"/>
        </w:rPr>
      </w:pPr>
      <w:r>
        <w:rPr>
          <w:sz w:val="28"/>
          <w:szCs w:val="28"/>
        </w:rPr>
        <w:t>Рис.2</w:t>
      </w:r>
    </w:p>
    <w:p>
      <w:pPr>
        <w:pStyle w:val="Normal"/>
        <w:ind w:firstLine="708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08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932805" cy="8439150"/>
            <wp:effectExtent l="0" t="0" r="0" b="0"/>
            <wp:docPr id="6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-3" t="-2" r="-3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43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708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08"/>
        <w:jc w:val="right"/>
        <w:rPr>
          <w:sz w:val="28"/>
          <w:szCs w:val="28"/>
        </w:rPr>
      </w:pPr>
      <w:r>
        <w:rPr>
          <w:sz w:val="28"/>
          <w:szCs w:val="28"/>
        </w:rPr>
        <w:t>Рис.3</w:t>
      </w:r>
    </w:p>
    <w:p>
      <w:pPr>
        <w:pStyle w:val="Normal"/>
        <w:ind w:firstLine="708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932805" cy="8439150"/>
            <wp:effectExtent l="0" t="0" r="0" b="0"/>
            <wp:docPr id="7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3" t="-2" r="-3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43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2475" w:leader="none"/>
        </w:tabs>
        <w:jc w:val="right"/>
        <w:rPr>
          <w:sz w:val="28"/>
          <w:szCs w:val="28"/>
        </w:rPr>
      </w:pPr>
      <w:r>
        <w:rPr>
          <w:sz w:val="28"/>
          <w:szCs w:val="28"/>
        </w:rPr>
        <w:tab/>
        <w:t>Рис.4</w:t>
      </w:r>
    </w:p>
    <w:p>
      <w:pPr>
        <w:pStyle w:val="Normal"/>
        <w:tabs>
          <w:tab w:val="clear" w:pos="720"/>
          <w:tab w:val="left" w:pos="2475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2475" w:leader="none"/>
        </w:tabs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932805" cy="8439150"/>
            <wp:effectExtent l="0" t="0" r="0" b="0"/>
            <wp:docPr id="8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-3" t="-2" r="-3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43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2895" w:leader="none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>
      <w:pPr>
        <w:pStyle w:val="Normal"/>
        <w:tabs>
          <w:tab w:val="clear" w:pos="720"/>
          <w:tab w:val="left" w:pos="2895" w:leader="none"/>
        </w:tabs>
        <w:jc w:val="right"/>
        <w:rPr>
          <w:sz w:val="28"/>
          <w:szCs w:val="28"/>
        </w:rPr>
      </w:pPr>
      <w:r>
        <w:rPr>
          <w:sz w:val="28"/>
          <w:szCs w:val="28"/>
        </w:rPr>
        <w:t>Рис.5</w:t>
      </w:r>
    </w:p>
    <w:p>
      <w:pPr>
        <w:pStyle w:val="Normal"/>
        <w:tabs>
          <w:tab w:val="clear" w:pos="720"/>
          <w:tab w:val="left" w:pos="2895" w:leader="none"/>
        </w:tabs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932805" cy="8439150"/>
            <wp:effectExtent l="0" t="0" r="0" b="0"/>
            <wp:docPr id="9" name="Изображение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Изображение6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-3" t="-2" r="-3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43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3435" w:leader="none"/>
        </w:tabs>
        <w:jc w:val="right"/>
        <w:rPr>
          <w:sz w:val="28"/>
          <w:szCs w:val="28"/>
        </w:rPr>
      </w:pPr>
      <w:r>
        <w:rPr>
          <w:sz w:val="28"/>
          <w:szCs w:val="28"/>
        </w:rPr>
        <w:tab/>
        <w:t>Рис.6</w:t>
      </w:r>
    </w:p>
    <w:p>
      <w:pPr>
        <w:pStyle w:val="Normal"/>
        <w:tabs>
          <w:tab w:val="clear" w:pos="720"/>
          <w:tab w:val="left" w:pos="3435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3435" w:leader="none"/>
        </w:tabs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932805" cy="8439150"/>
            <wp:effectExtent l="0" t="0" r="0" b="0"/>
            <wp:docPr id="10" name="Изображение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Изображение7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-3" t="-2" r="-3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43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tabs>
          <w:tab w:val="clear" w:pos="720"/>
          <w:tab w:val="left" w:pos="3435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3435" w:leader="none"/>
        </w:tabs>
        <w:jc w:val="right"/>
        <w:rPr>
          <w:sz w:val="28"/>
          <w:szCs w:val="28"/>
        </w:rPr>
      </w:pPr>
      <w:r>
        <w:rPr>
          <w:sz w:val="28"/>
          <w:szCs w:val="28"/>
        </w:rPr>
        <w:t>Рис.7</w:t>
      </w:r>
    </w:p>
    <w:p>
      <w:pPr>
        <w:pStyle w:val="Normal"/>
        <w:tabs>
          <w:tab w:val="clear" w:pos="720"/>
          <w:tab w:val="left" w:pos="3435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3435" w:leader="none"/>
        </w:tabs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932805" cy="8439150"/>
            <wp:effectExtent l="0" t="0" r="0" b="0"/>
            <wp:docPr id="11" name="Изображение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Изображение8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-3" t="-2" r="-3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43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435" w:hanging="435"/>
      </w:pPr>
      <w:rPr/>
    </w:lvl>
    <w:lvl w:ilvl="1">
      <w:start w:val="1"/>
      <w:numFmt w:val="decimal"/>
      <w:lvlText w:val="%1.%2."/>
      <w:lvlJc w:val="left"/>
      <w:pPr>
        <w:ind w:left="1620" w:hanging="720"/>
      </w:pPr>
      <w:rPr/>
    </w:lvl>
    <w:lvl w:ilvl="2">
      <w:start w:val="1"/>
      <w:numFmt w:val="decimal"/>
      <w:lvlText w:val="%1.%2.%3."/>
      <w:lvlJc w:val="left"/>
      <w:pPr>
        <w:ind w:left="2520" w:hanging="720"/>
      </w:pPr>
      <w:rPr/>
    </w:lvl>
    <w:lvl w:ilvl="3">
      <w:start w:val="1"/>
      <w:numFmt w:val="decimal"/>
      <w:lvlText w:val="%1.%2.%3.%4."/>
      <w:lvlJc w:val="left"/>
      <w:pPr>
        <w:ind w:left="3780" w:hanging="1080"/>
      </w:pPr>
      <w:rPr/>
    </w:lvl>
    <w:lvl w:ilvl="4">
      <w:start w:val="1"/>
      <w:numFmt w:val="decimal"/>
      <w:lvlText w:val="%1.%2.%3.%4.%5."/>
      <w:lvlJc w:val="left"/>
      <w:pPr>
        <w:ind w:left="4680" w:hanging="1080"/>
      </w:pPr>
      <w:rPr/>
    </w:lvl>
    <w:lvl w:ilvl="5">
      <w:start w:val="1"/>
      <w:numFmt w:val="decimal"/>
      <w:lvlText w:val="%1.%2.%3.%4.%5.%6."/>
      <w:lvlJc w:val="left"/>
      <w:pPr>
        <w:ind w:left="5940" w:hanging="1440"/>
      </w:pPr>
      <w:rPr/>
    </w:lvl>
    <w:lvl w:ilvl="6">
      <w:start w:val="1"/>
      <w:numFmt w:val="decimal"/>
      <w:lvlText w:val="%1.%2.%3.%4.%5.%6.%7."/>
      <w:lvlJc w:val="left"/>
      <w:pPr>
        <w:ind w:left="7200" w:hanging="1800"/>
      </w:pPr>
      <w:rPr/>
    </w:lvl>
    <w:lvl w:ilvl="7">
      <w:start w:val="1"/>
      <w:numFmt w:val="decimal"/>
      <w:lvlText w:val="%1.%2.%3.%4.%5.%6.%7.%8."/>
      <w:lvlJc w:val="left"/>
      <w:pPr>
        <w:ind w:left="8100" w:hanging="1800"/>
      </w:pPr>
      <w:rPr/>
    </w:lvl>
    <w:lvl w:ilvl="8">
      <w:start w:val="1"/>
      <w:numFmt w:val="decimal"/>
      <w:lvlText w:val="%1.%2.%3.%4.%5.%6.%7.%8.%9."/>
      <w:lvlJc w:val="left"/>
      <w:pPr>
        <w:ind w:left="9360" w:hanging="21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character" w:styleId="31">
    <w:name w:val="Заголовок 3 Знак"/>
    <w:basedOn w:val="Style11"/>
    <w:qFormat/>
    <w:rPr>
      <w:rFonts w:ascii="Arial" w:hAnsi="Arial" w:cs="Arial"/>
      <w:b/>
      <w:bCs/>
      <w:sz w:val="22"/>
    </w:rPr>
  </w:style>
  <w:style w:type="character" w:styleId="Style15">
    <w:name w:val="Абзац Знак"/>
    <w:qFormat/>
    <w:rPr>
      <w:sz w:val="24"/>
      <w:szCs w:val="24"/>
      <w:lang w:val="ru-RU"/>
    </w:rPr>
  </w:style>
  <w:style w:type="paragraph" w:styleId="Style16">
    <w:name w:val="Заголовок"/>
    <w:next w:val="Style17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1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3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2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4">
    <w:name w:val="Текст"/>
    <w:basedOn w:val="Normal"/>
    <w:qFormat/>
    <w:pPr/>
    <w:rPr>
      <w:rFonts w:ascii="Courier New" w:hAnsi="Courier New" w:cs="Courier New"/>
    </w:rPr>
  </w:style>
  <w:style w:type="paragraph" w:styleId="33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5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7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8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0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Style32">
    <w:name w:val="Обычный (веб)"/>
    <w:basedOn w:val="Normal"/>
    <w:qFormat/>
    <w:pPr>
      <w:spacing w:before="100" w:after="100"/>
    </w:pPr>
    <w:rPr>
      <w:sz w:val="24"/>
      <w:szCs w:val="24"/>
    </w:rPr>
  </w:style>
  <w:style w:type="paragraph" w:styleId="Formattext">
    <w:name w:val="formattext"/>
    <w:basedOn w:val="Normal"/>
    <w:qFormat/>
    <w:pPr>
      <w:spacing w:before="100" w:after="100"/>
    </w:pPr>
    <w:rPr>
      <w:sz w:val="24"/>
      <w:szCs w:val="24"/>
    </w:rPr>
  </w:style>
  <w:style w:type="paragraph" w:styleId="Style33">
    <w:name w:val="Абзац"/>
    <w:basedOn w:val="Normal"/>
    <w:qFormat/>
    <w:pPr>
      <w:spacing w:before="120" w:after="60"/>
      <w:ind w:firstLine="567"/>
      <w:jc w:val="both"/>
    </w:pPr>
    <w:rPr>
      <w:sz w:val="24"/>
      <w:szCs w:val="24"/>
      <w:lang w:val="ru-RU"/>
    </w:rPr>
  </w:style>
  <w:style w:type="paragraph" w:styleId="Style34">
    <w:name w:val="Содержимое врезки"/>
    <w:basedOn w:val="Normal"/>
    <w:qFormat/>
    <w:pPr/>
    <w:rPr/>
  </w:style>
  <w:style w:type="paragraph" w:styleId="Style35">
    <w:name w:val="Содержимое таблицы"/>
    <w:basedOn w:val="Normal"/>
    <w:qFormat/>
    <w:pPr>
      <w:suppressLineNumbers/>
    </w:pPr>
    <w:rPr/>
  </w:style>
  <w:style w:type="paragraph" w:styleId="Style36">
    <w:name w:val="Заголовок таблицы"/>
    <w:basedOn w:val="Style35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ru.wikipedia.org/wiki/&#1053;&#1080;&#1078;&#1077;&#1075;&#1086;&#1088;&#1086;&#1076;&#1089;&#1082;&#1072;&#1103;_&#1086;&#1073;&#1083;&#1072;&#1089;&#1090;&#1100;" TargetMode="External"/><Relationship Id="rId4" Type="http://schemas.openxmlformats.org/officeDocument/2006/relationships/image" Target="media/image2.png"/><Relationship Id="rId5" Type="http://schemas.openxmlformats.org/officeDocument/2006/relationships/image" Target="media/image3.jpeg"/><Relationship Id="rId6" Type="http://schemas.openxmlformats.org/officeDocument/2006/relationships/image" Target="media/image4.wmf"/><Relationship Id="rId7" Type="http://schemas.openxmlformats.org/officeDocument/2006/relationships/image" Target="media/image5.wmf"/><Relationship Id="rId8" Type="http://schemas.openxmlformats.org/officeDocument/2006/relationships/image" Target="media/image6.wmf"/><Relationship Id="rId9" Type="http://schemas.openxmlformats.org/officeDocument/2006/relationships/image" Target="media/image7.wmf"/><Relationship Id="rId10" Type="http://schemas.openxmlformats.org/officeDocument/2006/relationships/image" Target="media/image8.wmf"/><Relationship Id="rId11" Type="http://schemas.openxmlformats.org/officeDocument/2006/relationships/image" Target="media/image9.wmf"/><Relationship Id="rId12" Type="http://schemas.openxmlformats.org/officeDocument/2006/relationships/image" Target="media/image10.wmf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Постановление_x0000__x0000_</Template>
  <TotalTime>507</TotalTime>
  <Application>LibreOffice/6.3.3.2$Windows_x86 LibreOffice_project/a64200df03143b798afd1ec74a12ab50359878ed</Application>
  <Pages>14</Pages>
  <Words>1965</Words>
  <Characters>13959</Characters>
  <CharactersWithSpaces>15720</CharactersWithSpaces>
  <Paragraphs>374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2015-08-31T09:21:00Z</dcterms:created>
  <dc:creator>Катышева Е. В.</dc:creator>
  <dc:description/>
  <cp:keywords/>
  <dc:language>ru-RU</dc:language>
  <cp:lastModifiedBy>Сектор ЖКХ</cp:lastModifiedBy>
  <cp:lastPrinted>2019-11-25T09:09:00Z</cp:lastPrinted>
  <dcterms:modified xsi:type="dcterms:W3CDTF">2019-11-29T15:17:00Z</dcterms:modified>
  <cp:revision>42</cp:revision>
  <dc:subject/>
  <dc:title>ПОСТАНОВЛЕНИЕ</dc:title>
</cp:coreProperties>
</file>