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                          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20.12.2018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41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Об утверждении Перечня имущества, передаваемого</w:t>
      </w:r>
    </w:p>
    <w:p>
      <w:pPr>
        <w:pStyle w:val="Normal"/>
        <w:jc w:val="center"/>
        <w:rPr>
          <w:rStyle w:val="Style14"/>
          <w:rFonts w:ascii="Arial" w:hAnsi="Arial" w:cs="Arial"/>
          <w:sz w:val="28"/>
          <w:szCs w:val="28"/>
        </w:rPr>
      </w:pPr>
      <w:r>
        <w:rPr>
          <w:rStyle w:val="Style14"/>
          <w:rFonts w:cs="Arial" w:ascii="Arial" w:hAnsi="Arial"/>
          <w:sz w:val="28"/>
          <w:szCs w:val="28"/>
        </w:rPr>
        <w:t>из муниципальной собственности рабочего поселка Шаранга Шарангского муниципального района Нижегородской области в муниципальную собственность Шарангского муниципального района Нижегородской области</w:t>
      </w:r>
    </w:p>
    <w:p>
      <w:pPr>
        <w:pStyle w:val="Normal"/>
        <w:jc w:val="center"/>
        <w:rPr>
          <w:rStyle w:val="Style14"/>
          <w:rFonts w:ascii="Arial" w:hAnsi="Arial" w:cs="Arial"/>
          <w:b/>
          <w:b/>
          <w:sz w:val="28"/>
          <w:szCs w:val="28"/>
        </w:rPr>
      </w:pPr>
      <w:r>
        <w:rPr/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Федеральным законом от 06.10.2003 г. № 131-ФЗ «Об общих принципах организации местного самоуправления в Российской Федерации», законом Нижегородской области от 04.05.2008 г. № 54 – З «О порядке разграничения имущества, находящегося в муниципальной собственности между муниципальными районами, поселениями и городскими округами»,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>1.Утвердить перечень муниципального имущества, передаваемого из муниципальной собственности рабочего поселка Шаранга Шарангского муниципального района Нижегородской области в муниципальную собственность  Шарангского муниципального района Нижегородской области согласно приложению.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>2.Настоящее решение вступает в силу со дня его принятия.</w:t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20.12.2018 №41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ПЕРЕЧЕНЬ</w:t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sz w:val="24"/>
          <w:szCs w:val="24"/>
        </w:rPr>
        <w:t xml:space="preserve">муниципального имущества, передаваемого  из муниципальной собственности рабочего поселка Шаранга Шарангского муниципального района Нижегородской области в муниципальную собственность Шарангского муниципального района Нижегородской области </w:t>
      </w:r>
    </w:p>
    <w:tbl>
      <w:tblPr>
        <w:tblW w:w="10075" w:type="dxa"/>
        <w:jc w:val="left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</w:tblPr>
      <w:tblGrid>
        <w:gridCol w:w="484"/>
        <w:gridCol w:w="4336"/>
        <w:gridCol w:w="3261"/>
        <w:gridCol w:w="1994"/>
      </w:tblGrid>
      <w:tr>
        <w:trPr/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№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п/п</w:t>
            </w:r>
          </w:p>
        </w:tc>
        <w:tc>
          <w:tcPr>
            <w:tcW w:w="4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имущества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Местонахождение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имущества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Балансовая ст-ть/</w:t>
            </w:r>
          </w:p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остаточная ст-ть, руб.</w:t>
            </w:r>
          </w:p>
        </w:tc>
      </w:tr>
      <w:tr>
        <w:trPr/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</w:t>
            </w:r>
          </w:p>
        </w:tc>
        <w:tc>
          <w:tcPr>
            <w:tcW w:w="4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Наружные сети электроснабжения: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Комплексная трансформаторная подстанция КТП-ТВ/В 250/10/0,4 кВ мощностью 250кВА и ВЛ-10кВ протяженностью 160,0 метров, ВЛ-0,4кВ протяженностью 2691 м.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Нижегородская область, Шарангский район,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рабочий поселок Шаранга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ул.Рогожникова д.1а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2 745 660,00/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2 111 072,53</w:t>
            </w:r>
          </w:p>
        </w:tc>
      </w:tr>
    </w:tbl>
    <w:p>
      <w:pPr>
        <w:pStyle w:val="ConsPlusNormal1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1186</TotalTime>
  <Application>LibreOffice/6.1.3.2$Windows_X86_64 LibreOffice_project/86daf60bf00efa86ad547e59e09d6bb77c699acb</Application>
  <Pages>1</Pages>
  <Words>216</Words>
  <Characters>1760</Characters>
  <CharactersWithSpaces>2151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2018-12-24T13:00:00Z</cp:lastPrinted>
  <dcterms:modified xsi:type="dcterms:W3CDTF">2018-12-24T12:01:00Z</dcterms:modified>
  <cp:revision>87</cp:revision>
  <dc:subject/>
  <dc:title>ПОСТАНОВЛЕНИЕ</dc:title>
</cp:coreProperties>
</file>