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ind w:firstLine="56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1"/>
        <w:ind w:left="142" w:firstLine="567"/>
        <w:jc w:val="center"/>
        <w:rPr>
          <w:rFonts w:ascii="Arial" w:hAnsi="Arial" w:cs="Arial"/>
          <w:spacing w:val="60"/>
          <w:sz w:val="32"/>
          <w:szCs w:val="32"/>
        </w:rPr>
      </w:pPr>
      <w:r>
        <w:rPr>
          <w:rFonts w:cs="Arial" w:ascii="Arial" w:hAnsi="Arial"/>
          <w:spacing w:val="60"/>
          <w:sz w:val="32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32"/>
          <w:szCs w:val="32"/>
        </w:rPr>
      </w:pPr>
      <w:r>
        <w:rPr>
          <w:rFonts w:cs="Arial" w:ascii="Arial" w:hAnsi="Arial"/>
          <w:spacing w:val="60"/>
          <w:sz w:val="32"/>
          <w:szCs w:val="32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20.12.2018</w:t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38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6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 xml:space="preserve">Об утверждении Порядка </w:t>
      </w:r>
    </w:p>
    <w:p>
      <w:pPr>
        <w:pStyle w:val="Style16"/>
        <w:rPr/>
      </w:pPr>
      <w:r>
        <w:rPr>
          <w:rFonts w:cs="Arial" w:ascii="Arial" w:hAnsi="Arial"/>
          <w:sz w:val="28"/>
          <w:szCs w:val="28"/>
        </w:rPr>
        <w:t>формирования, ведения и обнародования  Перечня муниципального имущества рабочего поселка Шаранга Шарангского муниципального района Нижегородской области, 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предпринимательства,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ConsPlusTitle"/>
        <w:widowControl/>
        <w:ind w:firstLine="567"/>
        <w:jc w:val="both"/>
        <w:rPr/>
      </w:pPr>
      <w:r>
        <w:rPr>
          <w:rFonts w:eastAsia="Arial"/>
          <w:b w:val="false"/>
          <w:sz w:val="24"/>
          <w:szCs w:val="24"/>
        </w:rPr>
        <w:t xml:space="preserve">      </w:t>
      </w:r>
      <w:r>
        <w:rPr>
          <w:b w:val="false"/>
          <w:sz w:val="24"/>
          <w:szCs w:val="24"/>
        </w:rPr>
        <w:t xml:space="preserve">В соответствии с Федеральным </w:t>
      </w:r>
      <w:hyperlink r:id="rId3">
        <w:r>
          <w:rPr>
            <w:rStyle w:val="Style15"/>
            <w:b w:val="false"/>
            <w:sz w:val="24"/>
            <w:szCs w:val="24"/>
          </w:rPr>
          <w:t>законом</w:t>
        </w:r>
      </w:hyperlink>
      <w:r>
        <w:rPr>
          <w:b w:val="false"/>
          <w:sz w:val="24"/>
          <w:szCs w:val="24"/>
        </w:rPr>
        <w:t xml:space="preserve"> от 06.10.2003 № 131-ФЗ «Об общих принципах организации местного самоуправления в Российской Федерации», Федеральным </w:t>
      </w:r>
      <w:hyperlink r:id="rId4">
        <w:r>
          <w:rPr>
            <w:rStyle w:val="Style15"/>
            <w:b w:val="false"/>
            <w:sz w:val="24"/>
            <w:szCs w:val="24"/>
          </w:rPr>
          <w:t>законом</w:t>
        </w:r>
      </w:hyperlink>
      <w:r>
        <w:rPr>
          <w:b w:val="false"/>
          <w:sz w:val="24"/>
          <w:szCs w:val="24"/>
        </w:rPr>
        <w:t xml:space="preserve"> от 24.07.2007 № 209-ФЗ «О развитии малого и среднего предпринимательства в Российской Федерации», в целях предоставления муниципального имущества рабочего поселка Шаранга Шарангского муниципального района Нижегородской области во владение и (или) в пользование на долгосрочной основе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 поселковый Совет рабочего посёлка Шаранга Шарангского муниципального района Нижегородской области </w:t>
      </w:r>
      <w:r>
        <w:rPr>
          <w:sz w:val="24"/>
          <w:szCs w:val="24"/>
        </w:rPr>
        <w:t>решил</w:t>
      </w:r>
      <w:r>
        <w:rPr>
          <w:b w:val="false"/>
          <w:sz w:val="24"/>
          <w:szCs w:val="24"/>
        </w:rPr>
        <w:t>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1. Утвердить Порядок формирования, ведения и обнародования перечня муниципального имущества рабочего поселка Шаранга Шарангского муниципального района Нижегородской области,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 согласно приложению.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</w:rPr>
        <w:t xml:space="preserve">2. Обнародовать настоящее решение в соответствии с Уставом </w:t>
      </w:r>
      <w:r>
        <w:rPr>
          <w:rFonts w:cs="Arial" w:ascii="Arial" w:hAnsi="Arial"/>
          <w:bCs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</w:rPr>
        <w:t>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3. Контроль за исполнением настоящего решения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</w:rPr>
        <w:t>4. Настоящее решение вступает в силу со дня его подписания.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08"/>
          <w:tab w:val="left" w:pos="7938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М.В.Михеева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УТВЕРЖДЕНО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от 20.12.2018 №38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Порядок </w:t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формирования, ведения и обнародования </w:t>
      </w:r>
      <w:hyperlink r:id="rId5">
        <w:r>
          <w:rPr>
            <w:rStyle w:val="Style15"/>
            <w:rFonts w:cs="Arial" w:ascii="Arial" w:hAnsi="Arial"/>
            <w:b/>
          </w:rPr>
          <w:t>Перечня</w:t>
        </w:r>
      </w:hyperlink>
      <w:r>
        <w:rPr>
          <w:rFonts w:cs="Arial" w:ascii="Arial" w:hAnsi="Arial"/>
          <w:b/>
        </w:rPr>
        <w:t xml:space="preserve"> муниципального имущества рабочего поселка Шаранга Шарангского муниципального района Нижегородской области,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709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Normal1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I. ОСНОВНЫЕ ПОЛОЖЕНИЯ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1. Настоящий Порядок устанавливает процедуру формирования, ведения и обязательного опубликования Перечня муниципального имущества рабочего поселка Шаранга</w:t>
      </w:r>
      <w:r>
        <w:rPr>
          <w:rFonts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Шарангского муниципального района Нижегородской области (далее – Перечень), свободного от прав третьих лиц (за исключением имущественных прав субъектов малого и среднего предпринимательства (далее – субъекты МСП), предусмотренного частью 4 статьи 18 Федерального закона «О развитии малого и среднего предпринимательства в Российской Федерации» в целях предоставления во владение и (или) в пользование субъектам МСП и организациям, образующим инфраструктуру поддержки субъектов МСП, включает сведения, описывающие объекты муниципальной собственности и позволяющие их идентифицировать по </w:t>
      </w:r>
      <w:hyperlink w:anchor="P101">
        <w:r>
          <w:rPr>
            <w:rStyle w:val="Style15"/>
            <w:rFonts w:cs="Arial" w:ascii="Arial" w:hAnsi="Arial"/>
            <w:sz w:val="22"/>
            <w:szCs w:val="22"/>
          </w:rPr>
          <w:t>форме</w:t>
        </w:r>
      </w:hyperlink>
      <w:r>
        <w:rPr>
          <w:rFonts w:cs="Arial" w:ascii="Arial" w:hAnsi="Arial"/>
          <w:sz w:val="22"/>
          <w:szCs w:val="22"/>
        </w:rPr>
        <w:t xml:space="preserve"> согласно приложению к настоящему Порядку.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2. Формирование и ведение Перечня осуществляется    администрацией рабочего поселка Шаранга</w:t>
      </w:r>
      <w:r>
        <w:rPr>
          <w:rFonts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Шарангского муниципального района Нижегородской области (далее – администрация).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В Перечень может быть включено муниципальное имущество рабочего поселка Шаранга</w:t>
      </w:r>
      <w:r>
        <w:rPr>
          <w:rFonts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Шарангского муниципального района Нижегородской области, в том числе земельные участки, здания, строения, сооружения, нежилые помещения, оборудование, машины, механизмы, установки, транспортные средства, инвентарь, инструменты (далее - имущество), принадлежащее публично-правовому образованию, утверждающему Перечень, свободное от прав третьих лиц, за исключением имущественных прав субъектов МСП, которое может быть использовано только в целях предоставления его во владение и (или) в пользование на долгосрочной основе.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При включении в Перечень имущества, арендуемого субъектом МСП, рекомендуется получать письменное согласие арендатора на включение имущества в Перечень путем направления ему соответствующего предложения, содержащего в том числе информацию о положениях Федерального закона от 22.07.2008 № 159-ФЗ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(далее – Закон № 159-ФЗ) в отношении порядка реализации преимущественного права на приобретение арендуемого имущества в собственность, а также информацию о льготах для субъектов МСП, арендующих включенное в Перечень имущество. 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4. Имущество, включенное в перечень, не подлежит отчуждению в частную собственность, за исключением возмездного отчуждения такого имущества в собственность субъектов МСП в соответствии с частью 2.1 статьи 9 Закона № 159-ФЗ.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II. ПОРЯДОК ФОРМИРОВАНИЯ ПЕРЕЧНЯ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1. При формировании перечня специалисты  использует следующие данные: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информацию об имуществе казны, которое может быть предоставлено субъектам МСП и организациям, образующим инфраструктуру поддержки субъектов МСП, в том числе содержащуюся в реестре муниципального имущества;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информацию об имуществе, в отношении которого прекращено право оперативного управления и хозяйственного ведения, в том числе по результатам мероприятий по выявлению неиспользуемого и неэффективно используемого имущества муниципальных унитарных предприятий и муниципальных учреждений, а также по поступившим от них предложениям;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данные предложений о включении имущества в Перечень, передаче в аренду или на ином праве, поступивших от координационного или совещательного органа, субъектов МСП, организаций, образующих инфраструктуру поддержки субъектов МСП, общественных объединений, выражающих интересы субъектов МСП, институтов развития в сфере МСП, включая АО «Корпорация «МСП», иных лиц и организаций;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информацию о муниципальном имуществе, продажа которого в порядке, установленном законодательством Российской Федерации о приватизации, не состоялась;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сведения об имуществе, обращенном или поступившем в муниципальную собственность по основаниям, предусмотренным законодательством Российской Федерации;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иные сведения об имуществе, которыми располагает администрация.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 Имущество, включаемое в Перечень, должно быть пригодно для использования по целевому назначению для ведения предпринимательской деятельности, заключения соответствующего договора о передаче имущества во владение и (или) в пользование субъекту МСП, регистрации соответствующих прав. Не рекомендуется включать в Перечень: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имущество, непригодное к использованию, в том числе объекты недвижимого имущества, находящиеся в аварийном и руинированном состоянии;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движимое имущество, срок службы которого составляет заведомо менее пяти лет – минимального срока заключения договора с субъектом МСП;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движимое имущество, не обладающее индивидуально-определенными признаками, позволяющими заключить в отношении него договор аренды или иной гражданско-правовой договор;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- недвижимое имущество, относящееся к жилищному фонду;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- имущество, арендуемое субъектом МСП, в отношении которого арендатор направил возражения на включение в Перечень в ответ на предложение отделом, указанное в пункте 3 раздела 1 настоящего Порядка.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- информацию об имуществе, поступившем в казну в результате прекращения в установленном порядке права оперативного управления или хозяйственного ведения,  формирует проект Перечня.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При включении в Перечень имущества, для использования которого необходимо проведение ремонта или реконструкции, рекомендуется рассмотреть возможность заключения договора аренды на срок 10 лет с условием осуществления ремонта или реконструкции и с возможностью зачета расходов в счет арендной платы. При этом в договоре необходимо определить порядок документального подтверждения понесенных расходов и их зачета в счет арендной платы во избежание нарушений законодательства Российской Федерации.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4. Включаемое в Перечень имущество не должно относиться к имуществу, изъятому из оборота, объектам религиозного назначения, объектам незавершенного строительства, не должно быть включено в акт о планировании приватизации на текущий год или плановый период либо иное подлежащее исполнению решение собственника о предоставлении третьему лицу. 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5. Имущество должно быть учтено в реестре муниципального имущества. Сведения об имуществе, включаемые в Перечень, должны совпадать с информацией, содержащиеся в соответствующем разделе реестра.      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jc w:val="center"/>
        <w:rPr/>
      </w:pPr>
      <w:r>
        <w:rPr>
          <w:rFonts w:cs="Arial" w:ascii="Arial" w:hAnsi="Arial"/>
          <w:sz w:val="22"/>
          <w:szCs w:val="22"/>
        </w:rPr>
        <w:t>III. ПОРЯДОК ВЕДЕНИЯ И ОБНАРОДОВАНИЯ ПЕРЕЧНЯ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 Ведение Перечня осуществляется администрацией в соответствии с настоящим Порядком.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 Перечень дополняется не реже одного раза в год, но не позднее 1 ноября текущего года, за исключением случая, если в муниципальной собственности отсутствует имущество, соответствующее требованием Закона от 24.07.2007 года № № 209-ФЗ «О развитии малого и среднего предпринимательства в Российской Федерации».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Рассмотрение предложения о внесении изменений в перечень осуществляется администрацией в течение 30 календарных дней с даты его поступления. По результатам рассмотрения предложения администрацией  принимается одно из следующих решений: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а) о включении сведений о муниципальном имуществе, в отношении которого поступило предложение, в Перечень с учетом установленных критериев;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б) об исключении сведений о муниципальном имуществе, в отношении которого поступило предложение;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в) об отказе в учете предложения.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2"/>
          <w:szCs w:val="22"/>
        </w:rPr>
        <w:t>В случае принятия решения об отказе в учете предложения о внесении изменений в перечень, администрация  направляет лицу, представившему предложение, мотивированный ответ о невозможности включения сведений о муниципальном имуществе в Перечень или исключения сведений о муниципальном имуществе из Перечня.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4. Администрация исключает сведения о муниципальном имуществе из Перечня в одном из следующих случаев: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а) выкуп имущества субъектом МСП, арендующим данное имущество;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б) прекращение права муниципальной собственности на имущество, в том числе в связи с прекращением его существования в результате гибели или уничтожения, отчуждения по решению суда, передачей в собственность другого публично-правового образования;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в) закрепление за органами местного самоуправления, муниципальным унитарным предприятием, муниципальным учреждением, иной организацией, создаваемой на базе имущества, находящегося в муниципальной собственности, для выполнения государственных полномочий, решения вопросов местного значения или обеспечения исполнения уставной деятельности;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г) признание имущества не востребованным субъектами МСП или организациями, образующими инфраструктуру поддержки субъектов МСП, в случае если в течение 2 лет со дня включения сведений о муниципальном имуществе в Перечень отсутствия предложений о предоставлении имущества от субъектов МСП и организаций, образующих инфраструктуру поддержки субъектов МСП, в том числе в результате признания несостоявшимися не менее двух объявленных торгов на право заключения договора аренды или безвозмездного пользования;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д) изменение количественных и качественных характеристик имущества, в результате которого оно становится непригодным к использованию по целевому назначению (например, имущество признано аварийным и подлежащим сносу или реконструкции).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5. Информация об объектах в Перечне, является открытой, общедоступной и предоставляется любым заинтересованным лицам в соответствии с действующим законодательством.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6.Перечень и внесенные в него изменения подлежат: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а) обязательному обнародованию в соответствии с Уставом </w:t>
      </w:r>
      <w:r>
        <w:rPr>
          <w:rFonts w:cs="Arial" w:ascii="Arial" w:hAnsi="Arial"/>
          <w:bCs/>
          <w:sz w:val="22"/>
          <w:szCs w:val="22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>;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б) размещению в сети «Интернет» на официальном сайте администрации Шарангского муниципального района Нижегородской области    в срок указанный в подпункте а) настоящего пункта.      </w:t>
      </w:r>
    </w:p>
    <w:p>
      <w:pPr>
        <w:pStyle w:val="ConsPlusNormal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jc w:val="center"/>
        <w:rPr/>
      </w:pPr>
      <w:r>
        <w:rPr>
          <w:rFonts w:cs="Arial" w:ascii="Arial" w:hAnsi="Arial"/>
          <w:sz w:val="22"/>
          <w:szCs w:val="22"/>
        </w:rPr>
        <w:t>IV. ПОРЯДОК И УСЛОВИЯ ПРЕДОСТАВЛЕНИЯ В АРЕНДУ ИМУЩЕСТВА, ВКЛЮЧЕННОГО В ПЕРЕЧЕНЬ</w:t>
      </w:r>
    </w:p>
    <w:p>
      <w:pPr>
        <w:pStyle w:val="ConsPlusNormal1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>1. Арендаторами имущества, включенного в Перечень предназначенного для предоставления в аренду субъектам малого и среднего предпринимательства и организациям, образующим инфраструктуру поддержки малого и среднего предпринимательства, могут быть: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а) субъекты малого и среднего предпринимательства, отвечающие критериям отнесения к числу субъектов малого и среднего предпринимательства в соответствии с Федеральным </w:t>
      </w:r>
      <w:hyperlink r:id="rId6">
        <w:r>
          <w:rPr>
            <w:rStyle w:val="Style15"/>
            <w:rFonts w:cs="Arial" w:ascii="Arial" w:hAnsi="Arial"/>
            <w:sz w:val="22"/>
            <w:szCs w:val="22"/>
          </w:rPr>
          <w:t>законом</w:t>
        </w:r>
      </w:hyperlink>
      <w:r>
        <w:rPr>
          <w:rFonts w:cs="Arial" w:ascii="Arial" w:hAnsi="Arial"/>
          <w:sz w:val="22"/>
          <w:szCs w:val="22"/>
        </w:rPr>
        <w:t xml:space="preserve"> от 24 июля 2007 года № 209-ФЗ «О развитии малого и среднего предпринимательства в Российской Федерации»;</w:t>
      </w:r>
    </w:p>
    <w:p>
      <w:pPr>
        <w:pStyle w:val="ConsPlusNormal1"/>
        <w:ind w:firstLine="540"/>
        <w:jc w:val="both"/>
        <w:rPr/>
      </w:pPr>
      <w:r>
        <w:rPr>
          <w:rFonts w:cs="Arial" w:ascii="Arial" w:hAnsi="Arial"/>
          <w:sz w:val="22"/>
          <w:szCs w:val="22"/>
        </w:rPr>
        <w:t xml:space="preserve">б) организации, образующие инфраструктуру поддержки малого и среднего предпринимательства и осуществляющие деятельность в соответствии с Федеральным </w:t>
      </w:r>
      <w:hyperlink r:id="rId7">
        <w:r>
          <w:rPr>
            <w:rStyle w:val="Style15"/>
            <w:rFonts w:cs="Arial" w:ascii="Arial" w:hAnsi="Arial"/>
            <w:sz w:val="22"/>
            <w:szCs w:val="22"/>
          </w:rPr>
          <w:t>законом</w:t>
        </w:r>
      </w:hyperlink>
      <w:r>
        <w:rPr>
          <w:rFonts w:cs="Arial" w:ascii="Arial" w:hAnsi="Arial"/>
          <w:sz w:val="22"/>
          <w:szCs w:val="22"/>
        </w:rPr>
        <w:t xml:space="preserve"> от 24 июля 2007 года № 209-ФЗ «О развитии малого и среднего предпринимательства в Российской Федерации».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  <w:highlight w:val="yellow"/>
        </w:rPr>
      </w:pPr>
      <w:r>
        <w:rPr>
          <w:rFonts w:cs="Arial" w:ascii="Arial" w:hAnsi="Arial"/>
          <w:sz w:val="22"/>
          <w:szCs w:val="22"/>
        </w:rPr>
        <w:t xml:space="preserve">2. Имущество, включенное в Перечень, предоставляется только лицам, указанным в </w:t>
      </w:r>
      <w:hyperlink w:anchor="P88">
        <w:r>
          <w:rPr>
            <w:rStyle w:val="Style15"/>
            <w:rFonts w:cs="Arial" w:ascii="Arial" w:hAnsi="Arial"/>
            <w:sz w:val="22"/>
            <w:szCs w:val="22"/>
          </w:rPr>
          <w:t>пункте 1</w:t>
        </w:r>
      </w:hyperlink>
      <w:r>
        <w:rPr>
          <w:rFonts w:cs="Arial" w:ascii="Arial" w:hAnsi="Arial"/>
          <w:sz w:val="22"/>
          <w:szCs w:val="22"/>
        </w:rPr>
        <w:t xml:space="preserve"> настоящего Положения, в аренду на торгах, проводимых в соответствии с действующим законодательством и нормативными правовыми актами рабочего поселка Шаранга Шарангского муниципального района Нижегородской области, за исключением случаев, предусмотренных действующим законодательством.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Арендная плата за пользование имуществом, включенным в Перечень, определяется на основании отчета независимого оценщика.</w:t>
      </w:r>
    </w:p>
    <w:p>
      <w:pPr>
        <w:sectPr>
          <w:footerReference w:type="default" r:id="rId8"/>
          <w:type w:val="nextPage"/>
          <w:pgSz w:w="11906" w:h="16838"/>
          <w:pgMar w:left="1701" w:right="850" w:header="0" w:top="719" w:footer="708" w:bottom="764" w:gutter="0"/>
          <w:pgNumType w:fmt="decimal"/>
          <w:formProt w:val="false"/>
          <w:textDirection w:val="lrTb"/>
          <w:docGrid w:type="default" w:linePitch="360" w:charSpace="0"/>
        </w:sect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4. Срок, на который заключаются договоры в отношении имущества, включенного в перечень, должен составлять не менее чем пять лет. </w:t>
      </w:r>
    </w:p>
    <w:p>
      <w:pPr>
        <w:pStyle w:val="Normal"/>
        <w:ind w:left="8931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Приложение</w:t>
      </w:r>
    </w:p>
    <w:p>
      <w:pPr>
        <w:pStyle w:val="Normal"/>
        <w:ind w:left="8931" w:hanging="0"/>
        <w:jc w:val="both"/>
        <w:rPr/>
      </w:pPr>
      <w:r>
        <w:rPr>
          <w:rFonts w:cs="Arial" w:ascii="Arial" w:hAnsi="Arial"/>
          <w:sz w:val="22"/>
          <w:szCs w:val="22"/>
        </w:rPr>
        <w:t xml:space="preserve">к Положению о порядке формирования, ведения  и обнародования </w:t>
      </w:r>
      <w:hyperlink r:id="rId9">
        <w:r>
          <w:rPr>
            <w:rStyle w:val="Style15"/>
            <w:rFonts w:cs="Arial" w:ascii="Arial" w:hAnsi="Arial"/>
            <w:sz w:val="22"/>
            <w:szCs w:val="22"/>
          </w:rPr>
          <w:t>Перечня</w:t>
        </w:r>
      </w:hyperlink>
      <w:r>
        <w:rPr>
          <w:rFonts w:cs="Arial" w:ascii="Arial" w:hAnsi="Arial"/>
          <w:sz w:val="22"/>
          <w:szCs w:val="22"/>
        </w:rPr>
        <w:t xml:space="preserve"> муниципального имущества рабочего поселка Шаранга Шарангского муниципального района Нижегородской области,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709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709"/>
        <w:jc w:val="center"/>
        <w:rPr>
          <w:rFonts w:ascii="Arial" w:hAnsi="Arial" w:cs="Arial"/>
          <w:b/>
          <w:b/>
        </w:rPr>
      </w:pPr>
      <w:hyperlink r:id="rId10">
        <w:r>
          <w:rPr>
            <w:rStyle w:val="Style15"/>
            <w:rFonts w:cs="Arial" w:ascii="Arial" w:hAnsi="Arial"/>
            <w:b/>
          </w:rPr>
          <w:t>Перечень</w:t>
        </w:r>
      </w:hyperlink>
      <w:r>
        <w:rPr>
          <w:rFonts w:cs="Arial" w:ascii="Arial" w:hAnsi="Arial"/>
          <w:b/>
        </w:rPr>
        <w:t xml:space="preserve"> муниципального имущества рабочего поселка Шаранга  Шарангского муниципального района Нижегородской области,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709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rPr>
          <w:rFonts w:ascii="Arial" w:hAnsi="Arial" w:cs="Arial"/>
          <w:b/>
          <w:b/>
          <w:vanish/>
          <w:sz w:val="28"/>
          <w:szCs w:val="28"/>
        </w:rPr>
      </w:pPr>
      <w:r>
        <w:rPr>
          <w:rFonts w:cs="Arial" w:ascii="Arial" w:hAnsi="Arial"/>
          <w:b/>
          <w:vanish/>
          <w:sz w:val="28"/>
          <w:szCs w:val="28"/>
        </w:rPr>
      </w:r>
    </w:p>
    <w:tbl>
      <w:tblPr>
        <w:tblW w:w="15440" w:type="dxa"/>
        <w:jc w:val="lef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0" w:type="dxa"/>
          <w:left w:w="-10" w:type="dxa"/>
          <w:bottom w:w="0" w:type="dxa"/>
          <w:right w:w="0" w:type="dxa"/>
        </w:tblCellMar>
      </w:tblPr>
      <w:tblGrid>
        <w:gridCol w:w="270"/>
        <w:gridCol w:w="931"/>
        <w:gridCol w:w="1517"/>
        <w:gridCol w:w="1225"/>
        <w:gridCol w:w="1350"/>
        <w:gridCol w:w="1720"/>
        <w:gridCol w:w="1042"/>
        <w:gridCol w:w="1225"/>
        <w:gridCol w:w="1265"/>
        <w:gridCol w:w="1265"/>
        <w:gridCol w:w="816"/>
        <w:gridCol w:w="1225"/>
        <w:gridCol w:w="758"/>
        <w:gridCol w:w="831"/>
      </w:tblGrid>
      <w:tr>
        <w:trPr/>
        <w:tc>
          <w:tcPr>
            <w:tcW w:w="2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N п/п</w:t>
            </w:r>
          </w:p>
        </w:tc>
        <w:tc>
          <w:tcPr>
            <w:tcW w:w="9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Номер в реестре имущества </w:t>
            </w:r>
          </w:p>
        </w:tc>
        <w:tc>
          <w:tcPr>
            <w:tcW w:w="15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Адрес (местоположение) объекта </w:t>
            </w:r>
          </w:p>
        </w:tc>
        <w:tc>
          <w:tcPr>
            <w:tcW w:w="1272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Структурированный адрес объекта</w:t>
            </w:r>
          </w:p>
        </w:tc>
      </w:tr>
      <w:tr>
        <w:trPr/>
        <w:tc>
          <w:tcPr>
            <w:tcW w:w="27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  <w:tc>
          <w:tcPr>
            <w:tcW w:w="93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  <w:tc>
          <w:tcPr>
            <w:tcW w:w="151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Наименование субъекта Российской Федерации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Наименование городского поселения/сельского поселения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Вид населенного пункта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Наименование населенного пункта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Тип элемента планировочной структуры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Наименование элемента планировочной структуры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Тип элемента улично-дорожной сети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Наименование элемента улично-дорожной сети</w:t>
            </w:r>
          </w:p>
        </w:tc>
        <w:tc>
          <w:tcPr>
            <w:tcW w:w="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Номер дома (включая литеру) 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Тип и номер корпуса, строения, владения </w:t>
            </w:r>
          </w:p>
        </w:tc>
      </w:tr>
      <w:tr>
        <w:trPr/>
        <w:tc>
          <w:tcPr>
            <w:tcW w:w="270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2</w:t>
            </w:r>
          </w:p>
        </w:tc>
        <w:tc>
          <w:tcPr>
            <w:tcW w:w="1517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3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5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6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7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8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9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10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11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12</w:t>
            </w:r>
          </w:p>
        </w:tc>
        <w:tc>
          <w:tcPr>
            <w:tcW w:w="7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13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14</w:t>
            </w:r>
          </w:p>
        </w:tc>
      </w:tr>
    </w:tbl>
    <w:p>
      <w:pPr>
        <w:pStyle w:val="Normal"/>
        <w:rPr>
          <w:rFonts w:ascii="Arial" w:hAnsi="Arial" w:cs="Arial"/>
          <w:vanish/>
          <w:sz w:val="20"/>
          <w:szCs w:val="20"/>
        </w:rPr>
      </w:pPr>
      <w:r>
        <w:rPr>
          <w:rFonts w:cs="Arial" w:ascii="Arial" w:hAnsi="Arial"/>
          <w:vanish/>
          <w:sz w:val="20"/>
          <w:szCs w:val="20"/>
        </w:rPr>
      </w:r>
    </w:p>
    <w:tbl>
      <w:tblPr>
        <w:tblW w:w="13400" w:type="dxa"/>
        <w:jc w:val="lef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0" w:type="dxa"/>
          <w:left w:w="-10" w:type="dxa"/>
          <w:bottom w:w="0" w:type="dxa"/>
          <w:right w:w="0" w:type="dxa"/>
        </w:tblCellMar>
      </w:tblPr>
      <w:tblGrid>
        <w:gridCol w:w="1461"/>
        <w:gridCol w:w="737"/>
        <w:gridCol w:w="1511"/>
        <w:gridCol w:w="1861"/>
        <w:gridCol w:w="2151"/>
        <w:gridCol w:w="2553"/>
        <w:gridCol w:w="1663"/>
        <w:gridCol w:w="1463"/>
      </w:tblGrid>
      <w:tr>
        <w:trPr/>
        <w:tc>
          <w:tcPr>
            <w:tcW w:w="14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Вид объекта недвижимости;</w:t>
            </w:r>
          </w:p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движимое имущество </w:t>
            </w:r>
          </w:p>
        </w:tc>
        <w:tc>
          <w:tcPr>
            <w:tcW w:w="1193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Сведения о недвижимом имуществе или его части</w:t>
            </w:r>
          </w:p>
        </w:tc>
      </w:tr>
      <w:tr>
        <w:trPr/>
        <w:tc>
          <w:tcPr>
            <w:tcW w:w="146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224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Кадастровый номер </w:t>
            </w:r>
          </w:p>
        </w:tc>
        <w:tc>
          <w:tcPr>
            <w:tcW w:w="18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Номер части объекта недвижимости согласно сведениям государственного кадастра недвижимости </w:t>
            </w:r>
          </w:p>
        </w:tc>
        <w:tc>
          <w:tcPr>
            <w:tcW w:w="63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Основная характеристика объекта недвижимости "9"</w:t>
            </w:r>
          </w:p>
        </w:tc>
        <w:tc>
          <w:tcPr>
            <w:tcW w:w="14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Наименование объекта учета </w:t>
            </w:r>
          </w:p>
        </w:tc>
      </w:tr>
      <w:tr>
        <w:trPr>
          <w:trHeight w:val="276" w:hRule="atLeast"/>
        </w:trPr>
        <w:tc>
          <w:tcPr>
            <w:tcW w:w="146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2248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86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21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Тип (площадь - для земельных участков, зданий, помещений; протяженность, объем, площадь, глубина залегания - для сооружений; протяженность, объем, площадь, глубина залегания согласно проектной документации - для объектов незавершенного строительства)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Фактическое значение/Проектируемое значение (для объектов незавершенного строительства)</w:t>
            </w:r>
          </w:p>
        </w:tc>
        <w:tc>
          <w:tcPr>
            <w:tcW w:w="16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Единица измерения (для площади - кв. м; для протяженности - м; для глубины залегания - м; для объема - куб. м)</w:t>
            </w:r>
          </w:p>
        </w:tc>
        <w:tc>
          <w:tcPr>
            <w:tcW w:w="146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</w:tr>
      <w:tr>
        <w:trPr/>
        <w:tc>
          <w:tcPr>
            <w:tcW w:w="146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Номер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Тип (кадастровый, условный, устаревший)</w:t>
            </w:r>
          </w:p>
        </w:tc>
        <w:tc>
          <w:tcPr>
            <w:tcW w:w="186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215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66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46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</w:tr>
      <w:tr>
        <w:trPr/>
        <w:tc>
          <w:tcPr>
            <w:tcW w:w="146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15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16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17</w:t>
            </w:r>
          </w:p>
        </w:tc>
        <w:tc>
          <w:tcPr>
            <w:tcW w:w="186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18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19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20</w:t>
            </w: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21</w:t>
            </w:r>
          </w:p>
        </w:tc>
        <w:tc>
          <w:tcPr>
            <w:tcW w:w="14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22</w:t>
            </w:r>
          </w:p>
        </w:tc>
      </w:tr>
    </w:tbl>
    <w:p>
      <w:pPr>
        <w:pStyle w:val="Normal"/>
        <w:rPr>
          <w:rFonts w:ascii="Arial" w:hAnsi="Arial" w:cs="Arial"/>
          <w:vanish/>
          <w:sz w:val="20"/>
          <w:szCs w:val="20"/>
        </w:rPr>
      </w:pPr>
      <w:r>
        <w:rPr>
          <w:rFonts w:cs="Arial" w:ascii="Arial" w:hAnsi="Arial"/>
          <w:vanish/>
          <w:sz w:val="20"/>
          <w:szCs w:val="20"/>
        </w:rPr>
      </w:r>
    </w:p>
    <w:tbl>
      <w:tblPr>
        <w:tblW w:w="15440" w:type="dxa"/>
        <w:jc w:val="lef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0" w:type="dxa"/>
          <w:left w:w="-10" w:type="dxa"/>
          <w:bottom w:w="0" w:type="dxa"/>
          <w:right w:w="0" w:type="dxa"/>
        </w:tblCellMar>
      </w:tblPr>
      <w:tblGrid>
        <w:gridCol w:w="1336"/>
        <w:gridCol w:w="1583"/>
        <w:gridCol w:w="1341"/>
        <w:gridCol w:w="686"/>
        <w:gridCol w:w="743"/>
        <w:gridCol w:w="1195"/>
        <w:gridCol w:w="1303"/>
        <w:gridCol w:w="533"/>
        <w:gridCol w:w="430"/>
        <w:gridCol w:w="1066"/>
        <w:gridCol w:w="936"/>
        <w:gridCol w:w="1303"/>
        <w:gridCol w:w="533"/>
        <w:gridCol w:w="430"/>
        <w:gridCol w:w="1066"/>
        <w:gridCol w:w="956"/>
      </w:tblGrid>
      <w:tr>
        <w:trPr/>
        <w:tc>
          <w:tcPr>
            <w:tcW w:w="6884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Сведения о движимом имуществе </w:t>
            </w:r>
          </w:p>
        </w:tc>
        <w:tc>
          <w:tcPr>
            <w:tcW w:w="8556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Сведения о праве аренды или безвозмездного пользования имуществом </w:t>
            </w:r>
          </w:p>
        </w:tc>
      </w:tr>
      <w:tr>
        <w:trPr/>
        <w:tc>
          <w:tcPr>
            <w:tcW w:w="6884" w:type="dxa"/>
            <w:gridSpan w:val="6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4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организации, образующей инфраструктуру поддержки субъектов малого и среднего предпринимательства</w:t>
            </w:r>
          </w:p>
        </w:tc>
        <w:tc>
          <w:tcPr>
            <w:tcW w:w="42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субъекта малого и среднего предпринимательства</w:t>
            </w:r>
          </w:p>
        </w:tc>
      </w:tr>
      <w:tr>
        <w:trPr/>
        <w:tc>
          <w:tcPr>
            <w:tcW w:w="13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Тип: оборудование, машины, механизмы, установки, транспортные средства, инвентарь, инструменты, иное</w:t>
            </w:r>
          </w:p>
        </w:tc>
        <w:tc>
          <w:tcPr>
            <w:tcW w:w="15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Государственный регистрационный знак (при наличии)</w:t>
            </w:r>
          </w:p>
        </w:tc>
        <w:tc>
          <w:tcPr>
            <w:tcW w:w="13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Наименование объекта учета</w:t>
            </w:r>
          </w:p>
        </w:tc>
        <w:tc>
          <w:tcPr>
            <w:tcW w:w="6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Марка, модель</w:t>
            </w:r>
          </w:p>
        </w:tc>
        <w:tc>
          <w:tcPr>
            <w:tcW w:w="7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Год выпуска</w:t>
            </w:r>
          </w:p>
        </w:tc>
        <w:tc>
          <w:tcPr>
            <w:tcW w:w="11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Кадастровый номер объекта недвижимого имущества, в том числе земельного участка, в (на) котором расположен объект</w:t>
            </w:r>
          </w:p>
        </w:tc>
        <w:tc>
          <w:tcPr>
            <w:tcW w:w="22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Правообладатель</w:t>
            </w:r>
          </w:p>
        </w:tc>
        <w:tc>
          <w:tcPr>
            <w:tcW w:w="2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Документы основание</w:t>
            </w:r>
          </w:p>
        </w:tc>
        <w:tc>
          <w:tcPr>
            <w:tcW w:w="22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Правообладатель</w:t>
            </w:r>
          </w:p>
        </w:tc>
        <w:tc>
          <w:tcPr>
            <w:tcW w:w="20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Документы основание</w:t>
            </w:r>
          </w:p>
        </w:tc>
      </w:tr>
      <w:tr>
        <w:trPr/>
        <w:tc>
          <w:tcPr>
            <w:tcW w:w="1336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58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34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686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74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19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Полное наименование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ОГРН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ИНН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Дата заключения договора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Дата окончания действия договора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Полное наименование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ОГРН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ИНН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Дата заключения договора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Дата окончания действия договора</w:t>
            </w:r>
          </w:p>
        </w:tc>
      </w:tr>
      <w:tr>
        <w:trPr/>
        <w:tc>
          <w:tcPr>
            <w:tcW w:w="1336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23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24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25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26</w:t>
            </w:r>
          </w:p>
        </w:tc>
        <w:tc>
          <w:tcPr>
            <w:tcW w:w="74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27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28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29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30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31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32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33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34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35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36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37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38</w:t>
            </w:r>
          </w:p>
        </w:tc>
      </w:tr>
    </w:tbl>
    <w:p>
      <w:pPr>
        <w:pStyle w:val="Normal"/>
        <w:rPr>
          <w:rFonts w:ascii="Arial" w:hAnsi="Arial" w:cs="Arial"/>
          <w:vanish/>
          <w:sz w:val="20"/>
          <w:szCs w:val="20"/>
        </w:rPr>
      </w:pPr>
      <w:r>
        <w:rPr>
          <w:rFonts w:cs="Arial" w:ascii="Arial" w:hAnsi="Arial"/>
          <w:vanish/>
          <w:sz w:val="20"/>
          <w:szCs w:val="20"/>
        </w:rPr>
      </w:r>
    </w:p>
    <w:tbl>
      <w:tblPr>
        <w:tblW w:w="9780" w:type="dxa"/>
        <w:jc w:val="lef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0" w:type="dxa"/>
          <w:left w:w="-10" w:type="dxa"/>
          <w:bottom w:w="0" w:type="dxa"/>
          <w:right w:w="0" w:type="dxa"/>
        </w:tblCellMar>
      </w:tblPr>
      <w:tblGrid>
        <w:gridCol w:w="2882"/>
        <w:gridCol w:w="3814"/>
        <w:gridCol w:w="1605"/>
        <w:gridCol w:w="620"/>
        <w:gridCol w:w="859"/>
      </w:tblGrid>
      <w:tr>
        <w:trPr/>
        <w:tc>
          <w:tcPr>
            <w:tcW w:w="28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Указать одно из значений: в перечне (изменениях в перечни) </w:t>
            </w:r>
          </w:p>
        </w:tc>
        <w:tc>
          <w:tcPr>
            <w:tcW w:w="689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 xml:space="preserve">Сведения о правовом акте, в соответствии с которым имущество включено в перечень (изменены сведения об имуществе в перечне) </w:t>
            </w:r>
          </w:p>
        </w:tc>
      </w:tr>
      <w:tr>
        <w:trPr/>
        <w:tc>
          <w:tcPr>
            <w:tcW w:w="288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38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Наименование органа, принявшего документ</w:t>
            </w:r>
          </w:p>
        </w:tc>
        <w:tc>
          <w:tcPr>
            <w:tcW w:w="16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Вид документа</w:t>
            </w:r>
          </w:p>
        </w:tc>
        <w:tc>
          <w:tcPr>
            <w:tcW w:w="14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Реквизиты документа</w:t>
            </w:r>
          </w:p>
        </w:tc>
      </w:tr>
      <w:tr>
        <w:trPr/>
        <w:tc>
          <w:tcPr>
            <w:tcW w:w="288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3814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160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Дата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Номер</w:t>
            </w:r>
          </w:p>
        </w:tc>
      </w:tr>
      <w:tr>
        <w:trPr/>
        <w:tc>
          <w:tcPr>
            <w:tcW w:w="2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39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40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41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42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textAlignment w:val="baseline"/>
              <w:rPr>
                <w:rFonts w:ascii="Arial" w:hAnsi="Arial" w:cs="Arial"/>
                <w:bCs/>
                <w:color w:val="222222"/>
                <w:sz w:val="20"/>
                <w:szCs w:val="20"/>
              </w:rPr>
            </w:pPr>
            <w:r>
              <w:rPr>
                <w:rFonts w:cs="Arial" w:ascii="Arial" w:hAnsi="Arial"/>
                <w:bCs/>
                <w:color w:val="222222"/>
                <w:sz w:val="20"/>
                <w:szCs w:val="20"/>
              </w:rPr>
              <w:t>43</w:t>
            </w:r>
          </w:p>
        </w:tc>
      </w:tr>
    </w:tbl>
    <w:p>
      <w:pPr>
        <w:pStyle w:val="Normal"/>
        <w:ind w:firstLine="709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sectPr>
      <w:footerReference w:type="default" r:id="rId11"/>
      <w:type w:val="nextPage"/>
      <w:pgSz w:orient="landscape" w:w="16838" w:h="11906"/>
      <w:pgMar w:left="719" w:right="719" w:header="0" w:top="850" w:footer="708" w:bottom="170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ind w:hanging="360"/>
      <w:outlineLvl w:val="0"/>
    </w:pPr>
    <w:rPr>
      <w:b/>
      <w:bCs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2">
    <w:name w:val="Основной шрифт абзаца"/>
    <w:qFormat/>
    <w:rPr/>
  </w:style>
  <w:style w:type="character" w:styleId="Style13">
    <w:name w:val="Нижний колонтитул Знак"/>
    <w:qFormat/>
    <w:rPr>
      <w:sz w:val="24"/>
      <w:szCs w:val="24"/>
    </w:rPr>
  </w:style>
  <w:style w:type="character" w:styleId="ConsPlusNormal">
    <w:name w:val="ConsPlusNormal Знак"/>
    <w:basedOn w:val="Style12"/>
    <w:qFormat/>
    <w:rPr>
      <w:rFonts w:ascii="Tahoma" w:hAnsi="Tahoma" w:cs="Tahoma"/>
      <w:lang w:val="ru-RU" w:bidi="ar-SA"/>
    </w:rPr>
  </w:style>
  <w:style w:type="character" w:styleId="Style14">
    <w:name w:val="Название Знак"/>
    <w:basedOn w:val="Style12"/>
    <w:qFormat/>
    <w:rPr>
      <w:b/>
      <w:bCs/>
      <w:sz w:val="24"/>
      <w:szCs w:val="24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ind w:hanging="360"/>
      <w:jc w:val="center"/>
    </w:pPr>
    <w:rPr>
      <w:b/>
      <w:bCs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Body Text Indent"/>
    <w:basedOn w:val="Normal"/>
    <w:pPr>
      <w:ind w:left="-360" w:firstLine="540"/>
    </w:pPr>
    <w:rPr/>
  </w:style>
  <w:style w:type="paragraph" w:styleId="Style22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4">
    <w:name w:val=" Знак Знак Знак Знак Знак Знак Знак Знак Знак Знак Знак Знак 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ConsPlusNormal1">
    <w:name w:val="ConsPlusNormal"/>
    <w:qFormat/>
    <w:pPr>
      <w:widowControl/>
      <w:autoSpaceDE w:val="false"/>
    </w:pPr>
    <w:rPr>
      <w:rFonts w:ascii="Tahoma" w:hAnsi="Tahoma" w:eastAsia="Times New Roman" w:cs="Tahoma"/>
      <w:color w:val="auto"/>
      <w:sz w:val="20"/>
      <w:szCs w:val="20"/>
      <w:lang w:val="ru-RU" w:bidi="ar-SA" w:eastAsia="zh-CN"/>
    </w:rPr>
  </w:style>
  <w:style w:type="paragraph" w:styleId="Style25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>
      <w:lang w:val="ru-RU"/>
    </w:rPr>
  </w:style>
  <w:style w:type="paragraph" w:styleId="Pj">
    <w:name w:val="pj"/>
    <w:basedOn w:val="Normal"/>
    <w:qFormat/>
    <w:pPr>
      <w:spacing w:before="280" w:after="280"/>
    </w:pPr>
    <w:rPr/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7">
    <w:name w:val="Содержимое таблицы"/>
    <w:basedOn w:val="Normal"/>
    <w:qFormat/>
    <w:pPr>
      <w:suppressLineNumbers/>
    </w:pPr>
    <w:rPr/>
  </w:style>
  <w:style w:type="paragraph" w:styleId="Style28">
    <w:name w:val="Заголовок таблицы"/>
    <w:basedOn w:val="Style27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49FBBEFCFA7B0B8FD98F2BB49EDEBB70ECE19BAB6EAD752EDA243CAE219CEB9F188FF60D373D9565B9X0I" TargetMode="External"/><Relationship Id="rId4" Type="http://schemas.openxmlformats.org/officeDocument/2006/relationships/hyperlink" Target="consultantplus://offline/ref=49FBBEFCFA7B0B8FD98F2BB49EDEBB70ECE192A167A0752EDA243CAE219CEB9F188FF60D373D9660B9X5I" TargetMode="External"/><Relationship Id="rId5" Type="http://schemas.openxmlformats.org/officeDocument/2006/relationships/hyperlink" Target="consultantplus://offline/ref=49FBBEFCFA7B0B8FD98F2BA29DB2E475EAE3CDAF69A27F7A857B67F37695E1C85FC0AF4F73309562924D0EBDXFI" TargetMode="External"/><Relationship Id="rId6" Type="http://schemas.openxmlformats.org/officeDocument/2006/relationships/hyperlink" Target="consultantplus://offline/ref=4B97162D3D9D9581AF008353350870A89944350C223182829BF8FDEC9ADBq7N" TargetMode="External"/><Relationship Id="rId7" Type="http://schemas.openxmlformats.org/officeDocument/2006/relationships/hyperlink" Target="consultantplus://offline/ref=4B97162D3D9D9581AF008353350870A89944350C223182829BF8FDEC9ADBq7N" TargetMode="External"/><Relationship Id="rId8" Type="http://schemas.openxmlformats.org/officeDocument/2006/relationships/footer" Target="footer1.xml"/><Relationship Id="rId9" Type="http://schemas.openxmlformats.org/officeDocument/2006/relationships/hyperlink" Target="consultantplus://offline/ref=49FBBEFCFA7B0B8FD98F2BA29DB2E475EAE3CDAF69A27F7A857B67F37695E1C85FC0AF4F73309562924D0EBDXFI" TargetMode="External"/><Relationship Id="rId10" Type="http://schemas.openxmlformats.org/officeDocument/2006/relationships/hyperlink" Target="consultantplus://offline/ref=49FBBEFCFA7B0B8FD98F2BA29DB2E475EAE3CDAF69A27F7A857B67F37695E1C85FC0AF4F73309562924D0EBDXFI" TargetMode="Externa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78</TotalTime>
  <Application>LibreOffice/6.1.3.2$Windows_X86_64 LibreOffice_project/86daf60bf00efa86ad547e59e09d6bb77c699acb</Application>
  <Pages>7</Pages>
  <Words>2058</Words>
  <Characters>15107</Characters>
  <CharactersWithSpaces>17108</CharactersWithSpaces>
  <Paragraphs>176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2017-06-27T09:12:00Z</dcterms:created>
  <dc:creator>1</dc:creator>
  <dc:description/>
  <cp:keywords/>
  <dc:language>ru-RU</dc:language>
  <cp:lastModifiedBy>Саша</cp:lastModifiedBy>
  <cp:lastPrinted>2017-06-28T08:53:00Z</cp:lastPrinted>
  <dcterms:modified xsi:type="dcterms:W3CDTF">2018-12-18T21:33:00Z</dcterms:modified>
  <cp:revision>11</cp:revision>
  <dc:subject/>
  <dc:title>ЗЕМСКОЕ СОБРАНИЕ СОСНОВСКОГО</dc:title>
</cp:coreProperties>
</file>