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ind w:firstLine="567"/>
        <w:jc w:val="center"/>
        <w:rPr>
          <w:rFonts w:ascii="Arial" w:hAnsi="Arial" w:cs="Arial"/>
          <w:b/>
          <w:b/>
          <w:kern w:val="2"/>
          <w:sz w:val="28"/>
          <w:szCs w:val="28"/>
        </w:rPr>
      </w:pPr>
      <w:r>
        <w:rPr>
          <w:rFonts w:cs="Arial" w:ascii="Arial" w:hAnsi="Arial"/>
          <w:b/>
          <w:kern w:val="2"/>
          <w:sz w:val="28"/>
          <w:szCs w:val="28"/>
        </w:rPr>
        <w:t>ПОСЕЛКОВЫЙ СОВЕТ</w:t>
      </w:r>
    </w:p>
    <w:p>
      <w:pPr>
        <w:pStyle w:val="Normal"/>
        <w:ind w:firstLine="567"/>
        <w:jc w:val="center"/>
        <w:rPr>
          <w:rFonts w:ascii="Arial" w:hAnsi="Arial" w:cs="Arial"/>
          <w:b/>
          <w:b/>
          <w:kern w:val="2"/>
          <w:sz w:val="28"/>
          <w:szCs w:val="28"/>
        </w:rPr>
      </w:pPr>
      <w:r>
        <w:rPr>
          <w:rFonts w:cs="Arial" w:ascii="Arial" w:hAnsi="Arial"/>
          <w:b/>
          <w:kern w:val="2"/>
          <w:sz w:val="28"/>
          <w:szCs w:val="28"/>
        </w:rPr>
        <w:t>РАБОЧЕГО ПОСЁЛКА ШАРАНГА</w:t>
      </w:r>
    </w:p>
    <w:p>
      <w:pPr>
        <w:pStyle w:val="Normal"/>
        <w:ind w:firstLine="567"/>
        <w:jc w:val="center"/>
        <w:rPr>
          <w:rFonts w:ascii="Arial" w:hAnsi="Arial" w:cs="Arial"/>
          <w:b/>
          <w:b/>
          <w:kern w:val="2"/>
          <w:sz w:val="28"/>
          <w:szCs w:val="28"/>
        </w:rPr>
      </w:pPr>
      <w:r>
        <w:rPr>
          <w:rFonts w:cs="Arial" w:ascii="Arial" w:hAnsi="Arial"/>
          <w:b/>
          <w:kern w:val="2"/>
          <w:sz w:val="28"/>
          <w:szCs w:val="28"/>
        </w:rPr>
        <w:t>ШАРАНГСКОГО МУНИЦИПАЛЬНОГО РАЙОНА</w:t>
      </w:r>
    </w:p>
    <w:p>
      <w:pPr>
        <w:pStyle w:val="1"/>
        <w:numPr>
          <w:ilvl w:val="0"/>
          <w:numId w:val="1"/>
        </w:numPr>
        <w:spacing w:lineRule="auto" w:line="240" w:before="0" w:after="0"/>
        <w:ind w:firstLine="567"/>
        <w:rPr>
          <w:rFonts w:ascii="Arial" w:hAnsi="Arial" w:cs="Arial"/>
          <w:sz w:val="28"/>
          <w:szCs w:val="28"/>
        </w:rPr>
      </w:pPr>
      <w:r>
        <w:rPr>
          <w:rFonts w:cs="Arial" w:ascii="Arial" w:hAnsi="Arial"/>
          <w:sz w:val="28"/>
          <w:szCs w:val="28"/>
        </w:rPr>
        <w:t>НИЖЕГОРОДСКОЙ ОБЛАСТИ</w:t>
      </w:r>
    </w:p>
    <w:p>
      <w:pPr>
        <w:pStyle w:val="1"/>
        <w:numPr>
          <w:ilvl w:val="0"/>
          <w:numId w:val="1"/>
        </w:numPr>
        <w:spacing w:lineRule="auto" w:line="240" w:before="0" w:after="0"/>
        <w:ind w:left="142" w:firstLine="567"/>
        <w:rPr>
          <w:rFonts w:ascii="Arial" w:hAnsi="Arial" w:cs="Arial"/>
          <w:spacing w:val="60"/>
          <w:sz w:val="28"/>
          <w:szCs w:val="28"/>
        </w:rPr>
      </w:pPr>
      <w:r>
        <w:rPr>
          <w:rFonts w:cs="Arial" w:ascii="Arial" w:hAnsi="Arial"/>
          <w:spacing w:val="60"/>
          <w:sz w:val="28"/>
          <w:szCs w:val="28"/>
        </w:rPr>
      </w:r>
    </w:p>
    <w:p>
      <w:pPr>
        <w:pStyle w:val="1"/>
        <w:numPr>
          <w:ilvl w:val="0"/>
          <w:numId w:val="1"/>
        </w:numPr>
        <w:spacing w:lineRule="auto" w:line="240" w:before="0" w:after="0"/>
        <w:ind w:left="142" w:firstLine="567"/>
        <w:rPr>
          <w:rFonts w:ascii="Arial" w:hAnsi="Arial" w:cs="Arial"/>
          <w:spacing w:val="60"/>
          <w:sz w:val="28"/>
          <w:szCs w:val="28"/>
        </w:rPr>
      </w:pPr>
      <w:r>
        <w:rPr>
          <w:rFonts w:cs="Arial" w:ascii="Arial" w:hAnsi="Arial"/>
          <w:spacing w:val="60"/>
          <w:sz w:val="28"/>
          <w:szCs w:val="28"/>
        </w:rPr>
        <w:t>РЕШЕНИЕ</w:t>
      </w:r>
    </w:p>
    <w:p>
      <w:pPr>
        <w:pStyle w:val="Normal"/>
        <w:ind w:firstLine="567"/>
        <w:jc w:val="both"/>
        <w:rPr>
          <w:rFonts w:ascii="Arial" w:hAnsi="Arial" w:cs="Arial"/>
          <w:spacing w:val="60"/>
          <w:sz w:val="24"/>
          <w:szCs w:val="24"/>
        </w:rPr>
      </w:pPr>
      <w:r>
        <w:rPr>
          <w:rFonts w:cs="Arial" w:ascii="Arial" w:hAnsi="Arial"/>
          <w:spacing w:val="60"/>
          <w:sz w:val="24"/>
          <w:szCs w:val="24"/>
        </w:rPr>
      </w:r>
    </w:p>
    <w:p>
      <w:pPr>
        <w:pStyle w:val="Normal"/>
        <w:tabs>
          <w:tab w:val="left" w:pos="4253" w:leader="none"/>
        </w:tabs>
        <w:ind w:firstLine="567"/>
        <w:jc w:val="center"/>
        <w:rPr>
          <w:rFonts w:ascii="Arial" w:hAnsi="Arial" w:cs="Arial"/>
          <w:sz w:val="24"/>
          <w:szCs w:val="24"/>
        </w:rPr>
      </w:pPr>
      <w:r>
        <w:rPr>
          <w:rFonts w:cs="Arial" w:ascii="Arial" w:hAnsi="Arial"/>
          <w:sz w:val="24"/>
          <w:szCs w:val="24"/>
        </w:rPr>
        <w:t>от 02.03.2018</w:t>
        <w:tab/>
        <w:tab/>
        <w:tab/>
        <w:tab/>
        <w:tab/>
        <w:tab/>
        <w:tab/>
      </w:r>
      <w:r>
        <w:rPr>
          <w:rFonts w:cs="Arial" w:ascii="Arial" w:hAnsi="Arial"/>
          <w:sz w:val="24"/>
          <w:szCs w:val="24"/>
          <w:lang w:val="en-US"/>
        </w:rPr>
        <w:t>N</w:t>
      </w:r>
      <w:r>
        <w:rPr>
          <w:rFonts w:cs="Arial" w:ascii="Arial" w:hAnsi="Arial"/>
          <w:sz w:val="24"/>
          <w:szCs w:val="24"/>
        </w:rPr>
        <w:t>07</w:t>
      </w:r>
    </w:p>
    <w:p>
      <w:pPr>
        <w:pStyle w:val="Normal"/>
        <w:tabs>
          <w:tab w:val="left" w:pos="4253" w:leader="none"/>
        </w:tabs>
        <w:ind w:firstLine="567"/>
        <w:jc w:val="center"/>
        <w:rPr>
          <w:rFonts w:ascii="Arial" w:hAnsi="Arial" w:cs="Arial"/>
          <w:sz w:val="24"/>
          <w:szCs w:val="24"/>
        </w:rPr>
      </w:pPr>
      <w:r>
        <w:rPr>
          <w:rFonts w:cs="Arial" w:ascii="Arial" w:hAnsi="Arial"/>
          <w:sz w:val="24"/>
          <w:szCs w:val="24"/>
        </w:rPr>
      </w:r>
    </w:p>
    <w:p>
      <w:pPr>
        <w:pStyle w:val="Normal"/>
        <w:ind w:firstLine="567"/>
        <w:jc w:val="center"/>
        <w:rPr>
          <w:rFonts w:ascii="Arial" w:hAnsi="Arial" w:cs="Arial"/>
          <w:b/>
          <w:b/>
          <w:sz w:val="28"/>
          <w:szCs w:val="28"/>
        </w:rPr>
      </w:pPr>
      <w:r>
        <w:rPr>
          <w:rFonts w:cs="Arial" w:ascii="Arial" w:hAnsi="Arial"/>
          <w:b/>
          <w:sz w:val="28"/>
          <w:szCs w:val="28"/>
        </w:rPr>
        <w:t xml:space="preserve">О внесении изменений и дополнений </w:t>
      </w:r>
    </w:p>
    <w:p>
      <w:pPr>
        <w:pStyle w:val="Normal"/>
        <w:ind w:firstLine="567"/>
        <w:jc w:val="center"/>
        <w:rPr>
          <w:rFonts w:ascii="Arial" w:hAnsi="Arial" w:cs="Arial"/>
          <w:b/>
          <w:b/>
          <w:sz w:val="28"/>
          <w:szCs w:val="28"/>
        </w:rPr>
      </w:pPr>
      <w:r>
        <w:rPr>
          <w:rFonts w:cs="Arial" w:ascii="Arial" w:hAnsi="Arial"/>
          <w:b/>
          <w:sz w:val="28"/>
          <w:szCs w:val="28"/>
        </w:rPr>
        <w:t>в решение поселкового Совета рабочего поселка Шаранга Шарангского муниципального района Нижегородской области от 28.06.2017 №21 «</w:t>
      </w:r>
      <w:r>
        <w:rPr>
          <w:rFonts w:cs="Arial" w:ascii="Arial" w:hAnsi="Arial"/>
          <w:b/>
          <w:bCs/>
          <w:sz w:val="28"/>
          <w:szCs w:val="28"/>
        </w:rPr>
        <w:t xml:space="preserve">О внесении изменений в </w:t>
      </w:r>
      <w:r>
        <w:rPr>
          <w:rFonts w:cs="Arial" w:ascii="Arial" w:hAnsi="Arial"/>
          <w:b/>
          <w:sz w:val="28"/>
          <w:szCs w:val="28"/>
        </w:rPr>
        <w:t xml:space="preserve">Правила землепользования и застройки  р.п.Шаранга Нижегородской области, </w:t>
      </w:r>
      <w:r>
        <w:rPr>
          <w:rStyle w:val="FontStyle26"/>
          <w:rFonts w:cs="Arial" w:ascii="Arial" w:hAnsi="Arial"/>
          <w:sz w:val="28"/>
          <w:szCs w:val="28"/>
        </w:rPr>
        <w:t>утвержденные Решением Земского собрания Шарангского района №9 от 27.03.2008 г.</w:t>
      </w:r>
      <w:r>
        <w:rPr>
          <w:rFonts w:cs="Arial" w:ascii="Arial" w:hAnsi="Arial"/>
          <w:b/>
          <w:sz w:val="28"/>
          <w:szCs w:val="28"/>
        </w:rPr>
        <w:t>»</w:t>
      </w:r>
    </w:p>
    <w:p>
      <w:pPr>
        <w:pStyle w:val="Normal"/>
        <w:widowControl w:val="false"/>
        <w:autoSpaceDE w:val="false"/>
        <w:ind w:firstLine="567"/>
        <w:jc w:val="center"/>
        <w:rPr>
          <w:rFonts w:ascii="Arial" w:hAnsi="Arial" w:cs="Arial"/>
          <w:b/>
          <w:b/>
          <w:sz w:val="28"/>
          <w:szCs w:val="28"/>
        </w:rPr>
      </w:pPr>
      <w:r>
        <w:rPr>
          <w:rFonts w:cs="Arial" w:ascii="Arial" w:hAnsi="Arial"/>
          <w:b/>
          <w:sz w:val="28"/>
          <w:szCs w:val="28"/>
        </w:rPr>
      </w:r>
    </w:p>
    <w:p>
      <w:pPr>
        <w:pStyle w:val="Normal"/>
        <w:ind w:firstLine="567"/>
        <w:jc w:val="both"/>
        <w:rPr/>
      </w:pPr>
      <w:r>
        <w:rPr>
          <w:rFonts w:eastAsia="Arial" w:cs="Arial" w:ascii="Arial" w:hAnsi="Arial"/>
          <w:sz w:val="24"/>
          <w:szCs w:val="24"/>
        </w:rPr>
        <w:t xml:space="preserve">        </w:t>
      </w:r>
      <w:r>
        <w:rPr>
          <w:rFonts w:cs="Arial" w:ascii="Arial" w:hAnsi="Arial"/>
          <w:sz w:val="24"/>
          <w:szCs w:val="24"/>
        </w:rPr>
        <w:t>Руководствуясь Градостроительным кодексом Российской Федерации, с целью приведения Правил землепользования и застройки  территории рабочего поселка Шаранга Шарангского муниципального района Нижегородской области в соответствие с действующим законодательством, поселковый Совет рабочего посёлка Шаранга Шарангского муниципального района Нижегородской области решил:</w:t>
      </w:r>
    </w:p>
    <w:p>
      <w:pPr>
        <w:pStyle w:val="Normal"/>
        <w:jc w:val="both"/>
        <w:rPr/>
      </w:pPr>
      <w:r>
        <w:rPr>
          <w:rFonts w:eastAsia="Arial" w:cs="Arial" w:ascii="Arial" w:hAnsi="Arial"/>
          <w:sz w:val="24"/>
          <w:szCs w:val="24"/>
        </w:rPr>
        <w:t xml:space="preserve">              </w:t>
      </w:r>
      <w:r>
        <w:rPr>
          <w:rFonts w:cs="Arial" w:ascii="Arial" w:hAnsi="Arial"/>
          <w:sz w:val="24"/>
          <w:szCs w:val="24"/>
        </w:rPr>
        <w:t xml:space="preserve">1. Внести изменения в Правила землепользования и застройки  р.п.Шаранга Нижегородской области,  </w:t>
      </w:r>
      <w:r>
        <w:rPr>
          <w:rStyle w:val="FontStyle26"/>
          <w:rFonts w:cs="Arial" w:ascii="Arial" w:hAnsi="Arial"/>
          <w:b w:val="false"/>
          <w:sz w:val="24"/>
          <w:szCs w:val="24"/>
        </w:rPr>
        <w:t>утвержденные Решением Земского собрания Шарангского района №9 от 27.03.2008 г. (в редакции решения поселкового Совета рабочего поселка Шаранга Шарангского муниципального района Нижегородской области от 28.06.2017 №21</w:t>
      </w:r>
      <w:r>
        <w:rPr>
          <w:rFonts w:cs="Arial" w:ascii="Arial" w:hAnsi="Arial"/>
          <w:b/>
          <w:sz w:val="24"/>
          <w:szCs w:val="24"/>
        </w:rPr>
        <w:t>)</w:t>
      </w:r>
      <w:r>
        <w:rPr>
          <w:rFonts w:cs="Arial" w:ascii="Arial" w:hAnsi="Arial"/>
          <w:sz w:val="24"/>
          <w:szCs w:val="24"/>
        </w:rPr>
        <w:t xml:space="preserve">  согласно приложению.</w:t>
      </w:r>
    </w:p>
    <w:p>
      <w:pPr>
        <w:pStyle w:val="Normal"/>
        <w:jc w:val="both"/>
        <w:rPr>
          <w:rFonts w:ascii="Arial" w:hAnsi="Arial" w:cs="Arial"/>
          <w:sz w:val="24"/>
          <w:szCs w:val="24"/>
        </w:rPr>
      </w:pPr>
      <w:r>
        <w:rPr>
          <w:rFonts w:eastAsia="Arial" w:cs="Arial" w:ascii="Arial" w:hAnsi="Arial"/>
          <w:sz w:val="24"/>
          <w:szCs w:val="24"/>
        </w:rPr>
        <w:t xml:space="preserve">             </w:t>
      </w:r>
      <w:r>
        <w:rPr>
          <w:rFonts w:cs="Arial" w:ascii="Arial" w:hAnsi="Arial"/>
          <w:sz w:val="24"/>
          <w:szCs w:val="24"/>
        </w:rPr>
        <w:t>2. Настоящее решение обнародовать в порядке, предусмотренном Уставом рабочего посёлка Шаранга Шарангского муниципального района Нижегородской области</w:t>
      </w:r>
      <w:r>
        <w:rPr>
          <w:rFonts w:cs="Arial" w:ascii="Arial" w:hAnsi="Arial"/>
          <w:color w:val="000000"/>
          <w:sz w:val="24"/>
          <w:szCs w:val="24"/>
        </w:rPr>
        <w:t>.</w:t>
      </w:r>
    </w:p>
    <w:p>
      <w:pPr>
        <w:pStyle w:val="Normal"/>
        <w:ind w:firstLine="709"/>
        <w:jc w:val="both"/>
        <w:rPr/>
      </w:pPr>
      <w:r>
        <w:rPr>
          <w:rFonts w:eastAsia="Arial" w:cs="Arial" w:ascii="Arial" w:hAnsi="Arial"/>
          <w:sz w:val="24"/>
          <w:szCs w:val="24"/>
        </w:rPr>
        <w:t xml:space="preserve"> </w:t>
      </w:r>
      <w:r>
        <w:rPr>
          <w:rFonts w:cs="Arial" w:ascii="Arial" w:hAnsi="Arial"/>
          <w:sz w:val="24"/>
          <w:szCs w:val="24"/>
        </w:rPr>
        <w:t>3. Разместить настоящее решение на официальном сайте администрации Шарангского муниципального района Нижегородской области.</w:t>
      </w:r>
    </w:p>
    <w:p>
      <w:pPr>
        <w:pStyle w:val="Style28"/>
        <w:tabs>
          <w:tab w:val="left" w:pos="567" w:leader="none"/>
        </w:tabs>
        <w:suppressAutoHyphens w:val="true"/>
        <w:spacing w:lineRule="auto" w:line="240" w:before="0" w:after="0"/>
        <w:ind w:left="0" w:hanging="0"/>
        <w:contextualSpacing/>
        <w:jc w:val="both"/>
        <w:rPr>
          <w:rFonts w:ascii="Arial" w:hAnsi="Arial" w:cs="Arial"/>
          <w:sz w:val="24"/>
          <w:szCs w:val="24"/>
        </w:rPr>
      </w:pPr>
      <w:r>
        <w:rPr>
          <w:rFonts w:cs="Arial" w:ascii="Arial" w:hAnsi="Arial"/>
          <w:sz w:val="24"/>
          <w:szCs w:val="24"/>
        </w:rPr>
      </w:r>
    </w:p>
    <w:p>
      <w:pPr>
        <w:pStyle w:val="Normal"/>
        <w:jc w:val="both"/>
        <w:rPr>
          <w:rFonts w:ascii="Arial" w:hAnsi="Arial" w:cs="Arial"/>
          <w:sz w:val="24"/>
          <w:szCs w:val="24"/>
        </w:rPr>
      </w:pPr>
      <w:r>
        <w:rPr>
          <w:rFonts w:cs="Arial" w:ascii="Arial" w:hAnsi="Arial"/>
          <w:sz w:val="24"/>
          <w:szCs w:val="24"/>
        </w:rPr>
      </w:r>
    </w:p>
    <w:p>
      <w:pPr>
        <w:pStyle w:val="Normal"/>
        <w:jc w:val="both"/>
        <w:rPr>
          <w:rFonts w:ascii="Arial" w:hAnsi="Arial" w:cs="Arial"/>
          <w:sz w:val="24"/>
          <w:szCs w:val="24"/>
        </w:rPr>
      </w:pPr>
      <w:r>
        <w:rPr>
          <w:rFonts w:cs="Arial" w:ascii="Arial" w:hAnsi="Arial"/>
          <w:sz w:val="24"/>
          <w:szCs w:val="24"/>
        </w:rPr>
      </w:r>
    </w:p>
    <w:p>
      <w:pPr>
        <w:pStyle w:val="Normal"/>
        <w:jc w:val="both"/>
        <w:rPr/>
      </w:pPr>
      <w:r>
        <w:rPr>
          <w:rFonts w:cs="Arial" w:ascii="Arial" w:hAnsi="Arial"/>
          <w:sz w:val="24"/>
          <w:szCs w:val="24"/>
        </w:rPr>
        <w:t>Глава местного самоуправления                                               М.В.Михеева</w:t>
      </w:r>
    </w:p>
    <w:p>
      <w:pPr>
        <w:pStyle w:val="Normal"/>
        <w:jc w:val="both"/>
        <w:rPr>
          <w:rFonts w:ascii="Arial" w:hAnsi="Arial" w:cs="Arial"/>
          <w:sz w:val="22"/>
          <w:szCs w:val="22"/>
        </w:rPr>
      </w:pPr>
      <w:r>
        <w:rPr>
          <w:rFonts w:eastAsia="Arial" w:cs="Arial" w:ascii="Arial" w:hAnsi="Arial"/>
          <w:sz w:val="22"/>
          <w:szCs w:val="22"/>
        </w:rPr>
        <w:t xml:space="preserve">     </w:t>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r>
    </w:p>
    <w:p>
      <w:pPr>
        <w:pStyle w:val="Style23"/>
        <w:ind w:left="900" w:hanging="0"/>
        <w:jc w:val="right"/>
        <w:rPr>
          <w:rFonts w:ascii="Arial" w:hAnsi="Arial" w:cs="Arial"/>
          <w:b w:val="false"/>
          <w:b w:val="false"/>
          <w:sz w:val="22"/>
          <w:szCs w:val="22"/>
        </w:rPr>
      </w:pPr>
      <w:r>
        <w:rPr>
          <w:rFonts w:cs="Arial" w:ascii="Arial" w:hAnsi="Arial"/>
          <w:b w:val="false"/>
          <w:sz w:val="22"/>
          <w:szCs w:val="22"/>
        </w:rPr>
        <w:t>УТВЕРЖДЕНЫ</w:t>
      </w:r>
    </w:p>
    <w:p>
      <w:pPr>
        <w:pStyle w:val="Style23"/>
        <w:ind w:left="900" w:hanging="0"/>
        <w:jc w:val="right"/>
        <w:rPr>
          <w:rFonts w:ascii="Arial" w:hAnsi="Arial" w:cs="Arial"/>
          <w:b w:val="false"/>
          <w:b w:val="false"/>
          <w:sz w:val="22"/>
          <w:szCs w:val="22"/>
        </w:rPr>
      </w:pPr>
      <w:r>
        <w:rPr>
          <w:rFonts w:cs="Arial" w:ascii="Arial" w:hAnsi="Arial"/>
          <w:b w:val="false"/>
          <w:sz w:val="22"/>
          <w:szCs w:val="22"/>
        </w:rPr>
        <w:t xml:space="preserve">решением поселкового Совета </w:t>
      </w:r>
    </w:p>
    <w:p>
      <w:pPr>
        <w:pStyle w:val="Style23"/>
        <w:ind w:left="900" w:hanging="0"/>
        <w:jc w:val="right"/>
        <w:rPr>
          <w:rFonts w:ascii="Arial" w:hAnsi="Arial" w:cs="Arial"/>
          <w:b w:val="false"/>
          <w:b w:val="false"/>
          <w:sz w:val="22"/>
          <w:szCs w:val="22"/>
        </w:rPr>
      </w:pPr>
      <w:r>
        <w:rPr>
          <w:rFonts w:eastAsia="Arial" w:cs="Arial" w:ascii="Arial" w:hAnsi="Arial"/>
          <w:b w:val="false"/>
          <w:sz w:val="22"/>
          <w:szCs w:val="22"/>
        </w:rPr>
        <w:t xml:space="preserve"> </w:t>
      </w:r>
      <w:r>
        <w:rPr>
          <w:rFonts w:cs="Arial" w:ascii="Arial" w:hAnsi="Arial"/>
          <w:b w:val="false"/>
          <w:sz w:val="22"/>
          <w:szCs w:val="22"/>
        </w:rPr>
        <w:t>рабочего посёлка Шаранга</w:t>
      </w:r>
    </w:p>
    <w:p>
      <w:pPr>
        <w:pStyle w:val="Style23"/>
        <w:ind w:left="900" w:hanging="0"/>
        <w:jc w:val="right"/>
        <w:rPr>
          <w:rFonts w:ascii="Arial" w:hAnsi="Arial" w:cs="Arial"/>
          <w:b w:val="false"/>
          <w:b w:val="false"/>
          <w:sz w:val="22"/>
          <w:szCs w:val="22"/>
        </w:rPr>
      </w:pPr>
      <w:r>
        <w:rPr>
          <w:rFonts w:cs="Arial" w:ascii="Arial" w:hAnsi="Arial"/>
          <w:b w:val="false"/>
          <w:sz w:val="22"/>
          <w:szCs w:val="22"/>
        </w:rPr>
        <w:t>Шарангского муниципального района</w:t>
      </w:r>
    </w:p>
    <w:p>
      <w:pPr>
        <w:pStyle w:val="Style23"/>
        <w:ind w:left="900" w:hanging="0"/>
        <w:jc w:val="right"/>
        <w:rPr>
          <w:rFonts w:ascii="Arial" w:hAnsi="Arial" w:cs="Arial"/>
          <w:b w:val="false"/>
          <w:b w:val="false"/>
          <w:sz w:val="22"/>
          <w:szCs w:val="22"/>
        </w:rPr>
      </w:pPr>
      <w:r>
        <w:rPr>
          <w:rFonts w:eastAsia="Arial" w:cs="Arial" w:ascii="Arial" w:hAnsi="Arial"/>
          <w:b w:val="false"/>
          <w:sz w:val="22"/>
          <w:szCs w:val="22"/>
        </w:rPr>
        <w:t xml:space="preserve"> </w:t>
      </w:r>
      <w:r>
        <w:rPr>
          <w:rFonts w:cs="Arial" w:ascii="Arial" w:hAnsi="Arial"/>
          <w:b w:val="false"/>
          <w:sz w:val="22"/>
          <w:szCs w:val="22"/>
        </w:rPr>
        <w:t>Нижегородской области</w:t>
      </w:r>
    </w:p>
    <w:p>
      <w:pPr>
        <w:pStyle w:val="Style23"/>
        <w:ind w:left="900" w:hanging="0"/>
        <w:jc w:val="right"/>
        <w:rPr>
          <w:rFonts w:ascii="Arial" w:hAnsi="Arial" w:cs="Arial"/>
          <w:b w:val="false"/>
          <w:b w:val="false"/>
          <w:sz w:val="22"/>
          <w:szCs w:val="22"/>
        </w:rPr>
      </w:pPr>
      <w:r>
        <w:rPr>
          <w:rFonts w:cs="Arial" w:ascii="Arial" w:hAnsi="Arial"/>
          <w:b w:val="false"/>
          <w:sz w:val="22"/>
          <w:szCs w:val="22"/>
        </w:rPr>
        <w:t>от  02.03.2018 года №07</w:t>
      </w:r>
    </w:p>
    <w:p>
      <w:pPr>
        <w:pStyle w:val="S"/>
        <w:spacing w:lineRule="auto" w:line="240"/>
        <w:ind w:left="0" w:hanging="0"/>
        <w:jc w:val="center"/>
        <w:rPr>
          <w:rFonts w:ascii="Arial" w:hAnsi="Arial" w:cs="Arial"/>
          <w:b w:val="false"/>
          <w:b w:val="false"/>
          <w:sz w:val="22"/>
          <w:szCs w:val="22"/>
        </w:rPr>
      </w:pPr>
      <w:r>
        <w:rPr>
          <w:rFonts w:cs="Arial" w:ascii="Arial" w:hAnsi="Arial"/>
          <w:b w:val="false"/>
          <w:sz w:val="22"/>
          <w:szCs w:val="22"/>
        </w:rPr>
      </w:r>
    </w:p>
    <w:p>
      <w:pPr>
        <w:pStyle w:val="S"/>
        <w:spacing w:lineRule="auto" w:line="240"/>
        <w:ind w:left="0" w:hanging="0"/>
        <w:jc w:val="center"/>
        <w:rPr>
          <w:rFonts w:ascii="Arial" w:hAnsi="Arial" w:cs="Arial"/>
          <w:sz w:val="22"/>
          <w:szCs w:val="22"/>
        </w:rPr>
      </w:pPr>
      <w:r>
        <w:rPr>
          <w:rFonts w:cs="Arial" w:ascii="Arial" w:hAnsi="Arial"/>
          <w:sz w:val="22"/>
          <w:szCs w:val="22"/>
        </w:rPr>
      </w:r>
    </w:p>
    <w:p>
      <w:pPr>
        <w:pStyle w:val="S"/>
        <w:spacing w:lineRule="auto" w:line="240"/>
        <w:ind w:left="0" w:hanging="0"/>
        <w:jc w:val="center"/>
        <w:rPr>
          <w:rFonts w:ascii="Arial" w:hAnsi="Arial" w:cs="Arial"/>
          <w:sz w:val="22"/>
          <w:szCs w:val="22"/>
        </w:rPr>
      </w:pPr>
      <w:r>
        <w:rPr>
          <w:rFonts w:cs="Arial" w:ascii="Arial" w:hAnsi="Arial"/>
          <w:sz w:val="22"/>
          <w:szCs w:val="22"/>
        </w:rPr>
        <w:t xml:space="preserve">Изменения </w:t>
      </w:r>
    </w:p>
    <w:p>
      <w:pPr>
        <w:pStyle w:val="S"/>
        <w:spacing w:lineRule="auto" w:line="240"/>
        <w:ind w:left="0" w:hanging="0"/>
        <w:jc w:val="center"/>
        <w:rPr>
          <w:rFonts w:ascii="Arial" w:hAnsi="Arial" w:cs="Arial"/>
          <w:sz w:val="22"/>
          <w:szCs w:val="22"/>
        </w:rPr>
      </w:pPr>
      <w:r>
        <w:rPr>
          <w:rFonts w:cs="Arial" w:ascii="Arial" w:hAnsi="Arial"/>
          <w:sz w:val="22"/>
          <w:szCs w:val="22"/>
        </w:rPr>
        <w:t>в Правила землепользования и застройки территории рабочего поселка Шаранга Шарангского муниципального района Нижегородской области</w:t>
      </w:r>
    </w:p>
    <w:p>
      <w:pPr>
        <w:pStyle w:val="S"/>
        <w:spacing w:lineRule="auto" w:line="240"/>
        <w:ind w:left="0" w:hanging="0"/>
        <w:jc w:val="center"/>
        <w:rPr>
          <w:rFonts w:ascii="Arial" w:hAnsi="Arial" w:cs="Arial"/>
          <w:sz w:val="22"/>
          <w:szCs w:val="22"/>
        </w:rPr>
      </w:pPr>
      <w:r>
        <w:rPr>
          <w:rFonts w:cs="Arial" w:ascii="Arial" w:hAnsi="Arial"/>
          <w:sz w:val="22"/>
          <w:szCs w:val="22"/>
        </w:rPr>
      </w:r>
    </w:p>
    <w:p>
      <w:pPr>
        <w:pStyle w:val="Normal"/>
        <w:jc w:val="both"/>
        <w:rPr>
          <w:rFonts w:ascii="Arial" w:hAnsi="Arial" w:cs="Arial"/>
          <w:b/>
          <w:b/>
          <w:i/>
          <w:i/>
          <w:sz w:val="22"/>
          <w:szCs w:val="22"/>
        </w:rPr>
      </w:pPr>
      <w:r>
        <w:rPr>
          <w:rFonts w:cs="Arial" w:ascii="Arial" w:hAnsi="Arial"/>
          <w:sz w:val="22"/>
          <w:szCs w:val="22"/>
        </w:rPr>
        <w:t>1.</w:t>
        <w:tab/>
        <w:t xml:space="preserve">Абзац 1 главы 1 после слов (далее – Правила) дополнить словами: «разработаны на часть территории муниципального образования (на р.п. Шаранга, д. Большой Рейчваж)» </w:t>
      </w:r>
    </w:p>
    <w:p>
      <w:pPr>
        <w:pStyle w:val="Normal"/>
        <w:rPr>
          <w:rFonts w:ascii="Arial" w:hAnsi="Arial" w:cs="Arial"/>
          <w:b/>
          <w:b/>
          <w:i/>
          <w:i/>
          <w:sz w:val="22"/>
          <w:szCs w:val="22"/>
        </w:rPr>
      </w:pPr>
      <w:r>
        <w:rPr>
          <w:rFonts w:cs="Arial" w:ascii="Arial" w:hAnsi="Arial"/>
          <w:sz w:val="22"/>
          <w:szCs w:val="22"/>
        </w:rPr>
        <w:t>2.</w:t>
        <w:tab/>
        <w:t>Статью 15 изложить в следующей редакции:</w:t>
      </w:r>
    </w:p>
    <w:p>
      <w:pPr>
        <w:pStyle w:val="ConsPlusNormal1"/>
        <w:ind w:firstLine="709"/>
        <w:jc w:val="both"/>
        <w:rPr>
          <w:b/>
          <w:b/>
          <w:bCs/>
          <w:i/>
          <w:i/>
          <w:sz w:val="22"/>
          <w:szCs w:val="22"/>
        </w:rPr>
      </w:pPr>
      <w:r>
        <w:rPr>
          <w:b/>
          <w:bCs/>
          <w:i/>
          <w:sz w:val="22"/>
          <w:szCs w:val="22"/>
        </w:rPr>
        <w:t>«Статья 15. Назначение и виды документации по планировке территории.</w:t>
      </w:r>
    </w:p>
    <w:p>
      <w:pPr>
        <w:pStyle w:val="ConsPlusNormal1"/>
        <w:ind w:firstLine="709"/>
        <w:jc w:val="both"/>
        <w:rPr>
          <w:sz w:val="22"/>
          <w:szCs w:val="22"/>
        </w:rPr>
      </w:pPr>
      <w:r>
        <w:rPr>
          <w:sz w:val="22"/>
          <w:szCs w:val="22"/>
        </w:rPr>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w:t>
      </w:r>
    </w:p>
    <w:p>
      <w:pPr>
        <w:pStyle w:val="ConsPlusNormal1"/>
        <w:ind w:firstLine="709"/>
        <w:jc w:val="both"/>
        <w:rPr>
          <w:sz w:val="22"/>
          <w:szCs w:val="22"/>
        </w:rPr>
      </w:pPr>
      <w:r>
        <w:rPr>
          <w:rFonts w:eastAsia="Arial"/>
          <w:sz w:val="22"/>
          <w:szCs w:val="22"/>
        </w:rPr>
        <w:t xml:space="preserve"> </w:t>
      </w:r>
      <w:r>
        <w:rPr>
          <w:sz w:val="22"/>
          <w:szCs w:val="22"/>
        </w:rPr>
        <w:t>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городских округов функциональных зон.</w:t>
      </w:r>
    </w:p>
    <w:p>
      <w:pPr>
        <w:pStyle w:val="ConsPlusNormal1"/>
        <w:ind w:firstLine="709"/>
        <w:jc w:val="both"/>
        <w:rPr>
          <w:sz w:val="22"/>
          <w:szCs w:val="22"/>
        </w:rPr>
      </w:pPr>
      <w:r>
        <w:rPr>
          <w:sz w:val="22"/>
          <w:szCs w:val="22"/>
        </w:rPr>
        <w:t>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pPr>
        <w:pStyle w:val="ConsPlusNormal1"/>
        <w:ind w:firstLine="709"/>
        <w:jc w:val="both"/>
        <w:rPr>
          <w:sz w:val="22"/>
          <w:szCs w:val="22"/>
        </w:rPr>
      </w:pPr>
      <w:r>
        <w:rPr>
          <w:sz w:val="22"/>
          <w:szCs w:val="22"/>
        </w:rPr>
        <w:t>2. Подготовка документации по планировке территории осуществляется в отношении застроенных или подлежащих застройке территорий.</w:t>
      </w:r>
    </w:p>
    <w:p>
      <w:pPr>
        <w:pStyle w:val="ConsPlusNormal1"/>
        <w:ind w:firstLine="709"/>
        <w:jc w:val="both"/>
        <w:rPr>
          <w:sz w:val="22"/>
          <w:szCs w:val="22"/>
        </w:rPr>
      </w:pPr>
      <w:r>
        <w:rPr>
          <w:sz w:val="22"/>
          <w:szCs w:val="22"/>
        </w:rPr>
        <w:t>3. Видами документации по планировке территории являются:</w:t>
      </w:r>
    </w:p>
    <w:p>
      <w:pPr>
        <w:pStyle w:val="ConsPlusNormal1"/>
        <w:ind w:firstLine="709"/>
        <w:jc w:val="both"/>
        <w:rPr>
          <w:sz w:val="22"/>
          <w:szCs w:val="22"/>
        </w:rPr>
      </w:pPr>
      <w:r>
        <w:rPr>
          <w:rFonts w:eastAsia="Arial"/>
          <w:sz w:val="22"/>
          <w:szCs w:val="22"/>
        </w:rPr>
        <w:t xml:space="preserve"> </w:t>
      </w:r>
      <w:r>
        <w:rPr>
          <w:sz w:val="22"/>
          <w:szCs w:val="22"/>
        </w:rPr>
        <w:t xml:space="preserve">1) проект планировки территории; </w:t>
      </w:r>
    </w:p>
    <w:p>
      <w:pPr>
        <w:pStyle w:val="ConsPlusNormal1"/>
        <w:ind w:firstLine="709"/>
        <w:jc w:val="both"/>
        <w:rPr>
          <w:sz w:val="22"/>
          <w:szCs w:val="22"/>
        </w:rPr>
      </w:pPr>
      <w:r>
        <w:rPr>
          <w:rFonts w:eastAsia="Arial"/>
          <w:sz w:val="22"/>
          <w:szCs w:val="22"/>
        </w:rPr>
        <w:t xml:space="preserve"> </w:t>
      </w:r>
      <w:r>
        <w:rPr>
          <w:sz w:val="22"/>
          <w:szCs w:val="22"/>
        </w:rPr>
        <w:t>2) проект межевания территории.</w:t>
      </w:r>
    </w:p>
    <w:p>
      <w:pPr>
        <w:pStyle w:val="ConsPlusNormal1"/>
        <w:ind w:firstLine="709"/>
        <w:jc w:val="both"/>
        <w:rPr>
          <w:sz w:val="22"/>
          <w:szCs w:val="22"/>
        </w:rPr>
      </w:pPr>
      <w:r>
        <w:rPr>
          <w:sz w:val="22"/>
          <w:szCs w:val="22"/>
        </w:rPr>
        <w:t xml:space="preserve">4.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следующих случаев: </w:t>
      </w:r>
    </w:p>
    <w:p>
      <w:pPr>
        <w:pStyle w:val="ConsPlusNormal1"/>
        <w:ind w:firstLine="709"/>
        <w:jc w:val="both"/>
        <w:rPr>
          <w:sz w:val="22"/>
          <w:szCs w:val="22"/>
        </w:rPr>
      </w:pPr>
      <w:r>
        <w:rPr>
          <w:sz w:val="22"/>
          <w:szCs w:val="22"/>
        </w:rPr>
        <w:t xml:space="preserve">1) 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 </w:t>
      </w:r>
    </w:p>
    <w:p>
      <w:pPr>
        <w:pStyle w:val="ConsPlusNormal1"/>
        <w:ind w:firstLine="709"/>
        <w:jc w:val="both"/>
        <w:rPr>
          <w:sz w:val="22"/>
          <w:szCs w:val="22"/>
        </w:rPr>
      </w:pPr>
      <w:r>
        <w:rPr>
          <w:sz w:val="22"/>
          <w:szCs w:val="22"/>
        </w:rPr>
        <w:t xml:space="preserve">2) необходимы установление, изменение или отмена красных линий; </w:t>
      </w:r>
    </w:p>
    <w:p>
      <w:pPr>
        <w:pStyle w:val="ConsPlusNormal1"/>
        <w:ind w:firstLine="709"/>
        <w:jc w:val="both"/>
        <w:rPr>
          <w:sz w:val="22"/>
          <w:szCs w:val="22"/>
        </w:rPr>
      </w:pPr>
      <w:r>
        <w:rPr>
          <w:sz w:val="22"/>
          <w:szCs w:val="22"/>
        </w:rPr>
        <w:t xml:space="preserve">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 </w:t>
      </w:r>
    </w:p>
    <w:p>
      <w:pPr>
        <w:pStyle w:val="ConsPlusNormal1"/>
        <w:ind w:firstLine="709"/>
        <w:jc w:val="both"/>
        <w:rPr>
          <w:sz w:val="22"/>
          <w:szCs w:val="22"/>
        </w:rPr>
      </w:pPr>
      <w:r>
        <w:rPr>
          <w:sz w:val="22"/>
          <w:szCs w:val="22"/>
        </w:rPr>
        <w:t xml:space="preserve">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 </w:t>
      </w:r>
    </w:p>
    <w:p>
      <w:pPr>
        <w:pStyle w:val="ConsPlusNormal1"/>
        <w:ind w:firstLine="709"/>
        <w:jc w:val="both"/>
        <w:rPr>
          <w:sz w:val="22"/>
          <w:szCs w:val="22"/>
        </w:rPr>
      </w:pPr>
      <w:r>
        <w:rPr>
          <w:sz w:val="22"/>
          <w:szCs w:val="22"/>
        </w:rPr>
        <w:t>5) планируются строительство, реконструкция линейного объекта (за  исключением случая, если размещение линейного объекта планируется осуществлять на государственной или линейного объекта землях или земельных участках, находящихся в муниципальной собственности, и для размещения такого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pPr>
        <w:pStyle w:val="ConsPlusNormal1"/>
        <w:ind w:firstLine="709"/>
        <w:jc w:val="both"/>
        <w:rPr>
          <w:sz w:val="22"/>
          <w:szCs w:val="22"/>
        </w:rPr>
      </w:pPr>
      <w:r>
        <w:rPr>
          <w:sz w:val="22"/>
          <w:szCs w:val="22"/>
        </w:rPr>
        <w:t>5. Подготовка документации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p>
    <w:p>
      <w:pPr>
        <w:pStyle w:val="ConsPlusNormal1"/>
        <w:ind w:firstLine="709"/>
        <w:jc w:val="both"/>
        <w:rPr>
          <w:sz w:val="22"/>
          <w:szCs w:val="22"/>
        </w:rPr>
      </w:pPr>
      <w:r>
        <w:rPr>
          <w:sz w:val="22"/>
          <w:szCs w:val="22"/>
        </w:rPr>
        <w:t>6. Подготовка графической части документации по планировке территории осуществляется:</w:t>
      </w:r>
    </w:p>
    <w:p>
      <w:pPr>
        <w:pStyle w:val="ConsPlusNormal1"/>
        <w:ind w:firstLine="709"/>
        <w:jc w:val="both"/>
        <w:rPr>
          <w:sz w:val="22"/>
          <w:szCs w:val="22"/>
        </w:rPr>
      </w:pPr>
      <w:r>
        <w:rPr>
          <w:sz w:val="22"/>
          <w:szCs w:val="22"/>
        </w:rPr>
        <w:t>1) в соответствии с системой координат, используемой для ведения Единого государственного реестра недвижимости;</w:t>
      </w:r>
    </w:p>
    <w:p>
      <w:pPr>
        <w:pStyle w:val="ConsPlusNormal1"/>
        <w:ind w:firstLine="709"/>
        <w:jc w:val="both"/>
        <w:rPr>
          <w:sz w:val="22"/>
          <w:szCs w:val="22"/>
        </w:rPr>
      </w:pPr>
      <w:r>
        <w:rPr>
          <w:sz w:val="22"/>
          <w:szCs w:val="22"/>
        </w:rPr>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pPr>
        <w:pStyle w:val="Normal"/>
        <w:rPr>
          <w:rFonts w:ascii="Arial" w:hAnsi="Arial" w:cs="Arial"/>
          <w:b/>
          <w:b/>
          <w:i/>
          <w:i/>
          <w:sz w:val="22"/>
          <w:szCs w:val="22"/>
        </w:rPr>
      </w:pPr>
      <w:r>
        <w:rPr>
          <w:rFonts w:cs="Arial" w:ascii="Arial" w:hAnsi="Arial"/>
          <w:sz w:val="22"/>
          <w:szCs w:val="22"/>
        </w:rPr>
        <w:t>3. Главу 4 дополнить статьей 16.1  следующего содержания:</w:t>
      </w:r>
    </w:p>
    <w:p>
      <w:pPr>
        <w:pStyle w:val="Normal"/>
        <w:rPr>
          <w:rFonts w:ascii="Arial" w:hAnsi="Arial" w:cs="Arial"/>
          <w:sz w:val="22"/>
          <w:szCs w:val="22"/>
        </w:rPr>
      </w:pPr>
      <w:r>
        <w:rPr>
          <w:rFonts w:cs="Arial" w:ascii="Arial" w:hAnsi="Arial"/>
          <w:sz w:val="22"/>
          <w:szCs w:val="22"/>
        </w:rPr>
        <w:t>«Статья 16.1 Утверждение документации по планировки территории.</w:t>
      </w:r>
    </w:p>
    <w:p>
      <w:pPr>
        <w:pStyle w:val="ConsPlusNormal1"/>
        <w:ind w:firstLine="709"/>
        <w:jc w:val="both"/>
        <w:rPr>
          <w:sz w:val="22"/>
          <w:szCs w:val="22"/>
        </w:rPr>
      </w:pPr>
      <w:r>
        <w:rPr>
          <w:rFonts w:eastAsia="Arial"/>
          <w:sz w:val="22"/>
          <w:szCs w:val="22"/>
        </w:rPr>
        <w:t xml:space="preserve"> </w:t>
      </w:r>
      <w:r>
        <w:rPr>
          <w:sz w:val="22"/>
          <w:szCs w:val="22"/>
        </w:rPr>
        <w:t>«1. Решение о подготовке документации по планировке территории принимается Администрацией р.п.Шаранга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pPr>
        <w:pStyle w:val="ConsPlusNormal1"/>
        <w:ind w:firstLine="709"/>
        <w:jc w:val="both"/>
        <w:rPr>
          <w:sz w:val="22"/>
          <w:szCs w:val="22"/>
        </w:rPr>
      </w:pPr>
      <w:r>
        <w:rPr>
          <w:sz w:val="22"/>
          <w:szCs w:val="22"/>
        </w:rPr>
        <w:t>1.1. Решения о подготовке документации по планировке территории принимаются самостоятельно:</w:t>
      </w:r>
    </w:p>
    <w:p>
      <w:pPr>
        <w:pStyle w:val="ConsPlusNormal1"/>
        <w:ind w:firstLine="709"/>
        <w:jc w:val="both"/>
        <w:rPr>
          <w:sz w:val="22"/>
          <w:szCs w:val="22"/>
        </w:rPr>
      </w:pPr>
      <w:r>
        <w:rPr>
          <w:sz w:val="22"/>
          <w:szCs w:val="22"/>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pPr>
        <w:pStyle w:val="ConsPlusNormal1"/>
        <w:ind w:firstLine="709"/>
        <w:jc w:val="both"/>
        <w:rPr>
          <w:sz w:val="22"/>
          <w:szCs w:val="22"/>
        </w:rPr>
      </w:pPr>
      <w:r>
        <w:rPr>
          <w:sz w:val="22"/>
          <w:szCs w:val="22"/>
        </w:rPr>
        <w:t>2) правообладателями земельных участков и (или) объектов недвижимого имущества, расположенных в границах территории, подлежащей комплексному развитию,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w:t>
      </w:r>
    </w:p>
    <w:p>
      <w:pPr>
        <w:pStyle w:val="ConsPlusNormal1"/>
        <w:ind w:firstLine="709"/>
        <w:jc w:val="both"/>
        <w:rPr>
          <w:sz w:val="22"/>
          <w:szCs w:val="22"/>
        </w:rPr>
      </w:pPr>
      <w:r>
        <w:rPr>
          <w:sz w:val="22"/>
          <w:szCs w:val="22"/>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pPr>
        <w:pStyle w:val="ConsPlusNormal1"/>
        <w:ind w:firstLine="709"/>
        <w:jc w:val="both"/>
        <w:rPr>
          <w:sz w:val="22"/>
          <w:szCs w:val="22"/>
        </w:rPr>
      </w:pPr>
      <w:r>
        <w:rPr>
          <w:sz w:val="22"/>
          <w:szCs w:val="22"/>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pPr>
        <w:pStyle w:val="ConsPlusNormal1"/>
        <w:ind w:firstLine="709"/>
        <w:jc w:val="both"/>
        <w:rPr>
          <w:sz w:val="22"/>
          <w:szCs w:val="22"/>
        </w:rPr>
      </w:pPr>
      <w:r>
        <w:rPr>
          <w:sz w:val="22"/>
          <w:szCs w:val="22"/>
        </w:rPr>
        <w:t>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в случае, если представительным органом местного самоуправления поселения принято решение об отсутствии необходимости подготовки его генерального плана и о подготовке правил землепользования и застройки) в случаях, предусматривающих размещение объектов федерального значения в областях: федеральный транспорт (железнодорожный, воздушный, морской, внутренний водный, трубопроводный транспорт), автомобильные дороги федерального значения; оборона страны и безопасность государства; энергетика; высшее образование; здравоохранение,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соответствующих областях,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поселения.</w:t>
      </w:r>
    </w:p>
    <w:p>
      <w:pPr>
        <w:pStyle w:val="ConsPlusNormal1"/>
        <w:ind w:firstLine="709"/>
        <w:jc w:val="both"/>
        <w:rPr/>
      </w:pPr>
      <w:r>
        <w:rPr>
          <w:sz w:val="22"/>
          <w:szCs w:val="22"/>
        </w:rPr>
        <w:t xml:space="preserve">3. Указанное в </w:t>
      </w:r>
      <w:hyperlink w:anchor="Par0">
        <w:r>
          <w:rPr>
            <w:rStyle w:val="Style21"/>
            <w:sz w:val="22"/>
            <w:szCs w:val="22"/>
          </w:rPr>
          <w:t>части 1</w:t>
        </w:r>
      </w:hyperlink>
      <w:r>
        <w:rPr>
          <w:sz w:val="22"/>
          <w:szCs w:val="22"/>
        </w:rPr>
        <w:t xml:space="preserve"> настоящей статьи решение подлежит опубликованию в 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Шарангского муниципального района.</w:t>
      </w:r>
    </w:p>
    <w:p>
      <w:pPr>
        <w:pStyle w:val="ConsPlusNormal1"/>
        <w:ind w:firstLine="709"/>
        <w:jc w:val="both"/>
        <w:rPr>
          <w:sz w:val="22"/>
          <w:szCs w:val="22"/>
        </w:rPr>
      </w:pPr>
      <w:r>
        <w:rPr>
          <w:sz w:val="22"/>
          <w:szCs w:val="22"/>
        </w:rPr>
        <w:t>4. Со дня опубликования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поселения или свои предложения о порядке, сроках подготовки и содержании документации по планировке территории.</w:t>
      </w:r>
    </w:p>
    <w:p>
      <w:pPr>
        <w:pStyle w:val="ConsPlusNormal1"/>
        <w:ind w:firstLine="709"/>
        <w:jc w:val="both"/>
        <w:rPr>
          <w:sz w:val="22"/>
          <w:szCs w:val="22"/>
        </w:rPr>
      </w:pPr>
      <w:r>
        <w:rPr>
          <w:sz w:val="22"/>
          <w:szCs w:val="22"/>
        </w:rPr>
        <w:t>4.1. Заинтересованные лица, указанные в п.1.1 настоящей статьи осуществляют подготовку документации по планировке территории в соответствии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орган местного самоуправления поселения.</w:t>
      </w:r>
    </w:p>
    <w:p>
      <w:pPr>
        <w:pStyle w:val="ConsPlusNormal1"/>
        <w:ind w:firstLine="709"/>
        <w:jc w:val="both"/>
        <w:rPr>
          <w:sz w:val="22"/>
          <w:szCs w:val="22"/>
        </w:rPr>
      </w:pPr>
      <w:r>
        <w:rPr>
          <w:sz w:val="22"/>
          <w:szCs w:val="22"/>
        </w:rPr>
        <w:t>5. Орган местного самоуправления поселения осуществляет проверку документации по планировке территории на соответствие требованиям, установленным пунктом 4.1 настоящей статьи. По результатам проверки указанные органы принимают соответствующее решение о направлении документации по планировке территории главе поселения или об отклонении такой документации и о направлении ее на доработку.</w:t>
      </w:r>
    </w:p>
    <w:p>
      <w:pPr>
        <w:pStyle w:val="ConsPlusNormal1"/>
        <w:ind w:firstLine="709"/>
        <w:jc w:val="both"/>
        <w:rPr>
          <w:sz w:val="22"/>
          <w:szCs w:val="22"/>
        </w:rPr>
      </w:pPr>
      <w:r>
        <w:rPr>
          <w:sz w:val="22"/>
          <w:szCs w:val="22"/>
        </w:rPr>
        <w:t>6.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pPr>
        <w:pStyle w:val="ConsPlusNormal1"/>
        <w:ind w:firstLine="709"/>
        <w:jc w:val="both"/>
        <w:rPr>
          <w:sz w:val="22"/>
          <w:szCs w:val="22"/>
        </w:rPr>
      </w:pPr>
      <w:r>
        <w:rPr>
          <w:sz w:val="22"/>
          <w:szCs w:val="22"/>
        </w:rPr>
        <w:t>7. Орган местного самоуправления поселения направляет главе администрации р.п.Шаранга подготовленную документацию по планировке территории, протокол публичных слушаний по проекту планировки территории и 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pPr>
        <w:pStyle w:val="ConsPlusNormal1"/>
        <w:ind w:firstLine="709"/>
        <w:jc w:val="both"/>
        <w:rPr>
          <w:sz w:val="22"/>
          <w:szCs w:val="22"/>
        </w:rPr>
      </w:pPr>
      <w:r>
        <w:rPr>
          <w:sz w:val="22"/>
          <w:szCs w:val="22"/>
        </w:rPr>
        <w:t>8. Глава администрации р.п.Шаранга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
    <w:p>
      <w:pPr>
        <w:pStyle w:val="ConsPlusNormal1"/>
        <w:ind w:firstLine="709"/>
        <w:jc w:val="both"/>
        <w:rPr/>
      </w:pPr>
      <w:r>
        <w:rPr>
          <w:sz w:val="22"/>
          <w:szCs w:val="22"/>
        </w:rPr>
        <w:t xml:space="preserve">8.1. Основанием для отклонения документации по планировке территории, подготовленной лицами, указанными в </w:t>
      </w:r>
      <w:hyperlink r:id="rId3">
        <w:r>
          <w:rPr>
            <w:rStyle w:val="Style21"/>
            <w:sz w:val="22"/>
            <w:szCs w:val="22"/>
          </w:rPr>
          <w:t xml:space="preserve">части 1.1 </w:t>
        </w:r>
      </w:hyperlink>
      <w:r>
        <w:rPr>
          <w:sz w:val="22"/>
          <w:szCs w:val="22"/>
        </w:rPr>
        <w:t>настоящей статьи, и направления ее на доработку является несоответствие такой документации требованиям, указанным в части 4.1 настоящей статьи. В иных случаях отклонение представленной такими лицами документации по планировке территории не допускается.</w:t>
      </w:r>
    </w:p>
    <w:p>
      <w:pPr>
        <w:pStyle w:val="ConsPlusNormal1"/>
        <w:ind w:firstLine="709"/>
        <w:jc w:val="both"/>
        <w:rPr>
          <w:sz w:val="22"/>
          <w:szCs w:val="22"/>
        </w:rPr>
      </w:pPr>
      <w:r>
        <w:rPr>
          <w:sz w:val="22"/>
          <w:szCs w:val="22"/>
        </w:rPr>
        <w:t>9.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pPr>
        <w:pStyle w:val="ConsPlusNormal1"/>
        <w:ind w:firstLine="709"/>
        <w:jc w:val="both"/>
        <w:rPr>
          <w:sz w:val="22"/>
          <w:szCs w:val="22"/>
        </w:rPr>
      </w:pPr>
      <w:r>
        <w:rPr>
          <w:sz w:val="22"/>
          <w:szCs w:val="22"/>
        </w:rPr>
        <w:t>10.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pPr>
        <w:pStyle w:val="ConsPlusNormal1"/>
        <w:ind w:firstLine="709"/>
        <w:jc w:val="both"/>
        <w:rPr>
          <w:sz w:val="22"/>
          <w:szCs w:val="22"/>
        </w:rPr>
      </w:pPr>
      <w:r>
        <w:rPr>
          <w:sz w:val="22"/>
          <w:szCs w:val="22"/>
        </w:rPr>
        <w:t>11.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pPr>
        <w:pStyle w:val="ConsPlusNormal1"/>
        <w:ind w:firstLine="709"/>
        <w:jc w:val="both"/>
        <w:rPr>
          <w:sz w:val="22"/>
          <w:szCs w:val="22"/>
        </w:rPr>
      </w:pPr>
      <w:r>
        <w:rPr>
          <w:sz w:val="22"/>
          <w:szCs w:val="22"/>
        </w:rPr>
        <w:t>13.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pPr>
        <w:pStyle w:val="ConsPlusNormal1"/>
        <w:ind w:firstLine="709"/>
        <w:jc w:val="both"/>
        <w:rPr>
          <w:sz w:val="22"/>
          <w:szCs w:val="22"/>
        </w:rPr>
      </w:pPr>
      <w:r>
        <w:rPr>
          <w:sz w:val="22"/>
          <w:szCs w:val="22"/>
        </w:rPr>
        <w:t>14.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pPr>
        <w:pStyle w:val="ConsPlusNormal1"/>
        <w:ind w:firstLine="709"/>
        <w:jc w:val="both"/>
        <w:rPr>
          <w:sz w:val="22"/>
          <w:szCs w:val="22"/>
        </w:rPr>
      </w:pPr>
      <w:r>
        <w:rPr>
          <w:sz w:val="22"/>
          <w:szCs w:val="22"/>
        </w:rPr>
        <w:t>15.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pPr>
        <w:pStyle w:val="ConsPlusNormal1"/>
        <w:ind w:firstLine="709"/>
        <w:jc w:val="both"/>
        <w:rPr>
          <w:sz w:val="22"/>
          <w:szCs w:val="22"/>
        </w:rPr>
      </w:pPr>
      <w:r>
        <w:rPr>
          <w:sz w:val="22"/>
          <w:szCs w:val="22"/>
        </w:rPr>
        <w:t xml:space="preserve">16.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администрации Шарангского муниципального района.». </w:t>
      </w:r>
    </w:p>
    <w:p>
      <w:pPr>
        <w:pStyle w:val="ConsPlusNormal1"/>
        <w:ind w:firstLine="709"/>
        <w:jc w:val="both"/>
        <w:rPr>
          <w:sz w:val="22"/>
          <w:szCs w:val="22"/>
        </w:rPr>
      </w:pPr>
      <w:r>
        <w:rPr>
          <w:sz w:val="22"/>
          <w:szCs w:val="22"/>
        </w:rPr>
      </w:r>
    </w:p>
    <w:p>
      <w:pPr>
        <w:pStyle w:val="ConsPlusNormal1"/>
        <w:ind w:firstLine="709"/>
        <w:jc w:val="both"/>
        <w:rPr/>
      </w:pPr>
      <w:r>
        <w:rPr>
          <w:rFonts w:eastAsia="Calibri"/>
          <w:b/>
          <w:bCs/>
          <w:sz w:val="22"/>
          <w:szCs w:val="22"/>
        </w:rPr>
        <w:t>4</w:t>
      </w:r>
      <w:r>
        <w:rPr>
          <w:sz w:val="22"/>
          <w:szCs w:val="22"/>
        </w:rPr>
        <w:t>. Статью 18 изложить в следующей редакции:</w:t>
      </w:r>
    </w:p>
    <w:p>
      <w:pPr>
        <w:pStyle w:val="ConsPlusNormal1"/>
        <w:ind w:firstLine="709"/>
        <w:jc w:val="both"/>
        <w:rPr>
          <w:sz w:val="22"/>
          <w:szCs w:val="22"/>
        </w:rPr>
      </w:pPr>
      <w:r>
        <w:rPr>
          <w:sz w:val="22"/>
          <w:szCs w:val="22"/>
        </w:rPr>
        <w:t>«Статья 18 ……..</w:t>
      </w:r>
    </w:p>
    <w:p>
      <w:pPr>
        <w:pStyle w:val="ConsPlusNormal1"/>
        <w:ind w:firstLine="709"/>
        <w:jc w:val="both"/>
        <w:rPr>
          <w:sz w:val="22"/>
          <w:szCs w:val="22"/>
        </w:rPr>
      </w:pPr>
      <w:r>
        <w:rPr>
          <w:sz w:val="22"/>
          <w:szCs w:val="22"/>
        </w:rPr>
        <w:t>1. 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архитектурно-строительного проектирования, строительства, реконструкции объектов капитального строительства в границах земельного участка.</w:t>
      </w:r>
    </w:p>
    <w:p>
      <w:pPr>
        <w:pStyle w:val="ConsPlusNormal1"/>
        <w:ind w:firstLine="709"/>
        <w:jc w:val="both"/>
        <w:rPr>
          <w:sz w:val="22"/>
          <w:szCs w:val="22"/>
        </w:rPr>
      </w:pPr>
      <w:r>
        <w:rPr>
          <w:sz w:val="22"/>
          <w:szCs w:val="22"/>
        </w:rPr>
        <w:t>2. Источниками информации для подготовки градостроительного плана земельного участка являются документы территориального планирования и градостроительного зонирования, нормативы градостроительного проектирования, документация по планировке территории, сведения, содержащиеся в государственном кадастре недвижимости, федеральной государственной информационной системе территориального планирования, информационной системе обеспечения градостроительной деятельности, а также технические условия подключения (технологического присоединения) объектов капитального строительства к сетям инженерно-технического обеспечения.</w:t>
      </w:r>
    </w:p>
    <w:p>
      <w:pPr>
        <w:pStyle w:val="ConsPlusNormal1"/>
        <w:ind w:firstLine="709"/>
        <w:jc w:val="both"/>
        <w:rPr>
          <w:sz w:val="22"/>
          <w:szCs w:val="22"/>
        </w:rPr>
      </w:pPr>
      <w:r>
        <w:rPr>
          <w:sz w:val="22"/>
          <w:szCs w:val="22"/>
        </w:rPr>
        <w:t>3. В градостроительном плане земельного участка содержится информация:</w:t>
      </w:r>
    </w:p>
    <w:p>
      <w:pPr>
        <w:pStyle w:val="ConsPlusNormal1"/>
        <w:ind w:firstLine="709"/>
        <w:jc w:val="both"/>
        <w:rPr>
          <w:sz w:val="22"/>
          <w:szCs w:val="22"/>
        </w:rPr>
      </w:pPr>
      <w:r>
        <w:rPr>
          <w:sz w:val="22"/>
          <w:szCs w:val="22"/>
        </w:rPr>
        <w:t>1) о реквизитах проекта планировки территории и (или) проекта межевания территории в случае, если земельный участок расположен в границах территории, в отношении которой утверждены проект планировки территории и (или) проект межевания территории;</w:t>
      </w:r>
    </w:p>
    <w:p>
      <w:pPr>
        <w:pStyle w:val="ConsPlusNormal1"/>
        <w:ind w:firstLine="709"/>
        <w:jc w:val="both"/>
        <w:rPr>
          <w:sz w:val="22"/>
          <w:szCs w:val="22"/>
        </w:rPr>
      </w:pPr>
      <w:r>
        <w:rPr>
          <w:sz w:val="22"/>
          <w:szCs w:val="22"/>
        </w:rPr>
        <w:t>2) о границах земельного участка и о кадастровом номере земельного участка (при его наличии);</w:t>
      </w:r>
    </w:p>
    <w:p>
      <w:pPr>
        <w:pStyle w:val="ConsPlusNormal1"/>
        <w:ind w:firstLine="709"/>
        <w:jc w:val="both"/>
        <w:rPr>
          <w:sz w:val="22"/>
          <w:szCs w:val="22"/>
        </w:rPr>
      </w:pPr>
      <w:r>
        <w:rPr>
          <w:sz w:val="22"/>
          <w:szCs w:val="22"/>
        </w:rPr>
        <w:t>3) о границах зоны планируемого размещения объекта капитального строительства в соответствии с утверждённым проектом планировки территории (при его наличии);</w:t>
      </w:r>
    </w:p>
    <w:p>
      <w:pPr>
        <w:pStyle w:val="ConsPlusNormal1"/>
        <w:ind w:firstLine="709"/>
        <w:jc w:val="both"/>
        <w:rPr>
          <w:sz w:val="22"/>
          <w:szCs w:val="22"/>
        </w:rPr>
      </w:pPr>
      <w:r>
        <w:rPr>
          <w:sz w:val="22"/>
          <w:szCs w:val="22"/>
        </w:rPr>
        <w:t>4) о минимальных отступах от границ земельного участка, в пределах которых разрешается строительство объектов капитального строительства;</w:t>
      </w:r>
    </w:p>
    <w:p>
      <w:pPr>
        <w:pStyle w:val="ConsPlusNormal1"/>
        <w:ind w:firstLine="709"/>
        <w:jc w:val="both"/>
        <w:rPr>
          <w:sz w:val="22"/>
          <w:szCs w:val="22"/>
        </w:rPr>
      </w:pPr>
      <w:r>
        <w:rPr>
          <w:sz w:val="22"/>
          <w:szCs w:val="22"/>
        </w:rPr>
        <w:t>5) об основных, условно разрешенных и вспомогательных видах разрешенного использования земельного участка, установленных в соответствии с Градостроительным кодексом РФ;</w:t>
      </w:r>
    </w:p>
    <w:p>
      <w:pPr>
        <w:pStyle w:val="ConsPlusNormal1"/>
        <w:ind w:firstLine="709"/>
        <w:jc w:val="both"/>
        <w:rPr>
          <w:sz w:val="22"/>
          <w:szCs w:val="22"/>
        </w:rPr>
      </w:pPr>
      <w:r>
        <w:rPr>
          <w:sz w:val="22"/>
          <w:szCs w:val="22"/>
        </w:rPr>
        <w:t>6) о предельных параметрах разрешенного строительства, реконструкции объекта капитального строительства, установленных градостроительным регламентом для территориальной зоны, в которой расположен земельный участок, за исключением случаев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pPr>
        <w:pStyle w:val="ConsPlusNormal1"/>
        <w:ind w:firstLine="709"/>
        <w:jc w:val="both"/>
        <w:rPr>
          <w:sz w:val="22"/>
          <w:szCs w:val="22"/>
        </w:rPr>
      </w:pPr>
      <w:r>
        <w:rPr>
          <w:sz w:val="22"/>
          <w:szCs w:val="22"/>
        </w:rPr>
        <w:t>7) о требованиях к назначению, параметрам и размещению объекта капитального строительства на указанном земельном участке, установленных в соответствии с частью 7 статьи 36 Градостроительного кодекса РФ, в случае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pPr>
        <w:pStyle w:val="ConsPlusNormal1"/>
        <w:ind w:firstLine="709"/>
        <w:jc w:val="both"/>
        <w:rPr>
          <w:sz w:val="22"/>
          <w:szCs w:val="22"/>
        </w:rPr>
      </w:pPr>
      <w:r>
        <w:rPr>
          <w:sz w:val="22"/>
          <w:szCs w:val="22"/>
        </w:rPr>
        <w:t>8) о расчетных показателях минимально допустимого уровня обеспеченности территории объектами коммунальной, транспортной, социальной инфраструктур и расчетных показателях максимально допустимого уровня территориальной доступности указанных объектов для населения в случае, если земельный участок расположен в границах территории, в отношении которой предусматривается осуществление деятельности по комплексному и устойчивому развитию территории;</w:t>
      </w:r>
    </w:p>
    <w:p>
      <w:pPr>
        <w:pStyle w:val="ConsPlusNormal1"/>
        <w:ind w:firstLine="709"/>
        <w:jc w:val="both"/>
        <w:rPr>
          <w:sz w:val="22"/>
          <w:szCs w:val="22"/>
        </w:rPr>
      </w:pPr>
      <w:r>
        <w:rPr>
          <w:sz w:val="22"/>
          <w:szCs w:val="22"/>
        </w:rPr>
        <w:t>9) об ограничениях использования земельного участка, в том числе если земельный участок полностью или частично расположен в границах зон с особыми условиями использования территорий;</w:t>
      </w:r>
    </w:p>
    <w:p>
      <w:pPr>
        <w:pStyle w:val="ConsPlusNormal1"/>
        <w:ind w:firstLine="709"/>
        <w:jc w:val="both"/>
        <w:rPr>
          <w:sz w:val="22"/>
          <w:szCs w:val="22"/>
        </w:rPr>
      </w:pPr>
      <w:r>
        <w:rPr>
          <w:sz w:val="22"/>
          <w:szCs w:val="22"/>
        </w:rPr>
        <w:t>10) о границах зон с особыми условиями использования территорий, если земельный участок полностью или частично расположен в границах таких зон;</w:t>
      </w:r>
    </w:p>
    <w:p>
      <w:pPr>
        <w:pStyle w:val="ConsPlusNormal1"/>
        <w:ind w:firstLine="709"/>
        <w:jc w:val="both"/>
        <w:rPr>
          <w:sz w:val="22"/>
          <w:szCs w:val="22"/>
        </w:rPr>
      </w:pPr>
      <w:r>
        <w:rPr>
          <w:sz w:val="22"/>
          <w:szCs w:val="22"/>
        </w:rPr>
        <w:t>11) о границах зон действия публичных сервитутов;</w:t>
      </w:r>
    </w:p>
    <w:p>
      <w:pPr>
        <w:pStyle w:val="ConsPlusNormal1"/>
        <w:ind w:firstLine="709"/>
        <w:jc w:val="both"/>
        <w:rPr>
          <w:sz w:val="22"/>
          <w:szCs w:val="22"/>
        </w:rPr>
      </w:pPr>
      <w:r>
        <w:rPr>
          <w:sz w:val="22"/>
          <w:szCs w:val="22"/>
        </w:rPr>
        <w:t>12) о номере и (или) наименовании элемента планировочной структуры, в границах которого расположен земельный участок;</w:t>
      </w:r>
    </w:p>
    <w:p>
      <w:pPr>
        <w:pStyle w:val="ConsPlusNormal1"/>
        <w:ind w:firstLine="709"/>
        <w:jc w:val="both"/>
        <w:rPr>
          <w:sz w:val="22"/>
          <w:szCs w:val="22"/>
        </w:rPr>
      </w:pPr>
      <w:r>
        <w:rPr>
          <w:sz w:val="22"/>
          <w:szCs w:val="22"/>
        </w:rPr>
        <w:t>13) о расположенных в границах земельного участка объектах капитального строительства, а также о расположенных в границах земельного участка сетях инженерно-технического обеспечения;</w:t>
      </w:r>
    </w:p>
    <w:p>
      <w:pPr>
        <w:pStyle w:val="ConsPlusNormal1"/>
        <w:ind w:firstLine="709"/>
        <w:jc w:val="both"/>
        <w:rPr>
          <w:sz w:val="22"/>
          <w:szCs w:val="22"/>
        </w:rPr>
      </w:pPr>
      <w:r>
        <w:rPr>
          <w:sz w:val="22"/>
          <w:szCs w:val="22"/>
        </w:rPr>
        <w:t>14) о наличии или отсутствии в границах земельного участка объектов культурного наследия, о границах территорий таких объектов;</w:t>
      </w:r>
    </w:p>
    <w:p>
      <w:pPr>
        <w:pStyle w:val="ConsPlusNormal1"/>
        <w:ind w:firstLine="709"/>
        <w:jc w:val="both"/>
        <w:rPr>
          <w:sz w:val="22"/>
          <w:szCs w:val="22"/>
        </w:rPr>
      </w:pPr>
      <w:r>
        <w:rPr>
          <w:sz w:val="22"/>
          <w:szCs w:val="22"/>
        </w:rPr>
        <w:t>15) о технических условиях подключения (технологического присоединения) объектов капитального строительства к сетям инженерно-технического обеспечения, определённых с учётом программ комплексного развития систем коммунальной инфраструктуры поселения, городского округа;</w:t>
      </w:r>
    </w:p>
    <w:p>
      <w:pPr>
        <w:pStyle w:val="ConsPlusNormal1"/>
        <w:ind w:firstLine="709"/>
        <w:jc w:val="both"/>
        <w:rPr>
          <w:sz w:val="22"/>
          <w:szCs w:val="22"/>
        </w:rPr>
      </w:pPr>
      <w:r>
        <w:rPr>
          <w:sz w:val="22"/>
          <w:szCs w:val="22"/>
        </w:rPr>
        <w:t>16) о реквизитах нормативных правовых актов субъекта Российской Федерации, муниципальных правовых актов, устанавливающих требования к благоустройству территории;</w:t>
      </w:r>
    </w:p>
    <w:p>
      <w:pPr>
        <w:pStyle w:val="ConsPlusNormal1"/>
        <w:ind w:firstLine="709"/>
        <w:jc w:val="both"/>
        <w:rPr>
          <w:sz w:val="22"/>
          <w:szCs w:val="22"/>
        </w:rPr>
      </w:pPr>
      <w:r>
        <w:rPr>
          <w:sz w:val="22"/>
          <w:szCs w:val="22"/>
        </w:rPr>
        <w:t>17) о красных линиях.</w:t>
      </w:r>
    </w:p>
    <w:p>
      <w:pPr>
        <w:pStyle w:val="ConsPlusNormal1"/>
        <w:ind w:firstLine="709"/>
        <w:jc w:val="both"/>
        <w:rPr>
          <w:sz w:val="22"/>
          <w:szCs w:val="22"/>
        </w:rPr>
      </w:pPr>
      <w:r>
        <w:rPr>
          <w:sz w:val="22"/>
          <w:szCs w:val="22"/>
        </w:rPr>
        <w:t>4. В случае, если в соответствии с Градостроительным кодексом РФ размещение объекта капитального строительства не допускается при отсутствии документации по планировке территории, выдача градостроительного плана земельного участка для архитектурно-строительного проектирования,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w:t>
      </w:r>
    </w:p>
    <w:p>
      <w:pPr>
        <w:pStyle w:val="ConsPlusNormal1"/>
        <w:ind w:firstLine="709"/>
        <w:jc w:val="both"/>
        <w:rPr>
          <w:sz w:val="22"/>
          <w:szCs w:val="22"/>
        </w:rPr>
      </w:pPr>
      <w:r>
        <w:rPr>
          <w:sz w:val="22"/>
          <w:szCs w:val="22"/>
        </w:rPr>
        <w:t>5. В целях получения градостроительного плана земельного участка правообладатель земельного участка обращается с заявлением в администрацию Шарангского муниципального района. Заявление о выдаче градостроительного плана земельного участка может быть подано заявителем через многофункциональный центр.</w:t>
      </w:r>
    </w:p>
    <w:p>
      <w:pPr>
        <w:pStyle w:val="ConsPlusNormal1"/>
        <w:ind w:firstLine="709"/>
        <w:jc w:val="both"/>
        <w:rPr>
          <w:sz w:val="22"/>
          <w:szCs w:val="22"/>
        </w:rPr>
      </w:pPr>
      <w:r>
        <w:rPr>
          <w:sz w:val="22"/>
          <w:szCs w:val="22"/>
        </w:rPr>
        <w:t>6. Администрация Шарангского муниципального района в течение двадцати рабочих дней после получения заявления, указанного в части 5 настоящей статьи, осуществляет подготовку, регистрацию градостроительного плана земельного участка и выдает его заявителю. Градостроительный план земельного участка выдается заявителю без взимания платы.</w:t>
      </w:r>
    </w:p>
    <w:p>
      <w:pPr>
        <w:pStyle w:val="ConsPlusNormal1"/>
        <w:ind w:firstLine="709"/>
        <w:jc w:val="both"/>
        <w:rPr>
          <w:sz w:val="22"/>
          <w:szCs w:val="22"/>
        </w:rPr>
      </w:pPr>
      <w:r>
        <w:rPr>
          <w:sz w:val="22"/>
          <w:szCs w:val="22"/>
        </w:rPr>
        <w:t>7. При подготовке градостроительного плана земельного участка орган местного самоуправления в течение семи дней с даты получения заявления о выдаче такого документа направляет в организации, осуществляющие эксплуатацию сетей инженерно-технического обеспечения, запрос о предоставлении технических условий для подключения (технологического присоединения) планируемого к строительству или реконструкции объекта капитального строительства к сетям инженерно-технического обеспечения. Указанные технические условия подлежат представлению в орган местного самоуправления в срок, установленный частью 7 статьи 48 Градостроительного кодекса РФ.</w:t>
      </w:r>
    </w:p>
    <w:p>
      <w:pPr>
        <w:pStyle w:val="ConsPlusNormal1"/>
        <w:ind w:firstLine="709"/>
        <w:jc w:val="both"/>
        <w:rPr>
          <w:sz w:val="22"/>
          <w:szCs w:val="22"/>
        </w:rPr>
      </w:pPr>
      <w:r>
        <w:rPr>
          <w:sz w:val="22"/>
          <w:szCs w:val="22"/>
        </w:rPr>
        <w:t>8. В случае отсутствия в заявлении информации о цели использования земельного участка организация, осуществляющая эксплуатацию сетей инженерно-технического обеспечения, определяет максимальную нагрузку в возможных точках подключения к сетям инженерно-технического обеспечения на основании сведений, содержащихся в правилах землепользования и застройки.</w:t>
      </w:r>
    </w:p>
    <w:p>
      <w:pPr>
        <w:pStyle w:val="Normal"/>
        <w:spacing w:before="0" w:after="0"/>
        <w:contextualSpacing/>
        <w:jc w:val="both"/>
        <w:rPr>
          <w:rFonts w:ascii="Arial" w:hAnsi="Arial" w:cs="Arial"/>
          <w:b/>
          <w:b/>
          <w:i/>
          <w:i/>
          <w:sz w:val="22"/>
          <w:szCs w:val="22"/>
        </w:rPr>
      </w:pPr>
      <w:r>
        <w:rPr>
          <w:rFonts w:cs="Arial" w:ascii="Arial" w:hAnsi="Arial"/>
          <w:sz w:val="22"/>
          <w:szCs w:val="22"/>
        </w:rPr>
        <w:t>9. Форма градостроительного плана земельного участка, порядок её заполнения устанавливаются уполномоченным Правительством Российской Федерации федеральным органом исполнительной власти.</w:t>
      </w:r>
    </w:p>
    <w:p>
      <w:pPr>
        <w:pStyle w:val="Normal"/>
        <w:spacing w:before="0" w:after="0"/>
        <w:contextualSpacing/>
        <w:jc w:val="both"/>
        <w:rPr>
          <w:rFonts w:ascii="Arial" w:hAnsi="Arial" w:cs="Arial"/>
          <w:b/>
          <w:b/>
          <w:i/>
          <w:i/>
          <w:sz w:val="22"/>
          <w:szCs w:val="22"/>
        </w:rPr>
      </w:pPr>
      <w:r>
        <w:rPr>
          <w:rFonts w:cs="Arial" w:ascii="Arial" w:hAnsi="Arial"/>
          <w:sz w:val="22"/>
          <w:szCs w:val="22"/>
        </w:rPr>
        <w:t>10. Информация, указанная в градостроительном плане земельного участка, может быть использована для подготовки проектной документации, для получения разрешения на строительство в течение трёх лет со дня его выдачи. По истечении этого срока использование информации, указанной в градостроительном плане земельного участка, в предусмотренных настоящей частью целях не допускается.».</w:t>
      </w:r>
    </w:p>
    <w:p>
      <w:pPr>
        <w:pStyle w:val="ConsPlusNormal1"/>
        <w:ind w:firstLine="709"/>
        <w:jc w:val="both"/>
        <w:rPr/>
      </w:pPr>
      <w:r>
        <w:rPr>
          <w:rFonts w:eastAsia="Calibri"/>
          <w:b/>
          <w:bCs/>
          <w:sz w:val="22"/>
          <w:szCs w:val="22"/>
        </w:rPr>
        <w:t xml:space="preserve">5. </w:t>
      </w:r>
      <w:r>
        <w:rPr>
          <w:rFonts w:eastAsia="Calibri"/>
          <w:bCs/>
          <w:sz w:val="22"/>
          <w:szCs w:val="22"/>
        </w:rPr>
        <w:t>Статью 18.1 исключить</w:t>
      </w:r>
      <w:r>
        <w:rPr>
          <w:rFonts w:eastAsia="Calibri"/>
          <w:b/>
          <w:bCs/>
          <w:sz w:val="22"/>
          <w:szCs w:val="22"/>
        </w:rPr>
        <w:t>.</w:t>
      </w:r>
    </w:p>
    <w:p>
      <w:pPr>
        <w:pStyle w:val="Normal"/>
        <w:spacing w:before="0" w:after="0"/>
        <w:contextualSpacing/>
        <w:jc w:val="both"/>
        <w:rPr>
          <w:rFonts w:ascii="Arial" w:hAnsi="Arial" w:cs="Arial"/>
          <w:b/>
          <w:b/>
          <w:i/>
          <w:i/>
          <w:sz w:val="22"/>
          <w:szCs w:val="22"/>
        </w:rPr>
      </w:pPr>
      <w:r>
        <w:rPr>
          <w:rFonts w:cs="Arial" w:ascii="Arial" w:hAnsi="Arial"/>
          <w:sz w:val="22"/>
          <w:szCs w:val="22"/>
        </w:rPr>
        <w:t>6. В  статье 19 пункты 3-5  изложить в следующей редакции:</w:t>
      </w:r>
    </w:p>
    <w:p>
      <w:pPr>
        <w:pStyle w:val="Normal"/>
        <w:autoSpaceDE w:val="false"/>
        <w:ind w:firstLine="540"/>
        <w:jc w:val="both"/>
        <w:rPr>
          <w:rFonts w:ascii="Arial" w:hAnsi="Arial" w:cs="Arial"/>
          <w:b/>
          <w:b/>
          <w:bCs/>
          <w:i/>
          <w:i/>
          <w:sz w:val="22"/>
          <w:szCs w:val="22"/>
        </w:rPr>
      </w:pPr>
      <w:r>
        <w:rPr>
          <w:rFonts w:cs="Arial" w:ascii="Arial" w:hAnsi="Arial"/>
          <w:sz w:val="22"/>
          <w:szCs w:val="22"/>
        </w:rPr>
        <w:t>«3. Решение о развитии застроенной территории может быть принято, если на такой территории расположены:</w:t>
      </w:r>
    </w:p>
    <w:p>
      <w:pPr>
        <w:pStyle w:val="Normal"/>
        <w:autoSpaceDE w:val="false"/>
        <w:ind w:firstLine="540"/>
        <w:jc w:val="both"/>
        <w:rPr>
          <w:rFonts w:ascii="Arial" w:hAnsi="Arial" w:cs="Arial"/>
          <w:b/>
          <w:b/>
          <w:bCs/>
          <w:i/>
          <w:i/>
          <w:sz w:val="22"/>
          <w:szCs w:val="22"/>
        </w:rPr>
      </w:pPr>
      <w:r>
        <w:rPr>
          <w:rFonts w:cs="Arial" w:ascii="Arial" w:hAnsi="Arial"/>
          <w:sz w:val="22"/>
          <w:szCs w:val="22"/>
        </w:rPr>
        <w:t>1) многоквартирные дома, признанные в установленном Правительством Российской Федерации порядке аварийными и подлежащими сносу;</w:t>
      </w:r>
    </w:p>
    <w:p>
      <w:pPr>
        <w:pStyle w:val="Normal"/>
        <w:autoSpaceDE w:val="false"/>
        <w:ind w:firstLine="540"/>
        <w:jc w:val="both"/>
        <w:rPr>
          <w:rFonts w:ascii="Arial" w:hAnsi="Arial" w:cs="Arial"/>
          <w:b/>
          <w:b/>
          <w:bCs/>
          <w:i/>
          <w:i/>
          <w:sz w:val="22"/>
          <w:szCs w:val="22"/>
        </w:rPr>
      </w:pPr>
      <w:r>
        <w:rPr>
          <w:rFonts w:cs="Arial" w:ascii="Arial" w:hAnsi="Arial"/>
          <w:sz w:val="22"/>
          <w:szCs w:val="22"/>
        </w:rPr>
        <w:t>2) многоквартирные дома, снос, реконструкция которых планируются на основании муниципальных адресных программ, утвержденных представительным органом местного самоуправления.</w:t>
      </w:r>
    </w:p>
    <w:p>
      <w:pPr>
        <w:pStyle w:val="Normal"/>
        <w:autoSpaceDE w:val="false"/>
        <w:ind w:firstLine="540"/>
        <w:jc w:val="both"/>
        <w:rPr>
          <w:rFonts w:ascii="Arial" w:hAnsi="Arial" w:cs="Arial"/>
          <w:b/>
          <w:b/>
          <w:bCs/>
          <w:i/>
          <w:i/>
          <w:sz w:val="22"/>
          <w:szCs w:val="22"/>
        </w:rPr>
      </w:pPr>
      <w:r>
        <w:rPr>
          <w:rFonts w:cs="Arial" w:ascii="Arial" w:hAnsi="Arial"/>
          <w:sz w:val="22"/>
          <w:szCs w:val="22"/>
        </w:rPr>
        <w:t>4. На застроенной территории, в отношении которой принято решение о развитии, могут быть расположены помимо объектов, предусмотренных частью 3 настоящей статьи, объекты инженерной инфраструктуры, обеспечивающие исключительно функционирование многоквартирных домов, предусмотренных пунктами 1 и 2 части 3 настоящей статьи, а также объекты коммунальной, социальной, транспортной инфраструктур, необходимые для обеспечения жизнедеятельности граждан, проживающих в таких домах. Включение в границы такой территории земельных участков и расположенных на них объектов коммунальной, социальной, транспортной инфраструктур, находящихся в собственности Российской Федерации, субъектов Российской Федерации, органов местного самоуправления муниципальных районов,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муниципальных районов в порядке, установленном Правительством Российской Федерации.</w:t>
      </w:r>
    </w:p>
    <w:p>
      <w:pPr>
        <w:pStyle w:val="Normal"/>
        <w:autoSpaceDE w:val="false"/>
        <w:ind w:firstLine="540"/>
        <w:rPr>
          <w:rFonts w:ascii="Arial" w:hAnsi="Arial" w:cs="Arial"/>
          <w:b/>
          <w:b/>
          <w:bCs/>
          <w:i/>
          <w:i/>
          <w:sz w:val="22"/>
          <w:szCs w:val="22"/>
        </w:rPr>
      </w:pPr>
      <w:r>
        <w:rPr>
          <w:rFonts w:cs="Arial" w:ascii="Arial" w:hAnsi="Arial"/>
          <w:sz w:val="22"/>
          <w:szCs w:val="22"/>
        </w:rPr>
        <w:t>5. На застроенной территории, в отношении которой принято решение о развитии, не могут быть расположены иные объекты капитального строительства, за исключением указанных в частях 3 и 4 настоящей статьи.»</w:t>
      </w:r>
    </w:p>
    <w:p>
      <w:pPr>
        <w:pStyle w:val="Normal"/>
        <w:autoSpaceDE w:val="false"/>
        <w:ind w:firstLine="540"/>
        <w:rPr>
          <w:rFonts w:ascii="Arial" w:hAnsi="Arial" w:cs="Arial"/>
          <w:b/>
          <w:b/>
          <w:bCs/>
          <w:i/>
          <w:i/>
          <w:sz w:val="22"/>
          <w:szCs w:val="22"/>
        </w:rPr>
      </w:pPr>
      <w:r>
        <w:rPr>
          <w:rFonts w:cs="Arial" w:ascii="Arial" w:hAnsi="Arial"/>
          <w:b/>
          <w:bCs/>
          <w:i/>
          <w:sz w:val="22"/>
          <w:szCs w:val="22"/>
        </w:rPr>
      </w:r>
    </w:p>
    <w:p>
      <w:pPr>
        <w:pStyle w:val="Normal"/>
        <w:spacing w:before="0" w:after="0"/>
        <w:contextualSpacing/>
        <w:rPr>
          <w:rFonts w:ascii="Arial" w:hAnsi="Arial" w:cs="Arial"/>
          <w:b/>
          <w:b/>
          <w:i/>
          <w:i/>
          <w:sz w:val="22"/>
          <w:szCs w:val="22"/>
        </w:rPr>
      </w:pPr>
      <w:r>
        <w:rPr>
          <w:rFonts w:cs="Arial" w:ascii="Arial" w:hAnsi="Arial"/>
          <w:sz w:val="22"/>
          <w:szCs w:val="22"/>
        </w:rPr>
        <w:t>7. Главу 4 дополнить   статьями  20.1. -20.4.  следующего содержания:</w:t>
      </w:r>
    </w:p>
    <w:p>
      <w:pPr>
        <w:pStyle w:val="Normal"/>
        <w:rPr/>
      </w:pPr>
      <w:r>
        <w:rPr>
          <w:rStyle w:val="Style15"/>
          <w:rFonts w:eastAsia="Calibri" w:cs="Arial" w:ascii="Arial" w:hAnsi="Arial"/>
          <w:sz w:val="22"/>
          <w:szCs w:val="22"/>
        </w:rPr>
        <w:t>«Статья 20.1 Договор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 В целях строительства многоквартирного дома или жилого дома блокированной застройки, в которых все жилые помещения или определенный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"dst814"</w:instrText>
      </w:r>
      <w:r>
        <w:rPr>
          <w:rStyle w:val="Style21"/>
          <w:sz w:val="22"/>
          <w:szCs w:val="22"/>
          <w:rFonts w:cs="Arial" w:ascii="Arial" w:hAnsi="Arial"/>
        </w:rPr>
        <w:fldChar w:fldCharType="separate"/>
      </w:r>
      <w:r>
        <w:rPr>
          <w:rStyle w:val="Style21"/>
          <w:rFonts w:cs="Arial" w:ascii="Arial" w:hAnsi="Arial"/>
          <w:sz w:val="22"/>
          <w:szCs w:val="22"/>
        </w:rPr>
        <w:t>частью 6</w:t>
      </w:r>
      <w:r>
        <w:rPr>
          <w:rStyle w:val="Style21"/>
          <w:sz w:val="22"/>
          <w:szCs w:val="22"/>
          <w:rFonts w:cs="Arial" w:ascii="Arial" w:hAnsi="Arial"/>
        </w:rPr>
        <w:fldChar w:fldCharType="end"/>
      </w:r>
      <w:r>
        <w:rPr>
          <w:rFonts w:cs="Arial" w:ascii="Arial" w:hAnsi="Arial"/>
          <w:sz w:val="22"/>
          <w:szCs w:val="22"/>
        </w:rPr>
        <w:t> настоящей статьи минимальный объем жилых помещений соответствуют </w:t>
      </w:r>
      <w:r>
        <w:fldChar w:fldCharType="begin"/>
      </w:r>
      <w:r>
        <w:rPr>
          <w:rStyle w:val="Style21"/>
          <w:sz w:val="22"/>
          <w:szCs w:val="22"/>
          <w:rFonts w:cs="Arial" w:ascii="Arial" w:hAnsi="Arial"/>
        </w:rPr>
        <w:instrText> HYPERLINK "http://www.consultant.ru/document/cons_doc_LAW_210661/" \l "dst100012"</w:instrText>
      </w:r>
      <w:r>
        <w:rPr>
          <w:rStyle w:val="Style21"/>
          <w:sz w:val="22"/>
          <w:szCs w:val="22"/>
          <w:rFonts w:cs="Arial" w:ascii="Arial" w:hAnsi="Arial"/>
        </w:rPr>
        <w:fldChar w:fldCharType="separate"/>
      </w:r>
      <w:r>
        <w:rPr>
          <w:rStyle w:val="Style21"/>
          <w:rFonts w:cs="Arial" w:ascii="Arial" w:hAnsi="Arial"/>
          <w:sz w:val="22"/>
          <w:szCs w:val="22"/>
        </w:rPr>
        <w:t>условиям</w:t>
      </w:r>
      <w:r>
        <w:rPr>
          <w:rStyle w:val="Style21"/>
          <w:sz w:val="22"/>
          <w:szCs w:val="22"/>
          <w:rFonts w:cs="Arial" w:ascii="Arial" w:hAnsi="Arial"/>
        </w:rPr>
        <w:fldChar w:fldCharType="end"/>
      </w:r>
      <w:r>
        <w:rPr>
          <w:rFonts w:cs="Arial" w:ascii="Arial" w:hAnsi="Arial"/>
          <w:sz w:val="22"/>
          <w:szCs w:val="22"/>
        </w:rPr>
        <w:t> отнесения к жилью экономического класса,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(далее также - жилье экономического класса), и подлежат передаче или продаже по заключенным в сроки, указанные в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части 10</w:t>
      </w:r>
      <w:r>
        <w:rPr>
          <w:rStyle w:val="Style21"/>
          <w:sz w:val="22"/>
          <w:szCs w:val="22"/>
          <w:rFonts w:cs="Arial" w:ascii="Arial" w:hAnsi="Arial"/>
        </w:rPr>
        <w:fldChar w:fldCharType="end"/>
      </w:r>
      <w:r>
        <w:rPr>
          <w:rFonts w:cs="Arial" w:ascii="Arial" w:hAnsi="Arial"/>
          <w:sz w:val="22"/>
          <w:szCs w:val="22"/>
        </w:rPr>
        <w:t> настоящей статьи, договорам участия в долевом строительстве такого дома в соответствии с Федеральным </w:t>
      </w:r>
      <w:hyperlink r:id="rId4">
        <w:r>
          <w:rPr>
            <w:rStyle w:val="Style21"/>
            <w:rFonts w:cs="Arial" w:ascii="Arial" w:hAnsi="Arial"/>
            <w:sz w:val="22"/>
            <w:szCs w:val="22"/>
          </w:rPr>
          <w:t>законом</w:t>
        </w:r>
      </w:hyperlink>
      <w:r>
        <w:rPr>
          <w:rFonts w:cs="Arial" w:ascii="Arial" w:hAnsi="Arial"/>
          <w:sz w:val="22"/>
          <w:szCs w:val="22"/>
        </w:rPr>
        <w:t>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(далее - договоры участия в долевом строительстве жилья экономического класса) или договорам купли-продажи жилья экономического класса гражданам, имеющим в соответствии с законодательством Российской Федерации, нормативными правовыми актами субъектов Российской Федерации право на приобретение жилья экономического класса (далее - граждане, имеющие право на приобретение жилья экономического класса), и (или) по государственным и (или) муниципальным контрактам на приобретение жилья экономического класса, заключается договор об освоении территории в целях строительства жилья экономического класса. Цена одного квадратного метра общей площади жилого помещения по таким договорам участия в долевом строительстве, договорам купли-продажи, государственным, муниципальным контрактам не может превышать цену, указанную в протоколе о результатах аукциона на право заключения договора об освоении территории в целях строительства жилья экономического класса, либо в случаях, предусмотренных </w:t>
      </w:r>
      <w:r>
        <w:fldChar w:fldCharType="begin"/>
      </w:r>
      <w:r>
        <w:rPr>
          <w:rStyle w:val="Style21"/>
          <w:sz w:val="22"/>
          <w:szCs w:val="22"/>
          <w:rFonts w:cs="Arial" w:ascii="Arial" w:hAnsi="Arial"/>
        </w:rPr>
        <w:instrText> HYPERLINK "http://www.consultant.ru/document/cons_doc_LAW_51040/2ae2be925a5986af55bf95286e73d1e17b501157/" \l "dst916"</w:instrText>
      </w:r>
      <w:r>
        <w:rPr>
          <w:rStyle w:val="Style21"/>
          <w:sz w:val="22"/>
          <w:szCs w:val="22"/>
          <w:rFonts w:cs="Arial" w:ascii="Arial" w:hAnsi="Arial"/>
        </w:rPr>
        <w:fldChar w:fldCharType="separate"/>
      </w:r>
      <w:r>
        <w:rPr>
          <w:rStyle w:val="Style21"/>
          <w:rFonts w:cs="Arial" w:ascii="Arial" w:hAnsi="Arial"/>
          <w:sz w:val="22"/>
          <w:szCs w:val="22"/>
        </w:rPr>
        <w:t>частями 24</w:t>
      </w:r>
      <w:r>
        <w:rPr>
          <w:rStyle w:val="Style21"/>
          <w:sz w:val="22"/>
          <w:szCs w:val="22"/>
          <w:rFonts w:cs="Arial" w:ascii="Arial" w:hAnsi="Arial"/>
        </w:rPr>
        <w:fldChar w:fldCharType="end"/>
      </w:r>
      <w:r>
        <w:rPr>
          <w:rFonts w:cs="Arial" w:ascii="Arial" w:hAnsi="Arial"/>
          <w:sz w:val="22"/>
          <w:szCs w:val="22"/>
        </w:rPr>
        <w:t> - </w:t>
      </w:r>
      <w:r>
        <w:fldChar w:fldCharType="begin"/>
      </w:r>
      <w:r>
        <w:rPr>
          <w:rStyle w:val="Style21"/>
          <w:sz w:val="22"/>
          <w:szCs w:val="22"/>
          <w:rFonts w:cs="Arial" w:ascii="Arial" w:hAnsi="Arial"/>
        </w:rPr>
        <w:instrText> HYPERLINK "http://www.consultant.ru/document/cons_doc_LAW_51040/2ae2be925a5986af55bf95286e73d1e17b501157/" \l "dst918"</w:instrText>
      </w:r>
      <w:r>
        <w:rPr>
          <w:rStyle w:val="Style21"/>
          <w:sz w:val="22"/>
          <w:szCs w:val="22"/>
          <w:rFonts w:cs="Arial" w:ascii="Arial" w:hAnsi="Arial"/>
        </w:rPr>
        <w:fldChar w:fldCharType="separate"/>
      </w:r>
      <w:r>
        <w:rPr>
          <w:rStyle w:val="Style21"/>
          <w:rFonts w:cs="Arial" w:ascii="Arial" w:hAnsi="Arial"/>
          <w:sz w:val="22"/>
          <w:szCs w:val="22"/>
        </w:rPr>
        <w:t>26 статьи 46.7</w:t>
      </w:r>
      <w:r>
        <w:rPr>
          <w:rStyle w:val="Style21"/>
          <w:sz w:val="22"/>
          <w:szCs w:val="22"/>
          <w:rFonts w:cs="Arial" w:ascii="Arial" w:hAnsi="Arial"/>
        </w:rPr>
        <w:fldChar w:fldCharType="end"/>
      </w:r>
      <w:r>
        <w:rPr>
          <w:rFonts w:cs="Arial" w:ascii="Arial" w:hAnsi="Arial"/>
          <w:sz w:val="22"/>
          <w:szCs w:val="22"/>
        </w:rPr>
        <w:t> Градостроительного кодекса РФ, начальную цену предмета аукциона (далее в настоящей статье - максимальная цена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0" w:name="dst796"/>
      <w:bookmarkEnd w:id="0"/>
      <w:r>
        <w:rPr>
          <w:rFonts w:cs="Arial" w:ascii="Arial" w:hAnsi="Arial"/>
          <w:sz w:val="22"/>
          <w:szCs w:val="22"/>
        </w:rPr>
        <w:t>2. Договор об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освоения территории в целях строительства жилья экономического класса в соответствии с данным договором, с победителем аукциона на право заключения данного договора или лицом, имеющим право заключить данный договор в соответствии с </w:t>
      </w:r>
      <w:r>
        <w:fldChar w:fldCharType="begin"/>
      </w:r>
      <w:r>
        <w:rPr>
          <w:rStyle w:val="Style21"/>
          <w:sz w:val="22"/>
          <w:szCs w:val="22"/>
          <w:rFonts w:cs="Arial" w:ascii="Arial" w:hAnsi="Arial"/>
        </w:rPr>
        <w:instrText> HYPERLINK "http://www.consultant.ru/document/cons_doc_LAW_51040/2ae2be925a5986af55bf95286e73d1e17b501157/" \l "dst916"</w:instrText>
      </w:r>
      <w:r>
        <w:rPr>
          <w:rStyle w:val="Style21"/>
          <w:sz w:val="22"/>
          <w:szCs w:val="22"/>
          <w:rFonts w:cs="Arial" w:ascii="Arial" w:hAnsi="Arial"/>
        </w:rPr>
        <w:fldChar w:fldCharType="separate"/>
      </w:r>
      <w:r>
        <w:rPr>
          <w:rStyle w:val="Style21"/>
          <w:rFonts w:cs="Arial" w:ascii="Arial" w:hAnsi="Arial"/>
          <w:sz w:val="22"/>
          <w:szCs w:val="22"/>
        </w:rPr>
        <w:t>частями 24</w:t>
      </w:r>
      <w:r>
        <w:rPr>
          <w:rStyle w:val="Style21"/>
          <w:sz w:val="22"/>
          <w:szCs w:val="22"/>
          <w:rFonts w:cs="Arial" w:ascii="Arial" w:hAnsi="Arial"/>
        </w:rPr>
        <w:fldChar w:fldCharType="end"/>
      </w:r>
      <w:r>
        <w:rPr>
          <w:rFonts w:cs="Arial" w:ascii="Arial" w:hAnsi="Arial"/>
          <w:sz w:val="22"/>
          <w:szCs w:val="22"/>
        </w:rPr>
        <w:t> - </w:t>
      </w:r>
      <w:r>
        <w:fldChar w:fldCharType="begin"/>
      </w:r>
      <w:r>
        <w:rPr>
          <w:rStyle w:val="Style21"/>
          <w:sz w:val="22"/>
          <w:szCs w:val="22"/>
          <w:rFonts w:cs="Arial" w:ascii="Arial" w:hAnsi="Arial"/>
        </w:rPr>
        <w:instrText> HYPERLINK "http://www.consultant.ru/document/cons_doc_LAW_51040/2ae2be925a5986af55bf95286e73d1e17b501157/" \l "dst919"</w:instrText>
      </w:r>
      <w:r>
        <w:rPr>
          <w:rStyle w:val="Style21"/>
          <w:sz w:val="22"/>
          <w:szCs w:val="22"/>
          <w:rFonts w:cs="Arial" w:ascii="Arial" w:hAnsi="Arial"/>
        </w:rPr>
        <w:fldChar w:fldCharType="separate"/>
      </w:r>
      <w:r>
        <w:rPr>
          <w:rStyle w:val="Style21"/>
          <w:rFonts w:cs="Arial" w:ascii="Arial" w:hAnsi="Arial"/>
          <w:sz w:val="22"/>
          <w:szCs w:val="22"/>
        </w:rPr>
        <w:t>27 статьи 46.7</w:t>
      </w:r>
      <w:r>
        <w:rPr>
          <w:rStyle w:val="Style21"/>
          <w:sz w:val="22"/>
          <w:szCs w:val="22"/>
          <w:rFonts w:cs="Arial" w:ascii="Arial" w:hAnsi="Arial"/>
        </w:rPr>
        <w:fldChar w:fldCharType="end"/>
      </w:r>
      <w:r>
        <w:rPr>
          <w:rFonts w:cs="Arial" w:ascii="Arial" w:hAnsi="Arial"/>
          <w:sz w:val="22"/>
          <w:szCs w:val="22"/>
        </w:rPr>
        <w:t> Градостроительного кодекса РФ (далее в настоящей статье - лицо, заключившее договор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1" w:name="dst797"/>
      <w:bookmarkEnd w:id="1"/>
      <w:r>
        <w:rPr>
          <w:rFonts w:cs="Arial" w:ascii="Arial" w:hAnsi="Arial"/>
          <w:sz w:val="22"/>
          <w:szCs w:val="22"/>
        </w:rPr>
        <w:t>3. Отдельные права и обязанности указанных в </w:t>
      </w:r>
      <w:r>
        <w:fldChar w:fldCharType="begin"/>
      </w:r>
      <w:r>
        <w:rPr>
          <w:rStyle w:val="Style21"/>
          <w:sz w:val="22"/>
          <w:szCs w:val="22"/>
          <w:rFonts w:cs="Arial" w:ascii="Arial" w:hAnsi="Arial"/>
        </w:rPr>
        <w:instrText> HYPERLINK "http://www.consultant.ru/document/cons_doc_LAW_51040/4ca2927cf88949f634af8d777b5effabc2f8b87e/" \l "dst796"</w:instrText>
      </w:r>
      <w:r>
        <w:rPr>
          <w:rStyle w:val="Style21"/>
          <w:sz w:val="22"/>
          <w:szCs w:val="22"/>
          <w:rFonts w:cs="Arial" w:ascii="Arial" w:hAnsi="Arial"/>
        </w:rPr>
        <w:fldChar w:fldCharType="separate"/>
      </w:r>
      <w:r>
        <w:rPr>
          <w:rStyle w:val="Style21"/>
          <w:rFonts w:cs="Arial" w:ascii="Arial" w:hAnsi="Arial"/>
          <w:sz w:val="22"/>
          <w:szCs w:val="22"/>
        </w:rPr>
        <w:t>части 2</w:t>
      </w:r>
      <w:r>
        <w:rPr>
          <w:rStyle w:val="Style21"/>
          <w:sz w:val="22"/>
          <w:szCs w:val="22"/>
          <w:rFonts w:cs="Arial" w:ascii="Arial" w:hAnsi="Arial"/>
        </w:rPr>
        <w:fldChar w:fldCharType="end"/>
      </w:r>
      <w:r>
        <w:rPr>
          <w:rFonts w:cs="Arial" w:ascii="Arial" w:hAnsi="Arial"/>
          <w:sz w:val="22"/>
          <w:szCs w:val="22"/>
        </w:rPr>
        <w:t> настоящей статьи исполнительного органа государственной власти или органа местного самоуправления по договору об освоении территории в целях строительства жилья экономического класса, предусмотренные </w:t>
      </w:r>
      <w:r>
        <w:fldChar w:fldCharType="begin"/>
      </w:r>
      <w:r>
        <w:rPr>
          <w:rStyle w:val="Style21"/>
          <w:sz w:val="22"/>
          <w:szCs w:val="22"/>
          <w:rFonts w:cs="Arial" w:ascii="Arial" w:hAnsi="Arial"/>
        </w:rPr>
        <w:instrText> HYPERLINK "http://www.consultant.ru/document/cons_doc_LAW_51040/4ca2927cf88949f634af8d777b5effabc2f8b87e/" \l "dst798"</w:instrText>
      </w:r>
      <w:r>
        <w:rPr>
          <w:rStyle w:val="Style21"/>
          <w:sz w:val="22"/>
          <w:szCs w:val="22"/>
          <w:rFonts w:cs="Arial" w:ascii="Arial" w:hAnsi="Arial"/>
        </w:rPr>
        <w:fldChar w:fldCharType="separate"/>
      </w:r>
      <w:r>
        <w:rPr>
          <w:rStyle w:val="Style21"/>
          <w:rFonts w:cs="Arial" w:ascii="Arial" w:hAnsi="Arial"/>
          <w:sz w:val="22"/>
          <w:szCs w:val="22"/>
        </w:rPr>
        <w:t>частями 4</w:t>
      </w:r>
      <w:r>
        <w:rPr>
          <w:rStyle w:val="Style21"/>
          <w:sz w:val="22"/>
          <w:szCs w:val="22"/>
          <w:rFonts w:cs="Arial" w:ascii="Arial" w:hAnsi="Arial"/>
        </w:rPr>
        <w:fldChar w:fldCharType="end"/>
      </w:r>
      <w:r>
        <w:rPr>
          <w:rFonts w:cs="Arial" w:ascii="Arial" w:hAnsi="Arial"/>
          <w:sz w:val="22"/>
          <w:szCs w:val="22"/>
        </w:rPr>
        <w:t> и </w:t>
      </w:r>
      <w:r>
        <w:fldChar w:fldCharType="begin"/>
      </w:r>
      <w:r>
        <w:rPr>
          <w:rStyle w:val="Style21"/>
          <w:sz w:val="22"/>
          <w:szCs w:val="22"/>
          <w:rFonts w:cs="Arial" w:ascii="Arial" w:hAnsi="Arial"/>
        </w:rPr>
        <w:instrText> HYPERLINK "http://www.consultant.ru/document/cons_doc_LAW_51040/4ca2927cf88949f634af8d777b5effabc2f8b87e/" \l "dst810"</w:instrText>
      </w:r>
      <w:r>
        <w:rPr>
          <w:rStyle w:val="Style21"/>
          <w:sz w:val="22"/>
          <w:szCs w:val="22"/>
          <w:rFonts w:cs="Arial" w:ascii="Arial" w:hAnsi="Arial"/>
        </w:rPr>
        <w:fldChar w:fldCharType="separate"/>
      </w:r>
      <w:r>
        <w:rPr>
          <w:rStyle w:val="Style21"/>
          <w:rFonts w:cs="Arial" w:ascii="Arial" w:hAnsi="Arial"/>
          <w:sz w:val="22"/>
          <w:szCs w:val="22"/>
        </w:rPr>
        <w:t>5</w:t>
      </w:r>
      <w:r>
        <w:rPr>
          <w:rStyle w:val="Style21"/>
          <w:sz w:val="22"/>
          <w:szCs w:val="22"/>
          <w:rFonts w:cs="Arial" w:ascii="Arial" w:hAnsi="Arial"/>
        </w:rPr>
        <w:fldChar w:fldCharType="end"/>
      </w:r>
      <w:r>
        <w:rPr>
          <w:rFonts w:cs="Arial" w:ascii="Arial" w:hAnsi="Arial"/>
          <w:sz w:val="22"/>
          <w:szCs w:val="22"/>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r>
        <w:fldChar w:fldCharType="begin"/>
      </w:r>
      <w:r>
        <w:rPr>
          <w:rStyle w:val="Style21"/>
          <w:sz w:val="22"/>
          <w:szCs w:val="22"/>
          <w:rFonts w:cs="Arial" w:ascii="Arial" w:hAnsi="Arial"/>
        </w:rPr>
        <w:instrText> HYPERLINK "http://www.consultant.ru/document/cons_doc_LAW_51040/4ca2927cf88949f634af8d777b5effabc2f8b87e/" \l "dst796"</w:instrText>
      </w:r>
      <w:r>
        <w:rPr>
          <w:rStyle w:val="Style21"/>
          <w:sz w:val="22"/>
          <w:szCs w:val="22"/>
          <w:rFonts w:cs="Arial" w:ascii="Arial" w:hAnsi="Arial"/>
        </w:rPr>
        <w:fldChar w:fldCharType="separate"/>
      </w:r>
      <w:r>
        <w:rPr>
          <w:rStyle w:val="Style21"/>
          <w:rFonts w:cs="Arial" w:ascii="Arial" w:hAnsi="Arial"/>
          <w:sz w:val="22"/>
          <w:szCs w:val="22"/>
        </w:rPr>
        <w:t>части 2</w:t>
      </w:r>
      <w:r>
        <w:rPr>
          <w:rStyle w:val="Style21"/>
          <w:sz w:val="22"/>
          <w:szCs w:val="22"/>
          <w:rFonts w:cs="Arial" w:ascii="Arial" w:hAnsi="Arial"/>
        </w:rPr>
        <w:fldChar w:fldCharType="end"/>
      </w:r>
      <w:r>
        <w:rPr>
          <w:rFonts w:cs="Arial" w:ascii="Arial" w:hAnsi="Arial"/>
          <w:sz w:val="22"/>
          <w:szCs w:val="22"/>
        </w:rPr>
        <w:t> настоящей статьи исполнительным органом государственной власти или органом местного самоуправления соглашениями (договорами).</w:t>
      </w:r>
    </w:p>
    <w:p>
      <w:pPr>
        <w:pStyle w:val="Normal"/>
        <w:autoSpaceDE w:val="false"/>
        <w:ind w:firstLine="540"/>
        <w:rPr>
          <w:rFonts w:ascii="Arial" w:hAnsi="Arial" w:cs="Arial"/>
          <w:b/>
          <w:b/>
          <w:bCs/>
          <w:i/>
          <w:i/>
          <w:sz w:val="22"/>
          <w:szCs w:val="22"/>
        </w:rPr>
      </w:pPr>
      <w:bookmarkStart w:id="2" w:name="dst798"/>
      <w:bookmarkEnd w:id="2"/>
      <w:r>
        <w:rPr>
          <w:rFonts w:cs="Arial" w:ascii="Arial" w:hAnsi="Arial"/>
          <w:sz w:val="22"/>
          <w:szCs w:val="22"/>
        </w:rPr>
        <w:t>4. В договоре об освоении территории в целях строительства жилья экономического класса содержатся:</w:t>
      </w:r>
    </w:p>
    <w:p>
      <w:pPr>
        <w:pStyle w:val="Normal"/>
        <w:autoSpaceDE w:val="false"/>
        <w:ind w:firstLine="540"/>
        <w:rPr>
          <w:rFonts w:ascii="Arial" w:hAnsi="Arial" w:cs="Arial"/>
          <w:b/>
          <w:b/>
          <w:bCs/>
          <w:i/>
          <w:i/>
          <w:sz w:val="22"/>
          <w:szCs w:val="22"/>
        </w:rPr>
      </w:pPr>
      <w:bookmarkStart w:id="3" w:name="dst799"/>
      <w:bookmarkEnd w:id="3"/>
      <w:r>
        <w:rPr>
          <w:rFonts w:cs="Arial" w:ascii="Arial" w:hAnsi="Arial"/>
          <w:sz w:val="22"/>
          <w:szCs w:val="22"/>
        </w:rPr>
        <w:t>1) сведения о земельном участке, предоставляемом лицу, заключившему данный договор, для освоения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4" w:name="dst800"/>
      <w:bookmarkEnd w:id="4"/>
      <w:r>
        <w:rPr>
          <w:rFonts w:cs="Arial" w:ascii="Arial" w:hAnsi="Arial"/>
          <w:sz w:val="22"/>
          <w:szCs w:val="22"/>
        </w:rPr>
        <w:t>2) обязательство лица, заключившего данный договор, обеспечить строительство на земельном участке многоквартирного дома или жилого дома блокированной застройки, в которых все жилые помещения или определенный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"dst814"</w:instrText>
      </w:r>
      <w:r>
        <w:rPr>
          <w:rStyle w:val="Style21"/>
          <w:sz w:val="22"/>
          <w:szCs w:val="22"/>
          <w:rFonts w:cs="Arial" w:ascii="Arial" w:hAnsi="Arial"/>
        </w:rPr>
        <w:fldChar w:fldCharType="separate"/>
      </w:r>
      <w:r>
        <w:rPr>
          <w:rStyle w:val="Style21"/>
          <w:rFonts w:cs="Arial" w:ascii="Arial" w:hAnsi="Arial"/>
          <w:sz w:val="22"/>
          <w:szCs w:val="22"/>
        </w:rPr>
        <w:t>частью 6</w:t>
      </w:r>
      <w:r>
        <w:rPr>
          <w:rStyle w:val="Style21"/>
          <w:sz w:val="22"/>
          <w:szCs w:val="22"/>
          <w:rFonts w:cs="Arial" w:ascii="Arial" w:hAnsi="Arial"/>
        </w:rPr>
        <w:fldChar w:fldCharType="end"/>
      </w:r>
      <w:r>
        <w:rPr>
          <w:rFonts w:cs="Arial" w:ascii="Arial" w:hAnsi="Arial"/>
          <w:sz w:val="22"/>
          <w:szCs w:val="22"/>
        </w:rPr>
        <w:t> настоящей статьи минимальный объем жилых помещений соответствуют условиям отнесения к жилью экономического класса, и ввод такого дома в эксплуатацию, максимальный срок выполнения этого обязательства;</w:t>
      </w:r>
    </w:p>
    <w:p>
      <w:pPr>
        <w:pStyle w:val="Normal"/>
        <w:autoSpaceDE w:val="false"/>
        <w:ind w:firstLine="540"/>
        <w:rPr>
          <w:rFonts w:ascii="Arial" w:hAnsi="Arial" w:cs="Arial"/>
          <w:b/>
          <w:b/>
          <w:bCs/>
          <w:i/>
          <w:i/>
          <w:sz w:val="22"/>
          <w:szCs w:val="22"/>
        </w:rPr>
      </w:pPr>
      <w:bookmarkStart w:id="5" w:name="dst801"/>
      <w:bookmarkEnd w:id="5"/>
      <w:r>
        <w:rPr>
          <w:rFonts w:cs="Arial" w:ascii="Arial" w:hAnsi="Arial"/>
          <w:sz w:val="22"/>
          <w:szCs w:val="22"/>
        </w:rPr>
        <w:t>3) обязательство лица, заключившего данный договор, заключить в сроки, указанные в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части 10</w:t>
      </w:r>
      <w:r>
        <w:rPr>
          <w:rStyle w:val="Style21"/>
          <w:sz w:val="22"/>
          <w:szCs w:val="22"/>
          <w:rFonts w:cs="Arial" w:ascii="Arial" w:hAnsi="Arial"/>
        </w:rPr>
        <w:fldChar w:fldCharType="end"/>
      </w:r>
      <w:r>
        <w:rPr>
          <w:rFonts w:cs="Arial" w:ascii="Arial" w:hAnsi="Arial"/>
          <w:sz w:val="22"/>
          <w:szCs w:val="22"/>
        </w:rPr>
        <w:t> настоящей статьи, с гражданами, имеющими право на приобретение жилья экономического класса, договоры участия в долевом строительстве жилья экономического класса или договоры купли-продажи жилья экономического класса в отношении жилых помещений в многоквартирном доме или жилом доме блокированной застройки, строительство которых осуществляется в соответствии с договором об освоении территории в целях строительства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6" w:name="dst802"/>
      <w:bookmarkEnd w:id="6"/>
      <w:r>
        <w:rPr>
          <w:rFonts w:cs="Arial" w:ascii="Arial" w:hAnsi="Arial"/>
          <w:sz w:val="22"/>
          <w:szCs w:val="22"/>
        </w:rPr>
        <w:t>4) максимальная цена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7" w:name="dst803"/>
      <w:bookmarkEnd w:id="7"/>
      <w:r>
        <w:rPr>
          <w:rFonts w:cs="Arial" w:ascii="Arial" w:hAnsi="Arial"/>
          <w:sz w:val="22"/>
          <w:szCs w:val="22"/>
        </w:rPr>
        <w:t>5) право лица, заключившего данный договор, по истечении срока, предусмотренного </w:t>
      </w:r>
      <w:r>
        <w:fldChar w:fldCharType="begin"/>
      </w:r>
      <w:r>
        <w:rPr>
          <w:rStyle w:val="Style21"/>
          <w:sz w:val="22"/>
          <w:szCs w:val="22"/>
          <w:rFonts w:cs="Arial" w:ascii="Arial" w:hAnsi="Arial"/>
        </w:rPr>
        <w:instrText> HYPERLINK "http://www.consultant.ru/document/cons_doc_LAW_51040/4ca2927cf88949f634af8d777b5effabc2f8b87e/" \l "dst824"</w:instrText>
      </w:r>
      <w:r>
        <w:rPr>
          <w:rStyle w:val="Style21"/>
          <w:sz w:val="22"/>
          <w:szCs w:val="22"/>
          <w:rFonts w:cs="Arial" w:ascii="Arial" w:hAnsi="Arial"/>
        </w:rPr>
        <w:fldChar w:fldCharType="separate"/>
      </w:r>
      <w:r>
        <w:rPr>
          <w:rStyle w:val="Style21"/>
          <w:rFonts w:cs="Arial" w:ascii="Arial" w:hAnsi="Arial"/>
          <w:sz w:val="22"/>
          <w:szCs w:val="22"/>
        </w:rPr>
        <w:t>пунктом 2 части 10</w:t>
      </w:r>
      <w:r>
        <w:rPr>
          <w:rStyle w:val="Style21"/>
          <w:sz w:val="22"/>
          <w:szCs w:val="22"/>
          <w:rFonts w:cs="Arial" w:ascii="Arial" w:hAnsi="Arial"/>
        </w:rPr>
        <w:fldChar w:fldCharType="end"/>
      </w:r>
      <w:r>
        <w:rPr>
          <w:rFonts w:cs="Arial" w:ascii="Arial" w:hAnsi="Arial"/>
          <w:sz w:val="22"/>
          <w:szCs w:val="22"/>
        </w:rPr>
        <w:t> настоящей статьи, на распоряжение предусмотренными </w:t>
      </w:r>
      <w:r>
        <w:fldChar w:fldCharType="begin"/>
      </w:r>
      <w:r>
        <w:rPr>
          <w:rStyle w:val="Style21"/>
          <w:sz w:val="22"/>
          <w:szCs w:val="22"/>
          <w:rFonts w:cs="Arial" w:ascii="Arial" w:hAnsi="Arial"/>
        </w:rPr>
        <w:instrText> HYPERLINK "http://www.consultant.ru/document/cons_doc_LAW_51040/4ca2927cf88949f634af8d777b5effabc2f8b87e/" \l "dst800"</w:instrText>
      </w:r>
      <w:r>
        <w:rPr>
          <w:rStyle w:val="Style21"/>
          <w:sz w:val="22"/>
          <w:szCs w:val="22"/>
          <w:rFonts w:cs="Arial" w:ascii="Arial" w:hAnsi="Arial"/>
        </w:rPr>
        <w:fldChar w:fldCharType="separate"/>
      </w:r>
      <w:r>
        <w:rPr>
          <w:rStyle w:val="Style21"/>
          <w:rFonts w:cs="Arial" w:ascii="Arial" w:hAnsi="Arial"/>
          <w:sz w:val="22"/>
          <w:szCs w:val="22"/>
        </w:rPr>
        <w:t>пунктом 2</w:t>
      </w:r>
      <w:r>
        <w:rPr>
          <w:rStyle w:val="Style21"/>
          <w:sz w:val="22"/>
          <w:szCs w:val="22"/>
          <w:rFonts w:cs="Arial" w:ascii="Arial" w:hAnsi="Arial"/>
        </w:rPr>
        <w:fldChar w:fldCharType="end"/>
      </w:r>
      <w:r>
        <w:rPr>
          <w:rFonts w:cs="Arial" w:ascii="Arial" w:hAnsi="Arial"/>
          <w:sz w:val="22"/>
          <w:szCs w:val="22"/>
        </w:rPr>
        <w:t> настоящей части жилыми помещениями без ограничений, установленных данным договором;</w:t>
      </w:r>
    </w:p>
    <w:p>
      <w:pPr>
        <w:pStyle w:val="Normal"/>
        <w:autoSpaceDE w:val="false"/>
        <w:ind w:firstLine="540"/>
        <w:rPr>
          <w:rFonts w:ascii="Arial" w:hAnsi="Arial" w:cs="Arial"/>
          <w:b/>
          <w:b/>
          <w:bCs/>
          <w:i/>
          <w:i/>
          <w:sz w:val="22"/>
          <w:szCs w:val="22"/>
        </w:rPr>
      </w:pPr>
      <w:bookmarkStart w:id="8" w:name="dst804"/>
      <w:bookmarkEnd w:id="8"/>
      <w:r>
        <w:rPr>
          <w:rFonts w:cs="Arial" w:ascii="Arial" w:hAnsi="Arial"/>
          <w:sz w:val="22"/>
          <w:szCs w:val="22"/>
        </w:rPr>
        <w:t>6) максимальная доля общей площади нежилых помещений в многоквартирном доме, за исключением помещений общего пользования, в общей площади всех жилых и нежилых помещений в таком доме, если данным договором предусмотрено строительство многоквартирного дома;</w:t>
      </w:r>
    </w:p>
    <w:p>
      <w:pPr>
        <w:pStyle w:val="Normal"/>
        <w:autoSpaceDE w:val="false"/>
        <w:ind w:firstLine="540"/>
        <w:rPr>
          <w:rFonts w:ascii="Arial" w:hAnsi="Arial" w:cs="Arial"/>
          <w:b/>
          <w:b/>
          <w:bCs/>
          <w:i/>
          <w:i/>
          <w:sz w:val="22"/>
          <w:szCs w:val="22"/>
        </w:rPr>
      </w:pPr>
      <w:bookmarkStart w:id="9" w:name="dst805"/>
      <w:bookmarkEnd w:id="9"/>
      <w:r>
        <w:rPr>
          <w:rFonts w:cs="Arial" w:ascii="Arial" w:hAnsi="Arial"/>
          <w:sz w:val="22"/>
          <w:szCs w:val="22"/>
        </w:rPr>
        <w:t>7) обязательство лица, заключившего данный договор, осуществить предусмотренные данным договором мероприятия по благоустройству земельного участка, указанного в </w:t>
      </w:r>
      <w:r>
        <w:fldChar w:fldCharType="begin"/>
      </w:r>
      <w:r>
        <w:rPr>
          <w:rStyle w:val="Style21"/>
          <w:sz w:val="22"/>
          <w:szCs w:val="22"/>
          <w:rFonts w:cs="Arial" w:ascii="Arial" w:hAnsi="Arial"/>
        </w:rPr>
        <w:instrText> HYPERLINK "http://www.consultant.ru/document/cons_doc_LAW_51040/4ca2927cf88949f634af8d777b5effabc2f8b87e/" \l "dst799"</w:instrText>
      </w:r>
      <w:r>
        <w:rPr>
          <w:rStyle w:val="Style21"/>
          <w:sz w:val="22"/>
          <w:szCs w:val="22"/>
          <w:rFonts w:cs="Arial" w:ascii="Arial" w:hAnsi="Arial"/>
        </w:rPr>
        <w:fldChar w:fldCharType="separate"/>
      </w:r>
      <w:r>
        <w:rPr>
          <w:rStyle w:val="Style21"/>
          <w:rFonts w:cs="Arial" w:ascii="Arial" w:hAnsi="Arial"/>
          <w:sz w:val="22"/>
          <w:szCs w:val="22"/>
        </w:rPr>
        <w:t>пункте 1</w:t>
      </w:r>
      <w:r>
        <w:rPr>
          <w:rStyle w:val="Style21"/>
          <w:sz w:val="22"/>
          <w:szCs w:val="22"/>
          <w:rFonts w:cs="Arial" w:ascii="Arial" w:hAnsi="Arial"/>
        </w:rPr>
        <w:fldChar w:fldCharType="end"/>
      </w:r>
      <w:r>
        <w:rPr>
          <w:rFonts w:cs="Arial" w:ascii="Arial" w:hAnsi="Arial"/>
          <w:sz w:val="22"/>
          <w:szCs w:val="22"/>
        </w:rPr>
        <w:t> настоящей части, в том числе озеленению, в срок, установленный данным договором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"dst800"</w:instrText>
      </w:r>
      <w:r>
        <w:rPr>
          <w:rStyle w:val="Style21"/>
          <w:sz w:val="22"/>
          <w:szCs w:val="22"/>
          <w:rFonts w:cs="Arial" w:ascii="Arial" w:hAnsi="Arial"/>
        </w:rPr>
        <w:fldChar w:fldCharType="separate"/>
      </w:r>
      <w:r>
        <w:rPr>
          <w:rStyle w:val="Style21"/>
          <w:rFonts w:cs="Arial" w:ascii="Arial" w:hAnsi="Arial"/>
          <w:sz w:val="22"/>
          <w:szCs w:val="22"/>
        </w:rPr>
        <w:t>пунктом 2</w:t>
      </w:r>
      <w:r>
        <w:rPr>
          <w:rStyle w:val="Style21"/>
          <w:sz w:val="22"/>
          <w:szCs w:val="22"/>
          <w:rFonts w:cs="Arial" w:ascii="Arial" w:hAnsi="Arial"/>
        </w:rPr>
        <w:fldChar w:fldCharType="end"/>
      </w:r>
      <w:r>
        <w:rPr>
          <w:rFonts w:cs="Arial" w:ascii="Arial" w:hAnsi="Arial"/>
          <w:sz w:val="22"/>
          <w:szCs w:val="22"/>
        </w:rPr>
        <w:t> настоящей части;</w:t>
      </w:r>
    </w:p>
    <w:p>
      <w:pPr>
        <w:pStyle w:val="Normal"/>
        <w:autoSpaceDE w:val="false"/>
        <w:ind w:firstLine="540"/>
        <w:rPr>
          <w:rFonts w:ascii="Arial" w:hAnsi="Arial" w:cs="Arial"/>
          <w:b/>
          <w:b/>
          <w:bCs/>
          <w:i/>
          <w:i/>
          <w:sz w:val="22"/>
          <w:szCs w:val="22"/>
        </w:rPr>
      </w:pPr>
      <w:bookmarkStart w:id="10" w:name="dst806"/>
      <w:bookmarkEnd w:id="10"/>
      <w:r>
        <w:rPr>
          <w:rFonts w:cs="Arial" w:ascii="Arial" w:hAnsi="Arial"/>
          <w:sz w:val="22"/>
          <w:szCs w:val="22"/>
        </w:rPr>
        <w:t>8) обязательство исполнительного органа государственной власти или органа местного самоуправления, заключивших данный договор, обеспечить своими силами и за свой счет и (или) с привлечением других лиц и (или) средств других лиц осуществление мероприятий, необходимых для подключения (технологического присоединения) построенного в соответствии с данным договором объекта капитального строительства к сетям инженерно-технического обеспечения, максимальный срок выполнения этого обязательства, который не может превышать срок, установленный данным договором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"dst800"</w:instrText>
      </w:r>
      <w:r>
        <w:rPr>
          <w:rStyle w:val="Style21"/>
          <w:sz w:val="22"/>
          <w:szCs w:val="22"/>
          <w:rFonts w:cs="Arial" w:ascii="Arial" w:hAnsi="Arial"/>
        </w:rPr>
        <w:fldChar w:fldCharType="separate"/>
      </w:r>
      <w:r>
        <w:rPr>
          <w:rStyle w:val="Style21"/>
          <w:rFonts w:cs="Arial" w:ascii="Arial" w:hAnsi="Arial"/>
          <w:sz w:val="22"/>
          <w:szCs w:val="22"/>
        </w:rPr>
        <w:t>пунктом 2</w:t>
      </w:r>
      <w:r>
        <w:rPr>
          <w:rStyle w:val="Style21"/>
          <w:sz w:val="22"/>
          <w:szCs w:val="22"/>
          <w:rFonts w:cs="Arial" w:ascii="Arial" w:hAnsi="Arial"/>
        </w:rPr>
        <w:fldChar w:fldCharType="end"/>
      </w:r>
      <w:r>
        <w:rPr>
          <w:rFonts w:cs="Arial" w:ascii="Arial" w:hAnsi="Arial"/>
          <w:sz w:val="22"/>
          <w:szCs w:val="22"/>
        </w:rPr>
        <w:t> настоящей части;</w:t>
      </w:r>
    </w:p>
    <w:p>
      <w:pPr>
        <w:pStyle w:val="Normal"/>
        <w:autoSpaceDE w:val="false"/>
        <w:ind w:firstLine="540"/>
        <w:rPr>
          <w:rFonts w:ascii="Arial" w:hAnsi="Arial" w:cs="Arial"/>
          <w:b/>
          <w:b/>
          <w:bCs/>
          <w:i/>
          <w:i/>
          <w:sz w:val="22"/>
          <w:szCs w:val="22"/>
        </w:rPr>
      </w:pPr>
      <w:bookmarkStart w:id="11" w:name="dst807"/>
      <w:bookmarkEnd w:id="11"/>
      <w:r>
        <w:rPr>
          <w:rFonts w:cs="Arial" w:ascii="Arial" w:hAnsi="Arial"/>
          <w:sz w:val="22"/>
          <w:szCs w:val="22"/>
        </w:rPr>
        <w:t>9) способы и размер обеспечения исполнения обязательств, вытекающих из данного договора;</w:t>
      </w:r>
    </w:p>
    <w:p>
      <w:pPr>
        <w:pStyle w:val="Normal"/>
        <w:autoSpaceDE w:val="false"/>
        <w:ind w:firstLine="540"/>
        <w:rPr>
          <w:rFonts w:ascii="Arial" w:hAnsi="Arial" w:cs="Arial"/>
          <w:b/>
          <w:b/>
          <w:bCs/>
          <w:i/>
          <w:i/>
          <w:sz w:val="22"/>
          <w:szCs w:val="22"/>
        </w:rPr>
      </w:pPr>
      <w:bookmarkStart w:id="12" w:name="dst808"/>
      <w:bookmarkEnd w:id="12"/>
      <w:r>
        <w:rPr>
          <w:rFonts w:cs="Arial" w:ascii="Arial" w:hAnsi="Arial"/>
          <w:sz w:val="22"/>
          <w:szCs w:val="22"/>
        </w:rPr>
        <w:t>10) срок действия данного договора;</w:t>
      </w:r>
    </w:p>
    <w:p>
      <w:pPr>
        <w:pStyle w:val="Normal"/>
        <w:autoSpaceDE w:val="false"/>
        <w:ind w:firstLine="540"/>
        <w:rPr>
          <w:rFonts w:ascii="Arial" w:hAnsi="Arial" w:cs="Arial"/>
          <w:b/>
          <w:b/>
          <w:bCs/>
          <w:i/>
          <w:i/>
          <w:sz w:val="22"/>
          <w:szCs w:val="22"/>
        </w:rPr>
      </w:pPr>
      <w:bookmarkStart w:id="13" w:name="dst809"/>
      <w:bookmarkEnd w:id="13"/>
      <w:r>
        <w:rPr>
          <w:rFonts w:cs="Arial" w:ascii="Arial" w:hAnsi="Arial"/>
          <w:sz w:val="22"/>
          <w:szCs w:val="22"/>
        </w:rPr>
        <w:t>11) ответственность сторон данного договора за его неисполнение или ненадлежащее исполнение.</w:t>
      </w:r>
    </w:p>
    <w:p>
      <w:pPr>
        <w:pStyle w:val="Normal"/>
        <w:autoSpaceDE w:val="false"/>
        <w:ind w:firstLine="540"/>
        <w:rPr>
          <w:rFonts w:ascii="Arial" w:hAnsi="Arial" w:cs="Arial"/>
          <w:b/>
          <w:b/>
          <w:bCs/>
          <w:i/>
          <w:i/>
          <w:sz w:val="22"/>
          <w:szCs w:val="22"/>
        </w:rPr>
      </w:pPr>
      <w:bookmarkStart w:id="14" w:name="dst810"/>
      <w:bookmarkEnd w:id="14"/>
      <w:r>
        <w:rPr>
          <w:rFonts w:cs="Arial" w:ascii="Arial" w:hAnsi="Arial"/>
          <w:sz w:val="22"/>
          <w:szCs w:val="22"/>
        </w:rPr>
        <w:t>5. Договор об освоении территории в целях строительства жилья экономического класса может содержать:</w:t>
      </w:r>
    </w:p>
    <w:p>
      <w:pPr>
        <w:pStyle w:val="Normal"/>
        <w:autoSpaceDE w:val="false"/>
        <w:ind w:firstLine="540"/>
        <w:rPr>
          <w:rFonts w:ascii="Arial" w:hAnsi="Arial" w:cs="Arial"/>
          <w:b/>
          <w:b/>
          <w:bCs/>
          <w:i/>
          <w:i/>
          <w:sz w:val="22"/>
          <w:szCs w:val="22"/>
        </w:rPr>
      </w:pPr>
      <w:bookmarkStart w:id="15" w:name="dst811"/>
      <w:bookmarkEnd w:id="15"/>
      <w:r>
        <w:rPr>
          <w:rFonts w:cs="Arial" w:ascii="Arial" w:hAnsi="Arial"/>
          <w:sz w:val="22"/>
          <w:szCs w:val="22"/>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части 10</w:t>
      </w:r>
      <w:r>
        <w:rPr>
          <w:rStyle w:val="Style21"/>
          <w:sz w:val="22"/>
          <w:szCs w:val="22"/>
          <w:rFonts w:cs="Arial" w:ascii="Arial" w:hAnsi="Arial"/>
        </w:rPr>
        <w:fldChar w:fldCharType="end"/>
      </w:r>
      <w:r>
        <w:rPr>
          <w:rFonts w:cs="Arial" w:ascii="Arial" w:hAnsi="Arial"/>
          <w:sz w:val="22"/>
          <w:szCs w:val="22"/>
        </w:rPr>
        <w:t> настоящей статьи.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pPr>
        <w:pStyle w:val="Normal"/>
        <w:autoSpaceDE w:val="false"/>
        <w:ind w:firstLine="540"/>
        <w:rPr>
          <w:rFonts w:ascii="Arial" w:hAnsi="Arial" w:cs="Arial"/>
          <w:b/>
          <w:b/>
          <w:bCs/>
          <w:i/>
          <w:i/>
          <w:sz w:val="22"/>
          <w:szCs w:val="22"/>
        </w:rPr>
      </w:pPr>
      <w:bookmarkStart w:id="16" w:name="dst812"/>
      <w:bookmarkEnd w:id="16"/>
      <w:r>
        <w:rPr>
          <w:rFonts w:cs="Arial" w:ascii="Arial" w:hAnsi="Arial"/>
          <w:sz w:val="22"/>
          <w:szCs w:val="22"/>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pPr>
        <w:pStyle w:val="Normal"/>
        <w:autoSpaceDE w:val="false"/>
        <w:ind w:firstLine="540"/>
        <w:rPr>
          <w:rFonts w:ascii="Arial" w:hAnsi="Arial" w:cs="Arial"/>
          <w:b/>
          <w:b/>
          <w:bCs/>
          <w:i/>
          <w:i/>
          <w:sz w:val="22"/>
          <w:szCs w:val="22"/>
        </w:rPr>
      </w:pPr>
      <w:bookmarkStart w:id="17" w:name="dst813"/>
      <w:bookmarkEnd w:id="17"/>
      <w:r>
        <w:rPr>
          <w:rFonts w:cs="Arial" w:ascii="Arial" w:hAnsi="Arial"/>
          <w:sz w:val="22"/>
          <w:szCs w:val="22"/>
        </w:rPr>
        <w:t>3) иные условия.</w:t>
      </w:r>
    </w:p>
    <w:p>
      <w:pPr>
        <w:pStyle w:val="Normal"/>
        <w:autoSpaceDE w:val="false"/>
        <w:ind w:firstLine="540"/>
        <w:rPr>
          <w:rFonts w:ascii="Arial" w:hAnsi="Arial" w:cs="Arial"/>
          <w:b/>
          <w:b/>
          <w:bCs/>
          <w:i/>
          <w:i/>
          <w:sz w:val="22"/>
          <w:szCs w:val="22"/>
        </w:rPr>
      </w:pPr>
      <w:bookmarkStart w:id="18" w:name="dst814"/>
      <w:bookmarkEnd w:id="18"/>
      <w:r>
        <w:rPr>
          <w:rFonts w:cs="Arial" w:ascii="Arial" w:hAnsi="Arial"/>
          <w:sz w:val="22"/>
          <w:szCs w:val="22"/>
        </w:rPr>
        <w:t>6. В случае, если договором об освоении территории в целях строительства жилья экономического класса предусмотрено строительство многоквартирного дома, жилого дома блокированной застройки, в которых минимальный объем жилых помещений соответствует условиям отнесения к жилью экономического класса, условием данного договора также является условие о минимальном количестве и (или) минимальной общей площади таких жилых помещений в многоквартирном доме или жилом доме блокированной застройки, которые устанавливаются извещением о проведении аукциона на право заключения данного договора.</w:t>
      </w:r>
    </w:p>
    <w:p>
      <w:pPr>
        <w:pStyle w:val="Normal"/>
        <w:autoSpaceDE w:val="false"/>
        <w:ind w:firstLine="540"/>
        <w:rPr>
          <w:rFonts w:ascii="Arial" w:hAnsi="Arial" w:cs="Arial"/>
          <w:b/>
          <w:b/>
          <w:bCs/>
          <w:i/>
          <w:i/>
          <w:sz w:val="22"/>
          <w:szCs w:val="22"/>
        </w:rPr>
      </w:pPr>
      <w:bookmarkStart w:id="19" w:name="dst815"/>
      <w:bookmarkEnd w:id="19"/>
      <w:r>
        <w:rPr>
          <w:rFonts w:cs="Arial" w:ascii="Arial" w:hAnsi="Arial"/>
          <w:sz w:val="22"/>
          <w:szCs w:val="22"/>
        </w:rPr>
        <w:t>7. Передача лицом, заключившим договор об освоении территории в целях строительства жилья экономического класса, прав и обязанностей по данному договору допускается лицу, которое соответствует требованиям, установленным </w:t>
      </w:r>
      <w:r>
        <w:fldChar w:fldCharType="begin"/>
      </w:r>
      <w:r>
        <w:rPr>
          <w:rStyle w:val="Style21"/>
          <w:sz w:val="22"/>
          <w:szCs w:val="22"/>
          <w:rFonts w:cs="Arial" w:ascii="Arial" w:hAnsi="Arial"/>
        </w:rPr>
        <w:instrText> HYPERLINK "http://www.consultant.ru/document/cons_doc_LAW_51040/53a7102f2552e2ac50b1728e552572559e1d3048/" \l "dst933"</w:instrText>
      </w:r>
      <w:r>
        <w:rPr>
          <w:rStyle w:val="Style21"/>
          <w:sz w:val="22"/>
          <w:szCs w:val="22"/>
          <w:rFonts w:cs="Arial" w:ascii="Arial" w:hAnsi="Arial"/>
        </w:rPr>
        <w:fldChar w:fldCharType="separate"/>
      </w:r>
      <w:r>
        <w:rPr>
          <w:rStyle w:val="Style21"/>
          <w:rFonts w:cs="Arial" w:ascii="Arial" w:hAnsi="Arial"/>
          <w:sz w:val="22"/>
          <w:szCs w:val="22"/>
        </w:rPr>
        <w:t>статьей 46.8</w:t>
      </w:r>
      <w:r>
        <w:rPr>
          <w:rStyle w:val="Style21"/>
          <w:sz w:val="22"/>
          <w:szCs w:val="22"/>
          <w:rFonts w:cs="Arial" w:ascii="Arial" w:hAnsi="Arial"/>
        </w:rPr>
        <w:fldChar w:fldCharType="end"/>
      </w:r>
      <w:r>
        <w:rPr>
          <w:rFonts w:cs="Arial" w:ascii="Arial" w:hAnsi="Arial"/>
          <w:sz w:val="22"/>
          <w:szCs w:val="22"/>
        </w:rPr>
        <w:t> Градостроительного кодекса РФ, при наличии согласия в письменной форме исполнительного органа государственной власти или органа местного самоуправления, заключивших данный договор.</w:t>
      </w:r>
    </w:p>
    <w:p>
      <w:pPr>
        <w:pStyle w:val="Normal"/>
        <w:autoSpaceDE w:val="false"/>
        <w:ind w:firstLine="540"/>
        <w:rPr>
          <w:rFonts w:ascii="Arial" w:hAnsi="Arial" w:cs="Arial"/>
          <w:b/>
          <w:b/>
          <w:bCs/>
          <w:i/>
          <w:i/>
          <w:sz w:val="22"/>
          <w:szCs w:val="22"/>
        </w:rPr>
      </w:pPr>
      <w:bookmarkStart w:id="20" w:name="dst816"/>
      <w:bookmarkEnd w:id="20"/>
      <w:r>
        <w:rPr>
          <w:rFonts w:cs="Arial" w:ascii="Arial" w:hAnsi="Arial"/>
          <w:sz w:val="22"/>
          <w:szCs w:val="22"/>
        </w:rPr>
        <w:t>8. Лицо, заключившее договор об освоении территории в целях строительства жилья экономического класса, обязано по форме, установленной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представлять в исполнительный орган государственной власти или орган местного самоуправления, заключившие данный договор:</w:t>
      </w:r>
    </w:p>
    <w:p>
      <w:pPr>
        <w:pStyle w:val="Normal"/>
        <w:autoSpaceDE w:val="false"/>
        <w:ind w:firstLine="540"/>
        <w:rPr>
          <w:rFonts w:ascii="Arial" w:hAnsi="Arial" w:cs="Arial"/>
          <w:b/>
          <w:b/>
          <w:bCs/>
          <w:i/>
          <w:i/>
          <w:sz w:val="22"/>
          <w:szCs w:val="22"/>
        </w:rPr>
      </w:pPr>
      <w:bookmarkStart w:id="21" w:name="dst817"/>
      <w:bookmarkEnd w:id="21"/>
      <w:r>
        <w:rPr>
          <w:rFonts w:cs="Arial" w:ascii="Arial" w:hAnsi="Arial"/>
          <w:sz w:val="22"/>
          <w:szCs w:val="22"/>
        </w:rPr>
        <w:t>1) информацию о возникновении у данного лица права привлекать денежные средства на основании договоров участия в долевом строительстве жилья экономического класса с гражданами, имеющими право на приобретение жилья экономического класса, и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22" w:name="dst818"/>
      <w:bookmarkEnd w:id="22"/>
      <w:r>
        <w:rPr>
          <w:rFonts w:cs="Arial" w:ascii="Arial" w:hAnsi="Arial"/>
          <w:sz w:val="22"/>
          <w:szCs w:val="22"/>
        </w:rPr>
        <w:t>2) информацию о вводе многоквартирных домов, жилых домов блокированной застройки в эксплуатацию,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 Эта информация должна быть представлена в течение трех рабочих дней со дня получения разрешения на ввод таких домов в эксплуатацию, за исключением случаев, если в многоквартирных домах, жилых домах блокированной застройки в отношении всех жилых помещений, подлежащих продаже или передаче по максимальной цене одного квадратного метра жилья экономического класса, заключены договоры участия в долевом строительстве жилья экономического класса с гражданами, имеющими право на приобретение жилья экономического класса, государственные и (или) муниципальные контракты и (или) предусмотрено заключение государственных и (или) муниципальных контрактов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"dst811"</w:instrText>
      </w:r>
      <w:r>
        <w:rPr>
          <w:rStyle w:val="Style21"/>
          <w:sz w:val="22"/>
          <w:szCs w:val="22"/>
          <w:rFonts w:cs="Arial" w:ascii="Arial" w:hAnsi="Arial"/>
        </w:rPr>
        <w:fldChar w:fldCharType="separate"/>
      </w:r>
      <w:r>
        <w:rPr>
          <w:rStyle w:val="Style21"/>
          <w:rFonts w:cs="Arial" w:ascii="Arial" w:hAnsi="Arial"/>
          <w:sz w:val="22"/>
          <w:szCs w:val="22"/>
        </w:rPr>
        <w:t>пунктом 1 части 5</w:t>
      </w:r>
      <w:r>
        <w:rPr>
          <w:rStyle w:val="Style21"/>
          <w:sz w:val="22"/>
          <w:szCs w:val="22"/>
          <w:rFonts w:cs="Arial" w:ascii="Arial" w:hAnsi="Arial"/>
        </w:rPr>
        <w:fldChar w:fldCharType="end"/>
      </w:r>
      <w:r>
        <w:rPr>
          <w:rFonts w:cs="Arial" w:ascii="Arial" w:hAnsi="Arial"/>
          <w:sz w:val="22"/>
          <w:szCs w:val="22"/>
        </w:rPr>
        <w:t> настоящей статьи;</w:t>
      </w:r>
    </w:p>
    <w:p>
      <w:pPr>
        <w:pStyle w:val="Normal"/>
        <w:autoSpaceDE w:val="false"/>
        <w:ind w:firstLine="540"/>
        <w:rPr>
          <w:rFonts w:ascii="Arial" w:hAnsi="Arial" w:cs="Arial"/>
          <w:b/>
          <w:b/>
          <w:bCs/>
          <w:i/>
          <w:i/>
          <w:sz w:val="22"/>
          <w:szCs w:val="22"/>
        </w:rPr>
      </w:pPr>
      <w:bookmarkStart w:id="23" w:name="dst819"/>
      <w:bookmarkEnd w:id="23"/>
      <w:r>
        <w:rPr>
          <w:rFonts w:cs="Arial" w:ascii="Arial" w:hAnsi="Arial"/>
          <w:sz w:val="22"/>
          <w:szCs w:val="22"/>
        </w:rPr>
        <w:t>3) проекты договоров купли-продажи жилья экономического класса, договоров участия в долевом строительстве жилья экономического класса, а также сведения о жилых помещениях, являющихся предметом указанных договоров;</w:t>
      </w:r>
    </w:p>
    <w:p>
      <w:pPr>
        <w:pStyle w:val="Normal"/>
        <w:autoSpaceDE w:val="false"/>
        <w:ind w:firstLine="540"/>
        <w:rPr>
          <w:rFonts w:ascii="Arial" w:hAnsi="Arial" w:cs="Arial"/>
          <w:b/>
          <w:b/>
          <w:bCs/>
          <w:i/>
          <w:i/>
          <w:sz w:val="22"/>
          <w:szCs w:val="22"/>
        </w:rPr>
      </w:pPr>
      <w:bookmarkStart w:id="24" w:name="dst820"/>
      <w:bookmarkEnd w:id="24"/>
      <w:r>
        <w:rPr>
          <w:rFonts w:cs="Arial" w:ascii="Arial" w:hAnsi="Arial"/>
          <w:sz w:val="22"/>
          <w:szCs w:val="22"/>
        </w:rPr>
        <w:t>4) информацию о сроке заключения договоров купли-продажи жилья экономического класса, договоров участия в долевом строительстве жилья экономического класса, установленном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частью 10</w:t>
      </w:r>
      <w:r>
        <w:rPr>
          <w:rStyle w:val="Style21"/>
          <w:sz w:val="22"/>
          <w:szCs w:val="22"/>
          <w:rFonts w:cs="Arial" w:ascii="Arial" w:hAnsi="Arial"/>
        </w:rPr>
        <w:fldChar w:fldCharType="end"/>
      </w:r>
      <w:r>
        <w:rPr>
          <w:rFonts w:cs="Arial" w:ascii="Arial" w:hAnsi="Arial"/>
          <w:sz w:val="22"/>
          <w:szCs w:val="22"/>
        </w:rPr>
        <w:t> настоящей статьи.</w:t>
      </w:r>
    </w:p>
    <w:p>
      <w:pPr>
        <w:pStyle w:val="Normal"/>
        <w:autoSpaceDE w:val="false"/>
        <w:ind w:firstLine="540"/>
        <w:rPr>
          <w:rFonts w:ascii="Arial" w:hAnsi="Arial" w:cs="Arial"/>
          <w:b/>
          <w:b/>
          <w:bCs/>
          <w:i/>
          <w:i/>
          <w:sz w:val="22"/>
          <w:szCs w:val="22"/>
        </w:rPr>
      </w:pPr>
      <w:bookmarkStart w:id="25" w:name="dst821"/>
      <w:bookmarkEnd w:id="25"/>
      <w:r>
        <w:rPr>
          <w:rFonts w:cs="Arial" w:ascii="Arial" w:hAnsi="Arial"/>
          <w:sz w:val="22"/>
          <w:szCs w:val="22"/>
        </w:rPr>
        <w:t>9. Исполнительный орган государственной власти или орган местного самоуправления, заключившие договор об освоении территории в целях строительства жилья экономического класса, обеспечивают размещение на официальном сайте субъекта Российской Федерации, на территории которого расположен указанный в </w:t>
      </w:r>
      <w:r>
        <w:fldChar w:fldCharType="begin"/>
      </w:r>
      <w:r>
        <w:rPr>
          <w:rStyle w:val="Style21"/>
          <w:sz w:val="22"/>
          <w:szCs w:val="22"/>
          <w:rFonts w:cs="Arial" w:ascii="Arial" w:hAnsi="Arial"/>
        </w:rPr>
        <w:instrText> HYPERLINK "http://www.consultant.ru/document/cons_doc_LAW_51040/4ca2927cf88949f634af8d777b5effabc2f8b87e/" \l "dst799"</w:instrText>
      </w:r>
      <w:r>
        <w:rPr>
          <w:rStyle w:val="Style21"/>
          <w:sz w:val="22"/>
          <w:szCs w:val="22"/>
          <w:rFonts w:cs="Arial" w:ascii="Arial" w:hAnsi="Arial"/>
        </w:rPr>
        <w:fldChar w:fldCharType="separate"/>
      </w:r>
      <w:r>
        <w:rPr>
          <w:rStyle w:val="Style21"/>
          <w:rFonts w:cs="Arial" w:ascii="Arial" w:hAnsi="Arial"/>
          <w:sz w:val="22"/>
          <w:szCs w:val="22"/>
        </w:rPr>
        <w:t>пункте 1 части 4</w:t>
      </w:r>
      <w:r>
        <w:rPr>
          <w:rStyle w:val="Style21"/>
          <w:sz w:val="22"/>
          <w:szCs w:val="22"/>
          <w:rFonts w:cs="Arial" w:ascii="Arial" w:hAnsi="Arial"/>
        </w:rPr>
        <w:fldChar w:fldCharType="end"/>
      </w:r>
      <w:r>
        <w:rPr>
          <w:rFonts w:cs="Arial" w:ascii="Arial" w:hAnsi="Arial"/>
          <w:sz w:val="22"/>
          <w:szCs w:val="22"/>
        </w:rPr>
        <w:t> настоящей статьи земельный участок, в сети "Интернет" и на официальном сайте поселения (при наличии официального сайта поселения или городского округа) в сети "Интернет" по месту расположения такого земельного участка указанных в </w:t>
      </w:r>
      <w:r>
        <w:fldChar w:fldCharType="begin"/>
      </w:r>
      <w:r>
        <w:rPr>
          <w:rStyle w:val="Style21"/>
          <w:sz w:val="22"/>
          <w:szCs w:val="22"/>
          <w:rFonts w:cs="Arial" w:ascii="Arial" w:hAnsi="Arial"/>
        </w:rPr>
        <w:instrText> HYPERLINK "http://www.consultant.ru/document/cons_doc_LAW_51040/4ca2927cf88949f634af8d777b5effabc2f8b87e/" \l "dst816"</w:instrText>
      </w:r>
      <w:r>
        <w:rPr>
          <w:rStyle w:val="Style21"/>
          <w:sz w:val="22"/>
          <w:szCs w:val="22"/>
          <w:rFonts w:cs="Arial" w:ascii="Arial" w:hAnsi="Arial"/>
        </w:rPr>
        <w:fldChar w:fldCharType="separate"/>
      </w:r>
      <w:r>
        <w:rPr>
          <w:rStyle w:val="Style21"/>
          <w:rFonts w:cs="Arial" w:ascii="Arial" w:hAnsi="Arial"/>
          <w:sz w:val="22"/>
          <w:szCs w:val="22"/>
        </w:rPr>
        <w:t>части 8</w:t>
      </w:r>
      <w:r>
        <w:rPr>
          <w:rStyle w:val="Style21"/>
          <w:sz w:val="22"/>
          <w:szCs w:val="22"/>
          <w:rFonts w:cs="Arial" w:ascii="Arial" w:hAnsi="Arial"/>
        </w:rPr>
        <w:fldChar w:fldCharType="end"/>
      </w:r>
      <w:r>
        <w:rPr>
          <w:rFonts w:cs="Arial" w:ascii="Arial" w:hAnsi="Arial"/>
          <w:sz w:val="22"/>
          <w:szCs w:val="22"/>
        </w:rPr>
        <w:t> настоящей статьи информации и проектов договоров в течение трех рабочих дней со дня представления указанных информации и проектов договоров лицом, заключившим договор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26" w:name="dst822"/>
      <w:bookmarkEnd w:id="26"/>
      <w:r>
        <w:rPr>
          <w:rFonts w:cs="Arial" w:ascii="Arial" w:hAnsi="Arial"/>
          <w:sz w:val="22"/>
          <w:szCs w:val="22"/>
        </w:rPr>
        <w:t>10. Лицо, заключившее договор об освоении территории в целях строительства жилья экономического класса, обязано заключить с гражданами, имеющими </w:t>
      </w:r>
      <w:r>
        <w:fldChar w:fldCharType="begin"/>
      </w:r>
      <w:r>
        <w:rPr>
          <w:rStyle w:val="Style21"/>
          <w:sz w:val="22"/>
          <w:szCs w:val="22"/>
          <w:rFonts w:cs="Arial" w:ascii="Arial" w:hAnsi="Arial"/>
        </w:rPr>
        <w:instrText> HYPERLINK "http://www.consultant.ru/document/cons_doc_LAW_152565/" \l "dst100011"</w:instrText>
      </w:r>
      <w:r>
        <w:rPr>
          <w:rStyle w:val="Style21"/>
          <w:sz w:val="22"/>
          <w:szCs w:val="22"/>
          <w:rFonts w:cs="Arial" w:ascii="Arial" w:hAnsi="Arial"/>
        </w:rPr>
        <w:fldChar w:fldCharType="separate"/>
      </w:r>
      <w:r>
        <w:rPr>
          <w:rStyle w:val="Style21"/>
          <w:rFonts w:cs="Arial" w:ascii="Arial" w:hAnsi="Arial"/>
          <w:sz w:val="22"/>
          <w:szCs w:val="22"/>
        </w:rPr>
        <w:t>право</w:t>
      </w:r>
      <w:r>
        <w:rPr>
          <w:rStyle w:val="Style21"/>
          <w:sz w:val="22"/>
          <w:szCs w:val="22"/>
          <w:rFonts w:cs="Arial" w:ascii="Arial" w:hAnsi="Arial"/>
        </w:rPr>
        <w:fldChar w:fldCharType="end"/>
      </w:r>
      <w:r>
        <w:rPr>
          <w:rFonts w:cs="Arial" w:ascii="Arial" w:hAnsi="Arial"/>
          <w:sz w:val="22"/>
          <w:szCs w:val="22"/>
        </w:rPr>
        <w:t> на приобретение жилья экономического класса, договоры:</w:t>
      </w:r>
    </w:p>
    <w:p>
      <w:pPr>
        <w:pStyle w:val="Normal"/>
        <w:autoSpaceDE w:val="false"/>
        <w:ind w:firstLine="540"/>
        <w:rPr>
          <w:rFonts w:ascii="Arial" w:hAnsi="Arial" w:cs="Arial"/>
          <w:b/>
          <w:b/>
          <w:bCs/>
          <w:i/>
          <w:i/>
          <w:sz w:val="22"/>
          <w:szCs w:val="22"/>
        </w:rPr>
      </w:pPr>
      <w:bookmarkStart w:id="27" w:name="dst823"/>
      <w:bookmarkEnd w:id="27"/>
      <w:r>
        <w:rPr>
          <w:rFonts w:cs="Arial" w:ascii="Arial" w:hAnsi="Arial"/>
          <w:sz w:val="22"/>
          <w:szCs w:val="22"/>
        </w:rPr>
        <w:t>1) участия в долевом строительстве жилья экономического класса в период со дня размещения в соответствии с </w:t>
      </w:r>
      <w:r>
        <w:fldChar w:fldCharType="begin"/>
      </w:r>
      <w:r>
        <w:rPr>
          <w:rStyle w:val="Style21"/>
          <w:sz w:val="22"/>
          <w:szCs w:val="22"/>
          <w:rFonts w:cs="Arial" w:ascii="Arial" w:hAnsi="Arial"/>
        </w:rPr>
        <w:instrText> HYPERLINK "http://www.consultant.ru/document/cons_doc_LAW_51040/4ca2927cf88949f634af8d777b5effabc2f8b87e/" \l "dst821"</w:instrText>
      </w:r>
      <w:r>
        <w:rPr>
          <w:rStyle w:val="Style21"/>
          <w:sz w:val="22"/>
          <w:szCs w:val="22"/>
          <w:rFonts w:cs="Arial" w:ascii="Arial" w:hAnsi="Arial"/>
        </w:rPr>
        <w:fldChar w:fldCharType="separate"/>
      </w:r>
      <w:r>
        <w:rPr>
          <w:rStyle w:val="Style21"/>
          <w:rFonts w:cs="Arial" w:ascii="Arial" w:hAnsi="Arial"/>
          <w:sz w:val="22"/>
          <w:szCs w:val="22"/>
        </w:rPr>
        <w:t>частью 9</w:t>
      </w:r>
      <w:r>
        <w:rPr>
          <w:rStyle w:val="Style21"/>
          <w:sz w:val="22"/>
          <w:szCs w:val="22"/>
          <w:rFonts w:cs="Arial" w:ascii="Arial" w:hAnsi="Arial"/>
        </w:rPr>
        <w:fldChar w:fldCharType="end"/>
      </w:r>
      <w:r>
        <w:rPr>
          <w:rFonts w:cs="Arial" w:ascii="Arial" w:hAnsi="Arial"/>
          <w:sz w:val="22"/>
          <w:szCs w:val="22"/>
        </w:rPr>
        <w:t> настоящей статьи информации, указанной в </w:t>
      </w:r>
      <w:r>
        <w:fldChar w:fldCharType="begin"/>
      </w:r>
      <w:r>
        <w:rPr>
          <w:rStyle w:val="Style21"/>
          <w:sz w:val="22"/>
          <w:szCs w:val="22"/>
          <w:rFonts w:cs="Arial" w:ascii="Arial" w:hAnsi="Arial"/>
        </w:rPr>
        <w:instrText> HYPERLINK "http://www.consultant.ru/document/cons_doc_LAW_51040/4ca2927cf88949f634af8d777b5effabc2f8b87e/" \l "dst817"</w:instrText>
      </w:r>
      <w:r>
        <w:rPr>
          <w:rStyle w:val="Style21"/>
          <w:sz w:val="22"/>
          <w:szCs w:val="22"/>
          <w:rFonts w:cs="Arial" w:ascii="Arial" w:hAnsi="Arial"/>
        </w:rPr>
        <w:fldChar w:fldCharType="separate"/>
      </w:r>
      <w:r>
        <w:rPr>
          <w:rStyle w:val="Style21"/>
          <w:rFonts w:cs="Arial" w:ascii="Arial" w:hAnsi="Arial"/>
          <w:sz w:val="22"/>
          <w:szCs w:val="22"/>
        </w:rPr>
        <w:t>пункте 1 части 8</w:t>
      </w:r>
      <w:r>
        <w:rPr>
          <w:rStyle w:val="Style21"/>
          <w:sz w:val="22"/>
          <w:szCs w:val="22"/>
          <w:rFonts w:cs="Arial" w:ascii="Arial" w:hAnsi="Arial"/>
        </w:rPr>
        <w:fldChar w:fldCharType="end"/>
      </w:r>
      <w:r>
        <w:rPr>
          <w:rFonts w:cs="Arial" w:ascii="Arial" w:hAnsi="Arial"/>
          <w:sz w:val="22"/>
          <w:szCs w:val="22"/>
        </w:rPr>
        <w:t> настоящей статьи, до дня ввода в эксплуатацию многоквартирного дома или жилого дома блокированной застройки, строящихся в соответствии с договором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28" w:name="dst824"/>
      <w:bookmarkEnd w:id="28"/>
      <w:r>
        <w:rPr>
          <w:rFonts w:cs="Arial" w:ascii="Arial" w:hAnsi="Arial"/>
          <w:sz w:val="22"/>
          <w:szCs w:val="22"/>
        </w:rPr>
        <w:t>2) купли-продажи жилья экономического класса в многоквартирном доме или жилом доме блокированной застройки, построенных в соответствии с договором об освоении территории в целях строительства жилья экономического класса, в течение шести месяцев со дня ввода в эксплуатацию такого дома.</w:t>
      </w:r>
    </w:p>
    <w:p>
      <w:pPr>
        <w:pStyle w:val="Normal"/>
        <w:rPr/>
      </w:pPr>
      <w:r>
        <w:rPr>
          <w:rStyle w:val="Style15"/>
          <w:rFonts w:eastAsia="Calibri" w:cs="Arial" w:ascii="Arial" w:hAnsi="Arial"/>
          <w:sz w:val="22"/>
          <w:szCs w:val="22"/>
        </w:rPr>
        <w:t>Статья 20.2 Договор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 Комплексное освоение территории в целях строительства жилья экономического класса осуществляется в соответствии с договором о комплексном освоении территории в целях строительства жилья экономического класса, заключенным в порядке и на условиях, которые предусмотрены настоящей статьей, и включает в себя:</w:t>
      </w:r>
    </w:p>
    <w:p>
      <w:pPr>
        <w:pStyle w:val="Normal"/>
        <w:autoSpaceDE w:val="false"/>
        <w:ind w:firstLine="540"/>
        <w:rPr>
          <w:rFonts w:ascii="Arial" w:hAnsi="Arial" w:cs="Arial"/>
          <w:b/>
          <w:b/>
          <w:bCs/>
          <w:i/>
          <w:i/>
          <w:sz w:val="22"/>
          <w:szCs w:val="22"/>
        </w:rPr>
      </w:pPr>
      <w:bookmarkStart w:id="29" w:name="dst827"/>
      <w:bookmarkEnd w:id="29"/>
      <w:r>
        <w:rPr>
          <w:rFonts w:cs="Arial" w:ascii="Arial" w:hAnsi="Arial"/>
          <w:sz w:val="22"/>
          <w:szCs w:val="22"/>
        </w:rPr>
        <w:t>1) подготовку документации по планировке территории (при отсутствии такой документации);</w:t>
      </w:r>
    </w:p>
    <w:p>
      <w:pPr>
        <w:pStyle w:val="Normal"/>
        <w:autoSpaceDE w:val="false"/>
        <w:ind w:firstLine="540"/>
        <w:rPr>
          <w:rFonts w:ascii="Arial" w:hAnsi="Arial" w:cs="Arial"/>
          <w:b/>
          <w:b/>
          <w:bCs/>
          <w:i/>
          <w:i/>
          <w:sz w:val="22"/>
          <w:szCs w:val="22"/>
        </w:rPr>
      </w:pPr>
      <w:bookmarkStart w:id="30" w:name="dst828"/>
      <w:bookmarkEnd w:id="30"/>
      <w:r>
        <w:rPr>
          <w:rFonts w:cs="Arial" w:ascii="Arial" w:hAnsi="Arial"/>
          <w:sz w:val="22"/>
          <w:szCs w:val="22"/>
        </w:rPr>
        <w:t>2) образование земельных участков в границах этой территории;</w:t>
      </w:r>
    </w:p>
    <w:p>
      <w:pPr>
        <w:pStyle w:val="Normal"/>
        <w:autoSpaceDE w:val="false"/>
        <w:ind w:firstLine="540"/>
        <w:rPr>
          <w:rFonts w:ascii="Arial" w:hAnsi="Arial" w:cs="Arial"/>
          <w:b/>
          <w:b/>
          <w:bCs/>
          <w:i/>
          <w:i/>
          <w:sz w:val="22"/>
          <w:szCs w:val="22"/>
        </w:rPr>
      </w:pPr>
      <w:bookmarkStart w:id="31" w:name="dst829"/>
      <w:bookmarkEnd w:id="31"/>
      <w:r>
        <w:rPr>
          <w:rFonts w:cs="Arial" w:ascii="Arial" w:hAnsi="Arial"/>
          <w:sz w:val="22"/>
          <w:szCs w:val="22"/>
        </w:rPr>
        <w:t>3) строительство на земельных участках в границах этой территории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r>
        <w:fldChar w:fldCharType="begin"/>
      </w:r>
      <w:r>
        <w:rPr>
          <w:rStyle w:val="Style21"/>
          <w:sz w:val="22"/>
          <w:szCs w:val="22"/>
          <w:rFonts w:cs="Arial" w:ascii="Arial" w:hAnsi="Arial"/>
        </w:rPr>
        <w:instrText> HYPERLINK "http://www.consultant.ru/document/cons_doc_LAW_51040/31f958c9cc861b5adba63e474328e9d081635b65/" \l "dst858"</w:instrText>
      </w:r>
      <w:r>
        <w:rPr>
          <w:rStyle w:val="Style21"/>
          <w:sz w:val="22"/>
          <w:szCs w:val="22"/>
          <w:rFonts w:cs="Arial" w:ascii="Arial" w:hAnsi="Arial"/>
        </w:rPr>
        <w:fldChar w:fldCharType="separate"/>
      </w:r>
      <w:r>
        <w:rPr>
          <w:rStyle w:val="Style21"/>
          <w:rFonts w:cs="Arial" w:ascii="Arial" w:hAnsi="Arial"/>
          <w:sz w:val="22"/>
          <w:szCs w:val="22"/>
        </w:rPr>
        <w:t>частью 6</w:t>
      </w:r>
      <w:r>
        <w:rPr>
          <w:rStyle w:val="Style21"/>
          <w:sz w:val="22"/>
          <w:szCs w:val="22"/>
          <w:rFonts w:cs="Arial" w:ascii="Arial" w:hAnsi="Arial"/>
        </w:rPr>
        <w:fldChar w:fldCharType="end"/>
      </w:r>
      <w:r>
        <w:rPr>
          <w:rFonts w:cs="Arial" w:ascii="Arial" w:hAnsi="Arial"/>
          <w:sz w:val="22"/>
          <w:szCs w:val="22"/>
        </w:rPr>
        <w:t> настоящей статьи их минимальный объем соответствуют </w:t>
      </w:r>
      <w:r>
        <w:fldChar w:fldCharType="begin"/>
      </w:r>
      <w:r>
        <w:rPr>
          <w:rStyle w:val="Style21"/>
          <w:sz w:val="22"/>
          <w:szCs w:val="22"/>
          <w:rFonts w:cs="Arial" w:ascii="Arial" w:hAnsi="Arial"/>
        </w:rPr>
        <w:instrText> HYPERLINK "http://www.consultant.ru/document/cons_doc_LAW_210661/" \l "dst100012"</w:instrText>
      </w:r>
      <w:r>
        <w:rPr>
          <w:rStyle w:val="Style21"/>
          <w:sz w:val="22"/>
          <w:szCs w:val="22"/>
          <w:rFonts w:cs="Arial" w:ascii="Arial" w:hAnsi="Arial"/>
        </w:rPr>
        <w:fldChar w:fldCharType="separate"/>
      </w:r>
      <w:r>
        <w:rPr>
          <w:rStyle w:val="Style21"/>
          <w:rFonts w:cs="Arial" w:ascii="Arial" w:hAnsi="Arial"/>
          <w:sz w:val="22"/>
          <w:szCs w:val="22"/>
        </w:rPr>
        <w:t>условиям</w:t>
      </w:r>
      <w:r>
        <w:rPr>
          <w:rStyle w:val="Style21"/>
          <w:sz w:val="22"/>
          <w:szCs w:val="22"/>
          <w:rFonts w:cs="Arial" w:ascii="Arial" w:hAnsi="Arial"/>
        </w:rPr>
        <w:fldChar w:fldCharType="end"/>
      </w:r>
      <w:r>
        <w:rPr>
          <w:rFonts w:cs="Arial" w:ascii="Arial" w:hAnsi="Arial"/>
          <w:sz w:val="22"/>
          <w:szCs w:val="22"/>
        </w:rPr>
        <w:t>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если заключение государственных и (или) муниципальных контрактов предусмотрено договором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32" w:name="dst830"/>
      <w:bookmarkEnd w:id="32"/>
      <w:r>
        <w:rPr>
          <w:rFonts w:cs="Arial" w:ascii="Arial" w:hAnsi="Arial"/>
          <w:sz w:val="22"/>
          <w:szCs w:val="22"/>
        </w:rPr>
        <w:t>4) строительство на земельных участках в границах этой территории иных объектов в соответствии с документацией по планировке территории, в том числе объектов транспортной, коммунальной и социальной инфраструктур.</w:t>
      </w:r>
    </w:p>
    <w:p>
      <w:pPr>
        <w:pStyle w:val="Normal"/>
        <w:autoSpaceDE w:val="false"/>
        <w:ind w:firstLine="540"/>
        <w:rPr>
          <w:rFonts w:ascii="Arial" w:hAnsi="Arial" w:cs="Arial"/>
          <w:b/>
          <w:b/>
          <w:bCs/>
          <w:i/>
          <w:i/>
          <w:sz w:val="22"/>
          <w:szCs w:val="22"/>
        </w:rPr>
      </w:pPr>
      <w:bookmarkStart w:id="33" w:name="dst831"/>
      <w:bookmarkEnd w:id="33"/>
      <w:r>
        <w:rPr>
          <w:rFonts w:cs="Arial" w:ascii="Arial" w:hAnsi="Arial"/>
          <w:sz w:val="22"/>
          <w:szCs w:val="22"/>
        </w:rPr>
        <w:t>2. Договор о комплексном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комплексного освоения территории в целях строительства жилья экономического класса, с победителем аукциона на право заключения данного договора или лицом, имеющим право заключить данный договор в соответствии с </w:t>
      </w:r>
      <w:r>
        <w:fldChar w:fldCharType="begin"/>
      </w:r>
      <w:r>
        <w:rPr>
          <w:rStyle w:val="Style21"/>
          <w:sz w:val="22"/>
          <w:szCs w:val="22"/>
          <w:rFonts w:cs="Arial" w:ascii="Arial" w:hAnsi="Arial"/>
        </w:rPr>
        <w:instrText> HYPERLINK "http://www.consultant.ru/document/cons_doc_LAW_51040/2ae2be925a5986af55bf95286e73d1e17b501157/" \l "dst916"</w:instrText>
      </w:r>
      <w:r>
        <w:rPr>
          <w:rStyle w:val="Style21"/>
          <w:sz w:val="22"/>
          <w:szCs w:val="22"/>
          <w:rFonts w:cs="Arial" w:ascii="Arial" w:hAnsi="Arial"/>
        </w:rPr>
        <w:fldChar w:fldCharType="separate"/>
      </w:r>
      <w:r>
        <w:rPr>
          <w:rStyle w:val="Style21"/>
          <w:rFonts w:cs="Arial" w:ascii="Arial" w:hAnsi="Arial"/>
          <w:sz w:val="22"/>
          <w:szCs w:val="22"/>
        </w:rPr>
        <w:t>частями 24</w:t>
      </w:r>
      <w:r>
        <w:rPr>
          <w:rStyle w:val="Style21"/>
          <w:sz w:val="22"/>
          <w:szCs w:val="22"/>
          <w:rFonts w:cs="Arial" w:ascii="Arial" w:hAnsi="Arial"/>
        </w:rPr>
        <w:fldChar w:fldCharType="end"/>
      </w:r>
      <w:r>
        <w:rPr>
          <w:rFonts w:cs="Arial" w:ascii="Arial" w:hAnsi="Arial"/>
          <w:sz w:val="22"/>
          <w:szCs w:val="22"/>
        </w:rPr>
        <w:t> - </w:t>
      </w:r>
      <w:r>
        <w:fldChar w:fldCharType="begin"/>
      </w:r>
      <w:r>
        <w:rPr>
          <w:rStyle w:val="Style21"/>
          <w:sz w:val="22"/>
          <w:szCs w:val="22"/>
          <w:rFonts w:cs="Arial" w:ascii="Arial" w:hAnsi="Arial"/>
        </w:rPr>
        <w:instrText> HYPERLINK "http://www.consultant.ru/document/cons_doc_LAW_51040/2ae2be925a5986af55bf95286e73d1e17b501157/" \l "dst919"</w:instrText>
      </w:r>
      <w:r>
        <w:rPr>
          <w:rStyle w:val="Style21"/>
          <w:sz w:val="22"/>
          <w:szCs w:val="22"/>
          <w:rFonts w:cs="Arial" w:ascii="Arial" w:hAnsi="Arial"/>
        </w:rPr>
        <w:fldChar w:fldCharType="separate"/>
      </w:r>
      <w:r>
        <w:rPr>
          <w:rStyle w:val="Style21"/>
          <w:rFonts w:cs="Arial" w:ascii="Arial" w:hAnsi="Arial"/>
          <w:sz w:val="22"/>
          <w:szCs w:val="22"/>
        </w:rPr>
        <w:t>27 статьи 46.7</w:t>
      </w:r>
      <w:r>
        <w:rPr>
          <w:rStyle w:val="Style21"/>
          <w:sz w:val="22"/>
          <w:szCs w:val="22"/>
          <w:rFonts w:cs="Arial" w:ascii="Arial" w:hAnsi="Arial"/>
        </w:rPr>
        <w:fldChar w:fldCharType="end"/>
      </w:r>
      <w:r>
        <w:rPr>
          <w:rFonts w:cs="Arial" w:ascii="Arial" w:hAnsi="Arial"/>
          <w:sz w:val="22"/>
          <w:szCs w:val="22"/>
        </w:rPr>
        <w:t> Градостроительного кодекса РФ (далее в настоящей статье - лицо, заключившее договор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34" w:name="dst832"/>
      <w:bookmarkEnd w:id="34"/>
      <w:r>
        <w:rPr>
          <w:rFonts w:cs="Arial" w:ascii="Arial" w:hAnsi="Arial"/>
          <w:sz w:val="22"/>
          <w:szCs w:val="22"/>
        </w:rPr>
        <w:t>3. Отдельные права и обязанности указанных в </w:t>
      </w:r>
      <w:r>
        <w:fldChar w:fldCharType="begin"/>
      </w:r>
      <w:r>
        <w:rPr>
          <w:rStyle w:val="Style21"/>
          <w:sz w:val="22"/>
          <w:szCs w:val="22"/>
          <w:rFonts w:cs="Arial" w:ascii="Arial" w:hAnsi="Arial"/>
        </w:rPr>
        <w:instrText> HYPERLINK "http://www.consultant.ru/document/cons_doc_LAW_51040/31f958c9cc861b5adba63e474328e9d081635b65/" \l "dst831"</w:instrText>
      </w:r>
      <w:r>
        <w:rPr>
          <w:rStyle w:val="Style21"/>
          <w:sz w:val="22"/>
          <w:szCs w:val="22"/>
          <w:rFonts w:cs="Arial" w:ascii="Arial" w:hAnsi="Arial"/>
        </w:rPr>
        <w:fldChar w:fldCharType="separate"/>
      </w:r>
      <w:r>
        <w:rPr>
          <w:rStyle w:val="Style21"/>
          <w:rFonts w:cs="Arial" w:ascii="Arial" w:hAnsi="Arial"/>
          <w:sz w:val="22"/>
          <w:szCs w:val="22"/>
        </w:rPr>
        <w:t>части 2</w:t>
      </w:r>
      <w:r>
        <w:rPr>
          <w:rStyle w:val="Style21"/>
          <w:sz w:val="22"/>
          <w:szCs w:val="22"/>
          <w:rFonts w:cs="Arial" w:ascii="Arial" w:hAnsi="Arial"/>
        </w:rPr>
        <w:fldChar w:fldCharType="end"/>
      </w:r>
      <w:r>
        <w:rPr>
          <w:rFonts w:cs="Arial" w:ascii="Arial" w:hAnsi="Arial"/>
          <w:sz w:val="22"/>
          <w:szCs w:val="22"/>
        </w:rPr>
        <w:t> настоящей статьи исполнительного органа государственной власти или органа местного самоуправления по договору о комплексном освоении территории в целях строительства жилья экономического класса, предусмотренные </w:t>
      </w:r>
      <w:r>
        <w:fldChar w:fldCharType="begin"/>
      </w:r>
      <w:r>
        <w:rPr>
          <w:rStyle w:val="Style21"/>
          <w:sz w:val="22"/>
          <w:szCs w:val="22"/>
          <w:rFonts w:cs="Arial" w:ascii="Arial" w:hAnsi="Arial"/>
        </w:rPr>
        <w:instrText> HYPERLINK "http://www.consultant.ru/document/cons_doc_LAW_51040/31f958c9cc861b5adba63e474328e9d081635b65/" \l "dst833"</w:instrText>
      </w:r>
      <w:r>
        <w:rPr>
          <w:rStyle w:val="Style21"/>
          <w:sz w:val="22"/>
          <w:szCs w:val="22"/>
          <w:rFonts w:cs="Arial" w:ascii="Arial" w:hAnsi="Arial"/>
        </w:rPr>
        <w:fldChar w:fldCharType="separate"/>
      </w:r>
      <w:r>
        <w:rPr>
          <w:rStyle w:val="Style21"/>
          <w:rFonts w:cs="Arial" w:ascii="Arial" w:hAnsi="Arial"/>
          <w:sz w:val="22"/>
          <w:szCs w:val="22"/>
        </w:rPr>
        <w:t>частями 4</w:t>
      </w:r>
      <w:r>
        <w:rPr>
          <w:rStyle w:val="Style21"/>
          <w:sz w:val="22"/>
          <w:szCs w:val="22"/>
          <w:rFonts w:cs="Arial" w:ascii="Arial" w:hAnsi="Arial"/>
        </w:rPr>
        <w:fldChar w:fldCharType="end"/>
      </w:r>
      <w:r>
        <w:rPr>
          <w:rFonts w:cs="Arial" w:ascii="Arial" w:hAnsi="Arial"/>
          <w:sz w:val="22"/>
          <w:szCs w:val="22"/>
        </w:rPr>
        <w:t> и </w:t>
      </w:r>
      <w:r>
        <w:fldChar w:fldCharType="begin"/>
      </w:r>
      <w:r>
        <w:rPr>
          <w:rStyle w:val="Style21"/>
          <w:sz w:val="22"/>
          <w:szCs w:val="22"/>
          <w:rFonts w:cs="Arial" w:ascii="Arial" w:hAnsi="Arial"/>
        </w:rPr>
        <w:instrText> HYPERLINK "http://www.consultant.ru/document/cons_doc_LAW_51040/31f958c9cc861b5adba63e474328e9d081635b65/" \l "dst851"</w:instrText>
      </w:r>
      <w:r>
        <w:rPr>
          <w:rStyle w:val="Style21"/>
          <w:sz w:val="22"/>
          <w:szCs w:val="22"/>
          <w:rFonts w:cs="Arial" w:ascii="Arial" w:hAnsi="Arial"/>
        </w:rPr>
        <w:fldChar w:fldCharType="separate"/>
      </w:r>
      <w:r>
        <w:rPr>
          <w:rStyle w:val="Style21"/>
          <w:rFonts w:cs="Arial" w:ascii="Arial" w:hAnsi="Arial"/>
          <w:sz w:val="22"/>
          <w:szCs w:val="22"/>
        </w:rPr>
        <w:t>5</w:t>
      </w:r>
      <w:r>
        <w:rPr>
          <w:rStyle w:val="Style21"/>
          <w:sz w:val="22"/>
          <w:szCs w:val="22"/>
          <w:rFonts w:cs="Arial" w:ascii="Arial" w:hAnsi="Arial"/>
        </w:rPr>
        <w:fldChar w:fldCharType="end"/>
      </w:r>
      <w:r>
        <w:rPr>
          <w:rFonts w:cs="Arial" w:ascii="Arial" w:hAnsi="Arial"/>
          <w:sz w:val="22"/>
          <w:szCs w:val="22"/>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r>
        <w:fldChar w:fldCharType="begin"/>
      </w:r>
      <w:r>
        <w:rPr>
          <w:rStyle w:val="Style21"/>
          <w:sz w:val="22"/>
          <w:szCs w:val="22"/>
          <w:rFonts w:cs="Arial" w:ascii="Arial" w:hAnsi="Arial"/>
        </w:rPr>
        <w:instrText> HYPERLINK "http://www.consultant.ru/document/cons_doc_LAW_51040/31f958c9cc861b5adba63e474328e9d081635b65/" \l "dst831"</w:instrText>
      </w:r>
      <w:r>
        <w:rPr>
          <w:rStyle w:val="Style21"/>
          <w:sz w:val="22"/>
          <w:szCs w:val="22"/>
          <w:rFonts w:cs="Arial" w:ascii="Arial" w:hAnsi="Arial"/>
        </w:rPr>
        <w:fldChar w:fldCharType="separate"/>
      </w:r>
      <w:r>
        <w:rPr>
          <w:rStyle w:val="Style21"/>
          <w:rFonts w:cs="Arial" w:ascii="Arial" w:hAnsi="Arial"/>
          <w:sz w:val="22"/>
          <w:szCs w:val="22"/>
        </w:rPr>
        <w:t>части 2</w:t>
      </w:r>
      <w:r>
        <w:rPr>
          <w:rStyle w:val="Style21"/>
          <w:sz w:val="22"/>
          <w:szCs w:val="22"/>
          <w:rFonts w:cs="Arial" w:ascii="Arial" w:hAnsi="Arial"/>
        </w:rPr>
        <w:fldChar w:fldCharType="end"/>
      </w:r>
      <w:r>
        <w:rPr>
          <w:rFonts w:cs="Arial" w:ascii="Arial" w:hAnsi="Arial"/>
          <w:sz w:val="22"/>
          <w:szCs w:val="22"/>
        </w:rPr>
        <w:t> настоящей статьи исполнительным органом государственной власти или органом местного самоуправления соглашениями (договорами).</w:t>
      </w:r>
    </w:p>
    <w:p>
      <w:pPr>
        <w:pStyle w:val="Normal"/>
        <w:autoSpaceDE w:val="false"/>
        <w:ind w:firstLine="540"/>
        <w:rPr>
          <w:rFonts w:ascii="Arial" w:hAnsi="Arial" w:cs="Arial"/>
          <w:b/>
          <w:b/>
          <w:bCs/>
          <w:i/>
          <w:i/>
          <w:sz w:val="22"/>
          <w:szCs w:val="22"/>
        </w:rPr>
      </w:pPr>
      <w:bookmarkStart w:id="35" w:name="dst833"/>
      <w:bookmarkEnd w:id="35"/>
      <w:r>
        <w:rPr>
          <w:rFonts w:cs="Arial" w:ascii="Arial" w:hAnsi="Arial"/>
          <w:sz w:val="22"/>
          <w:szCs w:val="22"/>
        </w:rPr>
        <w:t>4. В договоре о комплексном освоении территории в целях строительства жилья экономического класса содержатся:</w:t>
      </w:r>
    </w:p>
    <w:p>
      <w:pPr>
        <w:pStyle w:val="Normal"/>
        <w:autoSpaceDE w:val="false"/>
        <w:ind w:firstLine="540"/>
        <w:rPr>
          <w:rFonts w:ascii="Arial" w:hAnsi="Arial" w:cs="Arial"/>
          <w:b/>
          <w:b/>
          <w:bCs/>
          <w:i/>
          <w:i/>
          <w:sz w:val="22"/>
          <w:szCs w:val="22"/>
        </w:rPr>
      </w:pPr>
      <w:bookmarkStart w:id="36" w:name="dst834"/>
      <w:bookmarkEnd w:id="36"/>
      <w:r>
        <w:rPr>
          <w:rFonts w:cs="Arial" w:ascii="Arial" w:hAnsi="Arial"/>
          <w:sz w:val="22"/>
          <w:szCs w:val="22"/>
        </w:rPr>
        <w:t>1) сведения о земельном участке, предоставляемом лицу, заключившему данный договор, для комплексного освоения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37" w:name="dst1474"/>
      <w:bookmarkEnd w:id="37"/>
      <w:r>
        <w:rPr>
          <w:rFonts w:cs="Arial" w:ascii="Arial" w:hAnsi="Arial"/>
          <w:sz w:val="22"/>
          <w:szCs w:val="22"/>
        </w:rPr>
        <w:t>2) обязательство лица, заключившего данный договор, подготовить и представить в исполнительный орган государственной власти или орган местного самоуправления документацию по планировке территории, в отношении которой заключается договор, в соответствии с документами территориального планирования, правилами землепользования и застройки, а также утвержденными органом местного самоуправления расчетными показателями минимально допустимого уровня обеспеченности территории объектами коммунальной, транспортной, социальной инфраструктур и расчетными показателями максимально допустимого уровня территориальной доступности указанных объектов для населения; максимальные сроки подготовки и представления таких документов;</w:t>
      </w:r>
    </w:p>
    <w:p>
      <w:pPr>
        <w:pStyle w:val="Normal"/>
        <w:autoSpaceDE w:val="false"/>
        <w:ind w:firstLine="540"/>
        <w:rPr>
          <w:rFonts w:ascii="Arial" w:hAnsi="Arial" w:cs="Arial"/>
          <w:b/>
          <w:b/>
          <w:bCs/>
          <w:i/>
          <w:i/>
          <w:sz w:val="22"/>
          <w:szCs w:val="22"/>
        </w:rPr>
      </w:pPr>
      <w:bookmarkStart w:id="38" w:name="dst836"/>
      <w:bookmarkEnd w:id="38"/>
      <w:r>
        <w:rPr>
          <w:rFonts w:cs="Arial" w:ascii="Arial" w:hAnsi="Arial"/>
          <w:sz w:val="22"/>
          <w:szCs w:val="22"/>
        </w:rPr>
        <w:t>3) обязательство исполнительного органа государственной власти или органа местного самоуправления обеспечить рассмотрение и утверждение документации по планировке территории в порядке, установленном Градостроительным кодексом РФ, максимальный срок выполнения этого обязательства;</w:t>
      </w:r>
    </w:p>
    <w:p>
      <w:pPr>
        <w:pStyle w:val="Normal"/>
        <w:autoSpaceDE w:val="false"/>
        <w:ind w:firstLine="540"/>
        <w:rPr>
          <w:rFonts w:ascii="Arial" w:hAnsi="Arial" w:cs="Arial"/>
          <w:b/>
          <w:b/>
          <w:bCs/>
          <w:i/>
          <w:i/>
          <w:sz w:val="22"/>
          <w:szCs w:val="22"/>
        </w:rPr>
      </w:pPr>
      <w:bookmarkStart w:id="39" w:name="dst837"/>
      <w:bookmarkEnd w:id="39"/>
      <w:r>
        <w:rPr>
          <w:rFonts w:cs="Arial" w:ascii="Arial" w:hAnsi="Arial"/>
          <w:sz w:val="22"/>
          <w:szCs w:val="22"/>
        </w:rPr>
        <w:t>4) обязательство сторон данного договора осуществить на земельном участке, указанном в </w:t>
      </w:r>
      <w:r>
        <w:fldChar w:fldCharType="begin"/>
      </w:r>
      <w:r>
        <w:rPr>
          <w:rStyle w:val="Style21"/>
          <w:sz w:val="22"/>
          <w:szCs w:val="22"/>
          <w:rFonts w:cs="Arial" w:ascii="Arial" w:hAnsi="Arial"/>
        </w:rPr>
        <w:instrText> HYPERLINK "http://www.consultant.ru/document/cons_doc_LAW_51040/31f958c9cc861b5adba63e474328e9d081635b65/" \l "dst834"</w:instrText>
      </w:r>
      <w:r>
        <w:rPr>
          <w:rStyle w:val="Style21"/>
          <w:sz w:val="22"/>
          <w:szCs w:val="22"/>
          <w:rFonts w:cs="Arial" w:ascii="Arial" w:hAnsi="Arial"/>
        </w:rPr>
        <w:fldChar w:fldCharType="separate"/>
      </w:r>
      <w:r>
        <w:rPr>
          <w:rStyle w:val="Style21"/>
          <w:rFonts w:cs="Arial" w:ascii="Arial" w:hAnsi="Arial"/>
          <w:sz w:val="22"/>
          <w:szCs w:val="22"/>
        </w:rPr>
        <w:t>пункте 1</w:t>
      </w:r>
      <w:r>
        <w:rPr>
          <w:rStyle w:val="Style21"/>
          <w:sz w:val="22"/>
          <w:szCs w:val="22"/>
          <w:rFonts w:cs="Arial" w:ascii="Arial" w:hAnsi="Arial"/>
        </w:rPr>
        <w:fldChar w:fldCharType="end"/>
      </w:r>
      <w:r>
        <w:rPr>
          <w:rFonts w:cs="Arial" w:ascii="Arial" w:hAnsi="Arial"/>
          <w:sz w:val="22"/>
          <w:szCs w:val="22"/>
        </w:rPr>
        <w:t> настоящей части, или на земельных участках, образованных из указанного земельного участка, предусмотренные данным договором мероприятия по благоустройству, в том числе озеленению, и сроки их осуществления;</w:t>
      </w:r>
    </w:p>
    <w:p>
      <w:pPr>
        <w:pStyle w:val="Normal"/>
        <w:autoSpaceDE w:val="false"/>
        <w:ind w:firstLine="540"/>
        <w:rPr>
          <w:rFonts w:ascii="Arial" w:hAnsi="Arial" w:cs="Arial"/>
          <w:b/>
          <w:b/>
          <w:bCs/>
          <w:i/>
          <w:i/>
          <w:sz w:val="22"/>
          <w:szCs w:val="22"/>
        </w:rPr>
      </w:pPr>
      <w:bookmarkStart w:id="40" w:name="dst1475"/>
      <w:bookmarkEnd w:id="40"/>
      <w:r>
        <w:rPr>
          <w:rFonts w:cs="Arial" w:ascii="Arial" w:hAnsi="Arial"/>
          <w:sz w:val="22"/>
          <w:szCs w:val="22"/>
        </w:rPr>
        <w:t>5) обязательство лица, заключившего данный договор, осуществить образование земельных участков из земельного участка, указанного в </w:t>
      </w:r>
      <w:r>
        <w:fldChar w:fldCharType="begin"/>
      </w:r>
      <w:r>
        <w:rPr>
          <w:rStyle w:val="Style21"/>
          <w:sz w:val="22"/>
          <w:szCs w:val="22"/>
          <w:rFonts w:cs="Arial" w:ascii="Arial" w:hAnsi="Arial"/>
        </w:rPr>
        <w:instrText> HYPERLINK "http://www.consultant.ru/document/cons_doc_LAW_51040/31f958c9cc861b5adba63e474328e9d081635b65/" \l "dst834"</w:instrText>
      </w:r>
      <w:r>
        <w:rPr>
          <w:rStyle w:val="Style21"/>
          <w:sz w:val="22"/>
          <w:szCs w:val="22"/>
          <w:rFonts w:cs="Arial" w:ascii="Arial" w:hAnsi="Arial"/>
        </w:rPr>
        <w:fldChar w:fldCharType="separate"/>
      </w:r>
      <w:r>
        <w:rPr>
          <w:rStyle w:val="Style21"/>
          <w:rFonts w:cs="Arial" w:ascii="Arial" w:hAnsi="Arial"/>
          <w:sz w:val="22"/>
          <w:szCs w:val="22"/>
        </w:rPr>
        <w:t>пункте 1</w:t>
      </w:r>
      <w:r>
        <w:rPr>
          <w:rStyle w:val="Style21"/>
          <w:sz w:val="22"/>
          <w:szCs w:val="22"/>
          <w:rFonts w:cs="Arial" w:ascii="Arial" w:hAnsi="Arial"/>
        </w:rPr>
        <w:fldChar w:fldCharType="end"/>
      </w:r>
      <w:r>
        <w:rPr>
          <w:rFonts w:cs="Arial" w:ascii="Arial" w:hAnsi="Arial"/>
          <w:sz w:val="22"/>
          <w:szCs w:val="22"/>
        </w:rPr>
        <w:t> настоящей части, в соответствии с утвержденным проектом межевания территории, в том числе обеспечить за свой счет выполнение в отношении таких земельных участков в соответствии с требованиями, установленными Федеральным </w:t>
      </w:r>
      <w:hyperlink r:id="rId5">
        <w:r>
          <w:rPr>
            <w:rStyle w:val="Style21"/>
            <w:rFonts w:cs="Arial" w:ascii="Arial" w:hAnsi="Arial"/>
            <w:sz w:val="22"/>
            <w:szCs w:val="22"/>
          </w:rPr>
          <w:t>законом</w:t>
        </w:r>
      </w:hyperlink>
      <w:r>
        <w:rPr>
          <w:rFonts w:cs="Arial" w:ascii="Arial" w:hAnsi="Arial"/>
          <w:sz w:val="22"/>
          <w:szCs w:val="22"/>
        </w:rPr>
        <w:t> от 13 июля 2015 года N 218-ФЗ "О государственной регистрации недвижимости",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таких земельных участках, и обратиться с заявлением об осуществлении государственного кадастрового учета таких земельных участков, максимальные сроки выполнения этого обязательства;</w:t>
      </w:r>
    </w:p>
    <w:p>
      <w:pPr>
        <w:pStyle w:val="Normal"/>
        <w:autoSpaceDE w:val="false"/>
        <w:ind w:firstLine="540"/>
        <w:rPr>
          <w:rFonts w:ascii="Arial" w:hAnsi="Arial" w:cs="Arial"/>
          <w:b/>
          <w:b/>
          <w:bCs/>
          <w:i/>
          <w:i/>
          <w:sz w:val="22"/>
          <w:szCs w:val="22"/>
        </w:rPr>
      </w:pPr>
      <w:bookmarkStart w:id="41" w:name="dst839"/>
      <w:bookmarkEnd w:id="41"/>
      <w:r>
        <w:rPr>
          <w:rFonts w:cs="Arial" w:ascii="Arial" w:hAnsi="Arial"/>
          <w:sz w:val="22"/>
          <w:szCs w:val="22"/>
        </w:rPr>
        <w:t>6) право лица, заключившего данный договор, обратиться без доверенности с заявлением о государственной регистрации государственной или муниципальной собственности на земельные участки, образованные в соответствии с </w:t>
      </w:r>
      <w:r>
        <w:fldChar w:fldCharType="begin"/>
      </w:r>
      <w:r>
        <w:rPr>
          <w:rStyle w:val="Style21"/>
          <w:sz w:val="22"/>
          <w:szCs w:val="22"/>
          <w:rFonts w:cs="Arial" w:ascii="Arial" w:hAnsi="Arial"/>
        </w:rPr>
        <w:instrText> HYPERLINK "http://www.consultant.ru/document/cons_doc_LAW_51040/31f958c9cc861b5adba63e474328e9d081635b65/" \l "dst1475"</w:instrText>
      </w:r>
      <w:r>
        <w:rPr>
          <w:rStyle w:val="Style21"/>
          <w:sz w:val="22"/>
          <w:szCs w:val="22"/>
          <w:rFonts w:cs="Arial" w:ascii="Arial" w:hAnsi="Arial"/>
        </w:rPr>
        <w:fldChar w:fldCharType="separate"/>
      </w:r>
      <w:r>
        <w:rPr>
          <w:rStyle w:val="Style21"/>
          <w:rFonts w:cs="Arial" w:ascii="Arial" w:hAnsi="Arial"/>
          <w:sz w:val="22"/>
          <w:szCs w:val="22"/>
        </w:rPr>
        <w:t>пунктом 5</w:t>
      </w:r>
      <w:r>
        <w:rPr>
          <w:rStyle w:val="Style21"/>
          <w:sz w:val="22"/>
          <w:szCs w:val="22"/>
          <w:rFonts w:cs="Arial" w:ascii="Arial" w:hAnsi="Arial"/>
        </w:rPr>
        <w:fldChar w:fldCharType="end"/>
      </w:r>
      <w:r>
        <w:rPr>
          <w:rFonts w:cs="Arial" w:ascii="Arial" w:hAnsi="Arial"/>
          <w:sz w:val="22"/>
          <w:szCs w:val="22"/>
        </w:rPr>
        <w:t> настоящей части;</w:t>
      </w:r>
    </w:p>
    <w:p>
      <w:pPr>
        <w:pStyle w:val="Normal"/>
        <w:autoSpaceDE w:val="false"/>
        <w:ind w:firstLine="540"/>
        <w:rPr>
          <w:rFonts w:ascii="Arial" w:hAnsi="Arial" w:cs="Arial"/>
          <w:b/>
          <w:b/>
          <w:bCs/>
          <w:i/>
          <w:i/>
          <w:sz w:val="22"/>
          <w:szCs w:val="22"/>
        </w:rPr>
      </w:pPr>
      <w:bookmarkStart w:id="42" w:name="dst840"/>
      <w:bookmarkEnd w:id="42"/>
      <w:r>
        <w:rPr>
          <w:rFonts w:cs="Arial" w:ascii="Arial" w:hAnsi="Arial"/>
          <w:sz w:val="22"/>
          <w:szCs w:val="22"/>
        </w:rPr>
        <w:t>7) обязательство исполнительного органа государственной власти или органа местного самоуправления, заключивших данный договор, предоставить в соответствии с земельным законодательством лицу, заключившему данный договор, земельные участки, образованные в соответствии с </w:t>
      </w:r>
      <w:r>
        <w:fldChar w:fldCharType="begin"/>
      </w:r>
      <w:r>
        <w:rPr>
          <w:rStyle w:val="Style21"/>
          <w:sz w:val="22"/>
          <w:szCs w:val="22"/>
          <w:rFonts w:cs="Arial" w:ascii="Arial" w:hAnsi="Arial"/>
        </w:rPr>
        <w:instrText> HYPERLINK "http://www.consultant.ru/document/cons_doc_LAW_51040/31f958c9cc861b5adba63e474328e9d081635b65/" \l "dst1475"</w:instrText>
      </w:r>
      <w:r>
        <w:rPr>
          <w:rStyle w:val="Style21"/>
          <w:sz w:val="22"/>
          <w:szCs w:val="22"/>
          <w:rFonts w:cs="Arial" w:ascii="Arial" w:hAnsi="Arial"/>
        </w:rPr>
        <w:fldChar w:fldCharType="separate"/>
      </w:r>
      <w:r>
        <w:rPr>
          <w:rStyle w:val="Style21"/>
          <w:rFonts w:cs="Arial" w:ascii="Arial" w:hAnsi="Arial"/>
          <w:sz w:val="22"/>
          <w:szCs w:val="22"/>
        </w:rPr>
        <w:t>пунктом 5</w:t>
      </w:r>
      <w:r>
        <w:rPr>
          <w:rStyle w:val="Style21"/>
          <w:sz w:val="22"/>
          <w:szCs w:val="22"/>
          <w:rFonts w:cs="Arial" w:ascii="Arial" w:hAnsi="Arial"/>
        </w:rPr>
        <w:fldChar w:fldCharType="end"/>
      </w:r>
      <w:r>
        <w:rPr>
          <w:rFonts w:cs="Arial" w:ascii="Arial" w:hAnsi="Arial"/>
          <w:sz w:val="22"/>
          <w:szCs w:val="22"/>
        </w:rPr>
        <w:t> настоящей части и необходимые такому лицу для исполнения обязательств по данному договору, в аренду без проведения торгов;</w:t>
      </w:r>
    </w:p>
    <w:p>
      <w:pPr>
        <w:pStyle w:val="Normal"/>
        <w:autoSpaceDE w:val="false"/>
        <w:ind w:firstLine="540"/>
        <w:rPr>
          <w:rFonts w:ascii="Arial" w:hAnsi="Arial" w:cs="Arial"/>
          <w:b/>
          <w:b/>
          <w:bCs/>
          <w:i/>
          <w:i/>
          <w:sz w:val="22"/>
          <w:szCs w:val="22"/>
        </w:rPr>
      </w:pPr>
      <w:bookmarkStart w:id="43" w:name="dst841"/>
      <w:bookmarkEnd w:id="43"/>
      <w:r>
        <w:rPr>
          <w:rFonts w:cs="Arial" w:ascii="Arial" w:hAnsi="Arial"/>
          <w:sz w:val="22"/>
          <w:szCs w:val="22"/>
        </w:rPr>
        <w:t>8) обязательство сторон данного договора обеспечить строительство на земельном участке, в отношении которого заключен данный договор, или на земельных участках, образованных из такого земельного участка, объектов транспортной, коммунальной и социальной инфраструктур в соответствии с проектом планировки территории, и ввод указанных объектов в эксплуатацию, максимальные сроки выполнения этого обязательства;</w:t>
      </w:r>
    </w:p>
    <w:p>
      <w:pPr>
        <w:pStyle w:val="Normal"/>
        <w:autoSpaceDE w:val="false"/>
        <w:ind w:firstLine="540"/>
        <w:rPr>
          <w:rFonts w:ascii="Arial" w:hAnsi="Arial" w:cs="Arial"/>
          <w:b/>
          <w:b/>
          <w:bCs/>
          <w:i/>
          <w:i/>
          <w:sz w:val="22"/>
          <w:szCs w:val="22"/>
        </w:rPr>
      </w:pPr>
      <w:bookmarkStart w:id="44" w:name="dst1476"/>
      <w:bookmarkEnd w:id="44"/>
      <w:r>
        <w:rPr>
          <w:rFonts w:cs="Arial" w:ascii="Arial" w:hAnsi="Arial"/>
          <w:sz w:val="22"/>
          <w:szCs w:val="22"/>
        </w:rPr>
        <w:t>9) обязательство лица, заключившего данный договор, обеспечить строительство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r>
        <w:fldChar w:fldCharType="begin"/>
      </w:r>
      <w:r>
        <w:rPr>
          <w:rStyle w:val="Style21"/>
          <w:sz w:val="22"/>
          <w:szCs w:val="22"/>
          <w:rFonts w:cs="Arial" w:ascii="Arial" w:hAnsi="Arial"/>
        </w:rPr>
        <w:instrText> HYPERLINK "http://www.consultant.ru/document/cons_doc_LAW_51040/31f958c9cc861b5adba63e474328e9d081635b65/" \l "dst858"</w:instrText>
      </w:r>
      <w:r>
        <w:rPr>
          <w:rStyle w:val="Style21"/>
          <w:sz w:val="22"/>
          <w:szCs w:val="22"/>
          <w:rFonts w:cs="Arial" w:ascii="Arial" w:hAnsi="Arial"/>
        </w:rPr>
        <w:fldChar w:fldCharType="separate"/>
      </w:r>
      <w:r>
        <w:rPr>
          <w:rStyle w:val="Style21"/>
          <w:rFonts w:cs="Arial" w:ascii="Arial" w:hAnsi="Arial"/>
          <w:sz w:val="22"/>
          <w:szCs w:val="22"/>
        </w:rPr>
        <w:t>частью 6</w:t>
      </w:r>
      <w:r>
        <w:rPr>
          <w:rStyle w:val="Style21"/>
          <w:sz w:val="22"/>
          <w:szCs w:val="22"/>
          <w:rFonts w:cs="Arial" w:ascii="Arial" w:hAnsi="Arial"/>
        </w:rPr>
        <w:fldChar w:fldCharType="end"/>
      </w:r>
      <w:r>
        <w:rPr>
          <w:rFonts w:cs="Arial" w:ascii="Arial" w:hAnsi="Arial"/>
          <w:sz w:val="22"/>
          <w:szCs w:val="22"/>
        </w:rPr>
        <w:t> настоящей статьи их минимальный объем соответствуют условиям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в соответствии с этапами строительства и графиками осуществления строительства каждого объекта капитального строительства в предусмотренные указанными графиками сроки;</w:t>
      </w:r>
    </w:p>
    <w:p>
      <w:pPr>
        <w:pStyle w:val="Normal"/>
        <w:autoSpaceDE w:val="false"/>
        <w:ind w:firstLine="540"/>
        <w:rPr>
          <w:rFonts w:ascii="Arial" w:hAnsi="Arial" w:cs="Arial"/>
          <w:b/>
          <w:b/>
          <w:bCs/>
          <w:i/>
          <w:i/>
          <w:sz w:val="22"/>
          <w:szCs w:val="22"/>
        </w:rPr>
      </w:pPr>
      <w:bookmarkStart w:id="45" w:name="dst843"/>
      <w:bookmarkEnd w:id="45"/>
      <w:r>
        <w:rPr>
          <w:rFonts w:cs="Arial" w:ascii="Arial" w:hAnsi="Arial"/>
          <w:sz w:val="22"/>
          <w:szCs w:val="22"/>
        </w:rPr>
        <w:t>10) обязательство лица, заключившего данный договор, обеспечить строительство иных, не указанных в </w:t>
      </w:r>
      <w:r>
        <w:fldChar w:fldCharType="begin"/>
      </w:r>
      <w:r>
        <w:rPr>
          <w:rStyle w:val="Style21"/>
          <w:sz w:val="22"/>
          <w:szCs w:val="22"/>
          <w:rFonts w:cs="Arial" w:ascii="Arial" w:hAnsi="Arial"/>
        </w:rPr>
        <w:instrText> HYPERLINK "http://www.consultant.ru/document/cons_doc_LAW_51040/31f958c9cc861b5adba63e474328e9d081635b65/" \l "dst841"</w:instrText>
      </w:r>
      <w:r>
        <w:rPr>
          <w:rStyle w:val="Style21"/>
          <w:sz w:val="22"/>
          <w:szCs w:val="22"/>
          <w:rFonts w:cs="Arial" w:ascii="Arial" w:hAnsi="Arial"/>
        </w:rPr>
        <w:fldChar w:fldCharType="separate"/>
      </w:r>
      <w:r>
        <w:rPr>
          <w:rStyle w:val="Style21"/>
          <w:rFonts w:cs="Arial" w:ascii="Arial" w:hAnsi="Arial"/>
          <w:sz w:val="22"/>
          <w:szCs w:val="22"/>
        </w:rPr>
        <w:t>пунктах 8</w:t>
      </w:r>
      <w:r>
        <w:rPr>
          <w:rStyle w:val="Style21"/>
          <w:sz w:val="22"/>
          <w:szCs w:val="22"/>
          <w:rFonts w:cs="Arial" w:ascii="Arial" w:hAnsi="Arial"/>
        </w:rPr>
        <w:fldChar w:fldCharType="end"/>
      </w:r>
      <w:r>
        <w:rPr>
          <w:rFonts w:cs="Arial" w:ascii="Arial" w:hAnsi="Arial"/>
          <w:sz w:val="22"/>
          <w:szCs w:val="22"/>
        </w:rPr>
        <w:t> и </w:t>
      </w:r>
      <w:r>
        <w:fldChar w:fldCharType="begin"/>
      </w:r>
      <w:r>
        <w:rPr>
          <w:rStyle w:val="Style21"/>
          <w:sz w:val="22"/>
          <w:szCs w:val="22"/>
          <w:rFonts w:cs="Arial" w:ascii="Arial" w:hAnsi="Arial"/>
        </w:rPr>
        <w:instrText> HYPERLINK "http://www.consultant.ru/document/cons_doc_LAW_51040/31f958c9cc861b5adba63e474328e9d081635b65/" \l "dst1476"</w:instrText>
      </w:r>
      <w:r>
        <w:rPr>
          <w:rStyle w:val="Style21"/>
          <w:sz w:val="22"/>
          <w:szCs w:val="22"/>
          <w:rFonts w:cs="Arial" w:ascii="Arial" w:hAnsi="Arial"/>
        </w:rPr>
        <w:fldChar w:fldCharType="separate"/>
      </w:r>
      <w:r>
        <w:rPr>
          <w:rStyle w:val="Style21"/>
          <w:rFonts w:cs="Arial" w:ascii="Arial" w:hAnsi="Arial"/>
          <w:sz w:val="22"/>
          <w:szCs w:val="22"/>
        </w:rPr>
        <w:t>9</w:t>
      </w:r>
      <w:r>
        <w:rPr>
          <w:rStyle w:val="Style21"/>
          <w:sz w:val="22"/>
          <w:szCs w:val="22"/>
          <w:rFonts w:cs="Arial" w:ascii="Arial" w:hAnsi="Arial"/>
        </w:rPr>
        <w:fldChar w:fldCharType="end"/>
      </w:r>
      <w:r>
        <w:rPr>
          <w:rFonts w:cs="Arial" w:ascii="Arial" w:hAnsi="Arial"/>
          <w:sz w:val="22"/>
          <w:szCs w:val="22"/>
        </w:rPr>
        <w:t> настоящей части объектов в соответствии с проектом планировки территории, максимальные сроки выполнения этого обязательства;</w:t>
      </w:r>
    </w:p>
    <w:p>
      <w:pPr>
        <w:pStyle w:val="Normal"/>
        <w:autoSpaceDE w:val="false"/>
        <w:ind w:firstLine="540"/>
        <w:rPr>
          <w:rFonts w:ascii="Arial" w:hAnsi="Arial" w:cs="Arial"/>
          <w:b/>
          <w:b/>
          <w:bCs/>
          <w:i/>
          <w:i/>
          <w:sz w:val="22"/>
          <w:szCs w:val="22"/>
        </w:rPr>
      </w:pPr>
      <w:bookmarkStart w:id="46" w:name="dst844"/>
      <w:bookmarkEnd w:id="46"/>
      <w:r>
        <w:rPr>
          <w:rFonts w:cs="Arial" w:ascii="Arial" w:hAnsi="Arial"/>
          <w:sz w:val="22"/>
          <w:szCs w:val="22"/>
        </w:rPr>
        <w:t>11) обязательство лица, заключившего данный договор, заключить в сроки, предусмотренные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частью 10 статьи 46.5</w:t>
      </w:r>
      <w:r>
        <w:rPr>
          <w:rStyle w:val="Style21"/>
          <w:sz w:val="22"/>
          <w:szCs w:val="22"/>
          <w:rFonts w:cs="Arial" w:ascii="Arial" w:hAnsi="Arial"/>
        </w:rPr>
        <w:fldChar w:fldCharType="end"/>
      </w:r>
      <w:r>
        <w:rPr>
          <w:rFonts w:cs="Arial" w:ascii="Arial" w:hAnsi="Arial"/>
          <w:sz w:val="22"/>
          <w:szCs w:val="22"/>
        </w:rPr>
        <w:t> Градостроительного кодекса РФ, с гражданами, имеющими право на приобретение жилья экономического класса, договоры участия в долевом строительстве жилья экономического класса, договоры купли-продажи жилья экономического класса в отношении указанных в </w:t>
      </w:r>
      <w:r>
        <w:fldChar w:fldCharType="begin"/>
      </w:r>
      <w:r>
        <w:rPr>
          <w:rStyle w:val="Style21"/>
          <w:sz w:val="22"/>
          <w:szCs w:val="22"/>
          <w:rFonts w:cs="Arial" w:ascii="Arial" w:hAnsi="Arial"/>
        </w:rPr>
        <w:instrText> HYPERLINK "http://www.consultant.ru/document/cons_doc_LAW_51040/31f958c9cc861b5adba63e474328e9d081635b65/" \l "dst1476"</w:instrText>
      </w:r>
      <w:r>
        <w:rPr>
          <w:rStyle w:val="Style21"/>
          <w:sz w:val="22"/>
          <w:szCs w:val="22"/>
          <w:rFonts w:cs="Arial" w:ascii="Arial" w:hAnsi="Arial"/>
        </w:rPr>
        <w:fldChar w:fldCharType="separate"/>
      </w:r>
      <w:r>
        <w:rPr>
          <w:rStyle w:val="Style21"/>
          <w:rFonts w:cs="Arial" w:ascii="Arial" w:hAnsi="Arial"/>
          <w:sz w:val="22"/>
          <w:szCs w:val="22"/>
        </w:rPr>
        <w:t>пункте 9</w:t>
      </w:r>
      <w:r>
        <w:rPr>
          <w:rStyle w:val="Style21"/>
          <w:sz w:val="22"/>
          <w:szCs w:val="22"/>
          <w:rFonts w:cs="Arial" w:ascii="Arial" w:hAnsi="Arial"/>
        </w:rPr>
        <w:fldChar w:fldCharType="end"/>
      </w:r>
      <w:r>
        <w:rPr>
          <w:rFonts w:cs="Arial" w:ascii="Arial" w:hAnsi="Arial"/>
          <w:sz w:val="22"/>
          <w:szCs w:val="22"/>
        </w:rPr>
        <w:t> настоящей части жилых помещений, в том числе объектов индивидуального жилищного строительства, по цене за один квадратный метр общей площади жилого помещения, не превышающей цены, указанной в протоколе о результатах аукциона на право заключения данного договора, либо в случаях, предусмотренных </w:t>
      </w:r>
      <w:r>
        <w:fldChar w:fldCharType="begin"/>
      </w:r>
      <w:r>
        <w:rPr>
          <w:rStyle w:val="Style21"/>
          <w:sz w:val="22"/>
          <w:szCs w:val="22"/>
          <w:rFonts w:cs="Arial" w:ascii="Arial" w:hAnsi="Arial"/>
        </w:rPr>
        <w:instrText> HYPERLINK "http://www.consultant.ru/document/cons_doc_LAW_51040/2ae2be925a5986af55bf95286e73d1e17b501157/" \l "dst916"</w:instrText>
      </w:r>
      <w:r>
        <w:rPr>
          <w:rStyle w:val="Style21"/>
          <w:sz w:val="22"/>
          <w:szCs w:val="22"/>
          <w:rFonts w:cs="Arial" w:ascii="Arial" w:hAnsi="Arial"/>
        </w:rPr>
        <w:fldChar w:fldCharType="separate"/>
      </w:r>
      <w:r>
        <w:rPr>
          <w:rStyle w:val="Style21"/>
          <w:rFonts w:cs="Arial" w:ascii="Arial" w:hAnsi="Arial"/>
          <w:sz w:val="22"/>
          <w:szCs w:val="22"/>
        </w:rPr>
        <w:t>частями 24</w:t>
      </w:r>
      <w:r>
        <w:rPr>
          <w:rStyle w:val="Style21"/>
          <w:sz w:val="22"/>
          <w:szCs w:val="22"/>
          <w:rFonts w:cs="Arial" w:ascii="Arial" w:hAnsi="Arial"/>
        </w:rPr>
        <w:fldChar w:fldCharType="end"/>
      </w:r>
      <w:r>
        <w:rPr>
          <w:rFonts w:cs="Arial" w:ascii="Arial" w:hAnsi="Arial"/>
          <w:sz w:val="22"/>
          <w:szCs w:val="22"/>
        </w:rPr>
        <w:t> - </w:t>
      </w:r>
      <w:r>
        <w:fldChar w:fldCharType="begin"/>
      </w:r>
      <w:r>
        <w:rPr>
          <w:rStyle w:val="Style21"/>
          <w:sz w:val="22"/>
          <w:szCs w:val="22"/>
          <w:rFonts w:cs="Arial" w:ascii="Arial" w:hAnsi="Arial"/>
        </w:rPr>
        <w:instrText> HYPERLINK "http://www.consultant.ru/document/cons_doc_LAW_51040/2ae2be925a5986af55bf95286e73d1e17b501157/" \l "dst918"</w:instrText>
      </w:r>
      <w:r>
        <w:rPr>
          <w:rStyle w:val="Style21"/>
          <w:sz w:val="22"/>
          <w:szCs w:val="22"/>
          <w:rFonts w:cs="Arial" w:ascii="Arial" w:hAnsi="Arial"/>
        </w:rPr>
        <w:fldChar w:fldCharType="separate"/>
      </w:r>
      <w:r>
        <w:rPr>
          <w:rStyle w:val="Style21"/>
          <w:rFonts w:cs="Arial" w:ascii="Arial" w:hAnsi="Arial"/>
          <w:sz w:val="22"/>
          <w:szCs w:val="22"/>
        </w:rPr>
        <w:t>26 статьи 46.7</w:t>
      </w:r>
      <w:r>
        <w:rPr>
          <w:rStyle w:val="Style21"/>
          <w:sz w:val="22"/>
          <w:szCs w:val="22"/>
          <w:rFonts w:cs="Arial" w:ascii="Arial" w:hAnsi="Arial"/>
        </w:rPr>
        <w:fldChar w:fldCharType="end"/>
      </w:r>
      <w:r>
        <w:rPr>
          <w:rFonts w:cs="Arial" w:ascii="Arial" w:hAnsi="Arial"/>
          <w:sz w:val="22"/>
          <w:szCs w:val="22"/>
        </w:rPr>
        <w:t> Градостроительного кодекса РФ, начальной цены предмета такого аукциона (далее в настоящей статье - максимальная цена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47" w:name="dst845"/>
      <w:bookmarkEnd w:id="47"/>
      <w:r>
        <w:rPr>
          <w:rFonts w:cs="Arial" w:ascii="Arial" w:hAnsi="Arial"/>
          <w:sz w:val="22"/>
          <w:szCs w:val="22"/>
        </w:rPr>
        <w:t>12) максимальная цена одного квадратного метра жилья экономического класса;</w:t>
      </w:r>
    </w:p>
    <w:p>
      <w:pPr>
        <w:pStyle w:val="Normal"/>
        <w:autoSpaceDE w:val="false"/>
        <w:ind w:firstLine="540"/>
        <w:rPr>
          <w:rFonts w:ascii="Arial" w:hAnsi="Arial" w:cs="Arial"/>
          <w:b/>
          <w:b/>
          <w:bCs/>
          <w:i/>
          <w:i/>
          <w:sz w:val="22"/>
          <w:szCs w:val="22"/>
        </w:rPr>
      </w:pPr>
      <w:bookmarkStart w:id="48" w:name="dst846"/>
      <w:bookmarkEnd w:id="48"/>
      <w:r>
        <w:rPr>
          <w:rFonts w:cs="Arial" w:ascii="Arial" w:hAnsi="Arial"/>
          <w:sz w:val="22"/>
          <w:szCs w:val="22"/>
        </w:rPr>
        <w:t>13) право лица, заключившего данный договор, по истечении срока, предусмотренного </w:t>
      </w:r>
      <w:r>
        <w:fldChar w:fldCharType="begin"/>
      </w:r>
      <w:r>
        <w:rPr>
          <w:rStyle w:val="Style21"/>
          <w:sz w:val="22"/>
          <w:szCs w:val="22"/>
          <w:rFonts w:cs="Arial" w:ascii="Arial" w:hAnsi="Arial"/>
        </w:rPr>
        <w:instrText> HYPERLINK "http://www.consultant.ru/document/cons_doc_LAW_51040/4ca2927cf88949f634af8d777b5effabc2f8b87e/" \l "dst824"</w:instrText>
      </w:r>
      <w:r>
        <w:rPr>
          <w:rStyle w:val="Style21"/>
          <w:sz w:val="22"/>
          <w:szCs w:val="22"/>
          <w:rFonts w:cs="Arial" w:ascii="Arial" w:hAnsi="Arial"/>
        </w:rPr>
        <w:fldChar w:fldCharType="separate"/>
      </w:r>
      <w:r>
        <w:rPr>
          <w:rStyle w:val="Style21"/>
          <w:rFonts w:cs="Arial" w:ascii="Arial" w:hAnsi="Arial"/>
          <w:sz w:val="22"/>
          <w:szCs w:val="22"/>
        </w:rPr>
        <w:t>пунктом 2 части 10 статьи 46.5</w:t>
      </w:r>
      <w:r>
        <w:rPr>
          <w:rStyle w:val="Style21"/>
          <w:sz w:val="22"/>
          <w:szCs w:val="22"/>
          <w:rFonts w:cs="Arial" w:ascii="Arial" w:hAnsi="Arial"/>
        </w:rPr>
        <w:fldChar w:fldCharType="end"/>
      </w:r>
      <w:r>
        <w:rPr>
          <w:rFonts w:cs="Arial" w:ascii="Arial" w:hAnsi="Arial"/>
          <w:sz w:val="22"/>
          <w:szCs w:val="22"/>
        </w:rPr>
        <w:t> Градостроительного кодекса РФ, на распоряжение указанными в </w:t>
      </w:r>
      <w:r>
        <w:fldChar w:fldCharType="begin"/>
      </w:r>
      <w:r>
        <w:rPr>
          <w:rStyle w:val="Style21"/>
          <w:sz w:val="22"/>
          <w:szCs w:val="22"/>
          <w:rFonts w:cs="Arial" w:ascii="Arial" w:hAnsi="Arial"/>
        </w:rPr>
        <w:instrText> HYPERLINK "http://www.consultant.ru/document/cons_doc_LAW_51040/31f958c9cc861b5adba63e474328e9d081635b65/" \l "dst1476"</w:instrText>
      </w:r>
      <w:r>
        <w:rPr>
          <w:rStyle w:val="Style21"/>
          <w:sz w:val="22"/>
          <w:szCs w:val="22"/>
          <w:rFonts w:cs="Arial" w:ascii="Arial" w:hAnsi="Arial"/>
        </w:rPr>
        <w:fldChar w:fldCharType="separate"/>
      </w:r>
      <w:r>
        <w:rPr>
          <w:rStyle w:val="Style21"/>
          <w:rFonts w:cs="Arial" w:ascii="Arial" w:hAnsi="Arial"/>
          <w:sz w:val="22"/>
          <w:szCs w:val="22"/>
        </w:rPr>
        <w:t>пункте 9</w:t>
      </w:r>
      <w:r>
        <w:rPr>
          <w:rStyle w:val="Style21"/>
          <w:sz w:val="22"/>
          <w:szCs w:val="22"/>
          <w:rFonts w:cs="Arial" w:ascii="Arial" w:hAnsi="Arial"/>
        </w:rPr>
        <w:fldChar w:fldCharType="end"/>
      </w:r>
      <w:r>
        <w:rPr>
          <w:rFonts w:cs="Arial" w:ascii="Arial" w:hAnsi="Arial"/>
          <w:sz w:val="22"/>
          <w:szCs w:val="22"/>
        </w:rPr>
        <w:t> настоящей части жилыми помещениями, в том числе объектами индивидуального жилищного строительства, без ограничений, установленных данным договором;</w:t>
      </w:r>
    </w:p>
    <w:p>
      <w:pPr>
        <w:pStyle w:val="Normal"/>
        <w:autoSpaceDE w:val="false"/>
        <w:ind w:firstLine="540"/>
        <w:rPr>
          <w:rFonts w:ascii="Arial" w:hAnsi="Arial" w:cs="Arial"/>
          <w:b/>
          <w:b/>
          <w:bCs/>
          <w:i/>
          <w:i/>
          <w:sz w:val="22"/>
          <w:szCs w:val="22"/>
        </w:rPr>
      </w:pPr>
      <w:bookmarkStart w:id="49" w:name="dst847"/>
      <w:bookmarkEnd w:id="49"/>
      <w:r>
        <w:rPr>
          <w:rFonts w:cs="Arial" w:ascii="Arial" w:hAnsi="Arial"/>
          <w:sz w:val="22"/>
          <w:szCs w:val="22"/>
        </w:rPr>
        <w:t>14) обязательство сторон данного договора обеспечить осуществление мероприятий по освоению территории, в том числе по вводу в эксплуатацию объектов капитального строительства, в соответствии с графиком осуществления мероприятий в предусмотренные указанным графиком сроки, максимальный срок заключения дополнительного соглашения к данному договору, предусматривающего указанный график;</w:t>
      </w:r>
    </w:p>
    <w:p>
      <w:pPr>
        <w:pStyle w:val="Normal"/>
        <w:autoSpaceDE w:val="false"/>
        <w:ind w:firstLine="540"/>
        <w:rPr>
          <w:rFonts w:ascii="Arial" w:hAnsi="Arial" w:cs="Arial"/>
          <w:b/>
          <w:b/>
          <w:bCs/>
          <w:i/>
          <w:i/>
          <w:sz w:val="22"/>
          <w:szCs w:val="22"/>
        </w:rPr>
      </w:pPr>
      <w:bookmarkStart w:id="50" w:name="dst848"/>
      <w:bookmarkEnd w:id="50"/>
      <w:r>
        <w:rPr>
          <w:rFonts w:cs="Arial" w:ascii="Arial" w:hAnsi="Arial"/>
          <w:sz w:val="22"/>
          <w:szCs w:val="22"/>
        </w:rPr>
        <w:t>15) способы и размер обеспечения исполнения обязательств, вытекающих из данного договора;</w:t>
      </w:r>
    </w:p>
    <w:p>
      <w:pPr>
        <w:pStyle w:val="Normal"/>
        <w:autoSpaceDE w:val="false"/>
        <w:ind w:firstLine="540"/>
        <w:rPr>
          <w:rFonts w:ascii="Arial" w:hAnsi="Arial" w:cs="Arial"/>
          <w:b/>
          <w:b/>
          <w:bCs/>
          <w:i/>
          <w:i/>
          <w:sz w:val="22"/>
          <w:szCs w:val="22"/>
        </w:rPr>
      </w:pPr>
      <w:bookmarkStart w:id="51" w:name="dst849"/>
      <w:bookmarkEnd w:id="51"/>
      <w:r>
        <w:rPr>
          <w:rFonts w:cs="Arial" w:ascii="Arial" w:hAnsi="Arial"/>
          <w:sz w:val="22"/>
          <w:szCs w:val="22"/>
        </w:rPr>
        <w:t>16) срок действия данного договора;</w:t>
      </w:r>
    </w:p>
    <w:p>
      <w:pPr>
        <w:pStyle w:val="Normal"/>
        <w:autoSpaceDE w:val="false"/>
        <w:ind w:firstLine="540"/>
        <w:rPr>
          <w:rFonts w:ascii="Arial" w:hAnsi="Arial" w:cs="Arial"/>
          <w:b/>
          <w:b/>
          <w:bCs/>
          <w:i/>
          <w:i/>
          <w:sz w:val="22"/>
          <w:szCs w:val="22"/>
        </w:rPr>
      </w:pPr>
      <w:bookmarkStart w:id="52" w:name="dst850"/>
      <w:bookmarkEnd w:id="52"/>
      <w:r>
        <w:rPr>
          <w:rFonts w:cs="Arial" w:ascii="Arial" w:hAnsi="Arial"/>
          <w:sz w:val="22"/>
          <w:szCs w:val="22"/>
        </w:rPr>
        <w:t>17) ответственность сторон данного договора за его неисполнение или ненадлежащее исполнение.</w:t>
      </w:r>
    </w:p>
    <w:p>
      <w:pPr>
        <w:pStyle w:val="Normal"/>
        <w:autoSpaceDE w:val="false"/>
        <w:ind w:firstLine="540"/>
        <w:rPr>
          <w:rFonts w:ascii="Arial" w:hAnsi="Arial" w:cs="Arial"/>
          <w:b/>
          <w:b/>
          <w:bCs/>
          <w:i/>
          <w:i/>
          <w:sz w:val="22"/>
          <w:szCs w:val="22"/>
        </w:rPr>
      </w:pPr>
      <w:bookmarkStart w:id="53" w:name="dst851"/>
      <w:bookmarkEnd w:id="53"/>
      <w:r>
        <w:rPr>
          <w:rFonts w:cs="Arial" w:ascii="Arial" w:hAnsi="Arial"/>
          <w:sz w:val="22"/>
          <w:szCs w:val="22"/>
        </w:rPr>
        <w:t>5. Договор о комплексном освоении территории в целях строительства жилья экономического класса может содержать:</w:t>
      </w:r>
    </w:p>
    <w:p>
      <w:pPr>
        <w:pStyle w:val="Normal"/>
        <w:autoSpaceDE w:val="false"/>
        <w:ind w:firstLine="540"/>
        <w:rPr>
          <w:rFonts w:ascii="Arial" w:hAnsi="Arial" w:cs="Arial"/>
          <w:b/>
          <w:b/>
          <w:bCs/>
          <w:i/>
          <w:i/>
          <w:sz w:val="22"/>
          <w:szCs w:val="22"/>
        </w:rPr>
      </w:pPr>
      <w:bookmarkStart w:id="54" w:name="dst852"/>
      <w:bookmarkEnd w:id="54"/>
      <w:r>
        <w:rPr>
          <w:rFonts w:cs="Arial" w:ascii="Arial" w:hAnsi="Arial"/>
          <w:sz w:val="22"/>
          <w:szCs w:val="22"/>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части 10 статьи 46.5</w:t>
      </w:r>
      <w:r>
        <w:rPr>
          <w:rStyle w:val="Style21"/>
          <w:sz w:val="22"/>
          <w:szCs w:val="22"/>
          <w:rFonts w:cs="Arial" w:ascii="Arial" w:hAnsi="Arial"/>
        </w:rPr>
        <w:fldChar w:fldCharType="end"/>
      </w:r>
      <w:r>
        <w:rPr>
          <w:rFonts w:cs="Arial" w:ascii="Arial" w:hAnsi="Arial"/>
          <w:sz w:val="22"/>
          <w:szCs w:val="22"/>
        </w:rPr>
        <w:t> Градостроительного кодекса РФ.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pPr>
        <w:pStyle w:val="Normal"/>
        <w:autoSpaceDE w:val="false"/>
        <w:ind w:firstLine="540"/>
        <w:rPr>
          <w:rFonts w:ascii="Arial" w:hAnsi="Arial" w:cs="Arial"/>
          <w:b/>
          <w:b/>
          <w:bCs/>
          <w:i/>
          <w:i/>
          <w:sz w:val="22"/>
          <w:szCs w:val="22"/>
        </w:rPr>
      </w:pPr>
      <w:bookmarkStart w:id="55" w:name="dst853"/>
      <w:bookmarkEnd w:id="55"/>
      <w:r>
        <w:rPr>
          <w:rFonts w:cs="Arial" w:ascii="Arial" w:hAnsi="Arial"/>
          <w:sz w:val="22"/>
          <w:szCs w:val="22"/>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pPr>
        <w:pStyle w:val="Normal"/>
        <w:autoSpaceDE w:val="false"/>
        <w:ind w:firstLine="540"/>
        <w:rPr>
          <w:rFonts w:ascii="Arial" w:hAnsi="Arial" w:cs="Arial"/>
          <w:b/>
          <w:b/>
          <w:bCs/>
          <w:i/>
          <w:i/>
          <w:sz w:val="22"/>
          <w:szCs w:val="22"/>
        </w:rPr>
      </w:pPr>
      <w:bookmarkStart w:id="56" w:name="dst854"/>
      <w:bookmarkEnd w:id="56"/>
      <w:r>
        <w:rPr>
          <w:rFonts w:cs="Arial" w:ascii="Arial" w:hAnsi="Arial"/>
          <w:sz w:val="22"/>
          <w:szCs w:val="22"/>
        </w:rPr>
        <w:t>3) обязательство лица, заключившего данный договор, передать объекты коммунальной, транспортной, социальной инфраструктур, строительство которых осуществлялось за счет средств этого лица, в государственную или муниципальную собственность либо передать сети инженерно-технического обеспечения, их элементы, строительство которых осуществлялось за счет средств этого лица, в собственность организаций, осуществляющих эксплуатацию сетей инженерно-технического обеспечения, перечень указанных объектов, сетей, их элементов и условия такой передачи;</w:t>
      </w:r>
    </w:p>
    <w:p>
      <w:pPr>
        <w:pStyle w:val="Normal"/>
        <w:autoSpaceDE w:val="false"/>
        <w:ind w:firstLine="540"/>
        <w:rPr>
          <w:rFonts w:ascii="Arial" w:hAnsi="Arial" w:cs="Arial"/>
          <w:b/>
          <w:b/>
          <w:bCs/>
          <w:i/>
          <w:i/>
          <w:sz w:val="22"/>
          <w:szCs w:val="22"/>
        </w:rPr>
      </w:pPr>
      <w:bookmarkStart w:id="57" w:name="dst855"/>
      <w:bookmarkEnd w:id="57"/>
      <w:r>
        <w:rPr>
          <w:rFonts w:cs="Arial" w:ascii="Arial" w:hAnsi="Arial"/>
          <w:sz w:val="22"/>
          <w:szCs w:val="22"/>
        </w:rPr>
        <w:t>4) обязательство исполнительного органа государственной власти или органа местного самоуправления обеспечить в соответствии с программой комплексного развития систем коммунальной инфраструктуры поселения, городского округа строительство и (или) реконструкцию за границами указанного в </w:t>
      </w:r>
      <w:r>
        <w:fldChar w:fldCharType="begin"/>
      </w:r>
      <w:r>
        <w:rPr>
          <w:rStyle w:val="Style21"/>
          <w:sz w:val="22"/>
          <w:szCs w:val="22"/>
          <w:rFonts w:cs="Arial" w:ascii="Arial" w:hAnsi="Arial"/>
        </w:rPr>
        <w:instrText> HYPERLINK "http://www.consultant.ru/document/cons_doc_LAW_51040/31f958c9cc861b5adba63e474328e9d081635b65/" \l "dst834"</w:instrText>
      </w:r>
      <w:r>
        <w:rPr>
          <w:rStyle w:val="Style21"/>
          <w:sz w:val="22"/>
          <w:szCs w:val="22"/>
          <w:rFonts w:cs="Arial" w:ascii="Arial" w:hAnsi="Arial"/>
        </w:rPr>
        <w:fldChar w:fldCharType="separate"/>
      </w:r>
      <w:r>
        <w:rPr>
          <w:rStyle w:val="Style21"/>
          <w:rFonts w:cs="Arial" w:ascii="Arial" w:hAnsi="Arial"/>
          <w:sz w:val="22"/>
          <w:szCs w:val="22"/>
        </w:rPr>
        <w:t>пункте 1 части 4</w:t>
      </w:r>
      <w:r>
        <w:rPr>
          <w:rStyle w:val="Style21"/>
          <w:sz w:val="22"/>
          <w:szCs w:val="22"/>
          <w:rFonts w:cs="Arial" w:ascii="Arial" w:hAnsi="Arial"/>
        </w:rPr>
        <w:fldChar w:fldCharType="end"/>
      </w:r>
      <w:r>
        <w:rPr>
          <w:rFonts w:cs="Arial" w:ascii="Arial" w:hAnsi="Arial"/>
          <w:sz w:val="22"/>
          <w:szCs w:val="22"/>
        </w:rPr>
        <w:t> настоящей статьи земельного участка объектов коммунальной инфраструктуры, необходимых для обеспечения подключения (технологического присоединения) на границах указанного земельного участка построенных и (или) реконструированных объектов коммунальной инфраструктуры, максимальные сроки выполнения этого обязательства;</w:t>
      </w:r>
    </w:p>
    <w:p>
      <w:pPr>
        <w:pStyle w:val="Normal"/>
        <w:autoSpaceDE w:val="false"/>
        <w:ind w:firstLine="540"/>
        <w:rPr>
          <w:rFonts w:ascii="Arial" w:hAnsi="Arial" w:cs="Arial"/>
          <w:b/>
          <w:b/>
          <w:bCs/>
          <w:i/>
          <w:i/>
          <w:sz w:val="22"/>
          <w:szCs w:val="22"/>
        </w:rPr>
      </w:pPr>
      <w:bookmarkStart w:id="58" w:name="dst856"/>
      <w:bookmarkEnd w:id="58"/>
      <w:r>
        <w:rPr>
          <w:rFonts w:cs="Arial" w:ascii="Arial" w:hAnsi="Arial"/>
          <w:sz w:val="22"/>
          <w:szCs w:val="22"/>
        </w:rPr>
        <w:t>5) максимальная доля общей площади зданий (за исключением многоквартирных домов, жилых домов блокированной застройки, объектов индивидуального жилищного строительства, объектов транспортной, коммунальной и социальной инфраструктур) и нежилых помещений в многоквартирных домах (за исключением помещений общего пользования) в общей площади всех зданий, строительство которых предусматривается в границах территории, подлежащей комплексному освоению в целях строительства жилья экономического класса;</w:t>
      </w:r>
    </w:p>
    <w:p>
      <w:pPr>
        <w:pStyle w:val="Normal"/>
        <w:autoSpaceDE w:val="false"/>
        <w:ind w:firstLine="540"/>
        <w:rPr>
          <w:rFonts w:ascii="Arial" w:hAnsi="Arial" w:cs="Arial"/>
          <w:b/>
          <w:b/>
          <w:bCs/>
          <w:i/>
          <w:i/>
          <w:sz w:val="22"/>
          <w:szCs w:val="22"/>
        </w:rPr>
      </w:pPr>
      <w:bookmarkStart w:id="59" w:name="dst857"/>
      <w:bookmarkEnd w:id="59"/>
      <w:r>
        <w:rPr>
          <w:rFonts w:cs="Arial" w:ascii="Arial" w:hAnsi="Arial"/>
          <w:sz w:val="22"/>
          <w:szCs w:val="22"/>
        </w:rPr>
        <w:t>6) иные условия.</w:t>
      </w:r>
    </w:p>
    <w:p>
      <w:pPr>
        <w:pStyle w:val="Normal"/>
        <w:autoSpaceDE w:val="false"/>
        <w:ind w:firstLine="540"/>
        <w:rPr>
          <w:rFonts w:ascii="Arial" w:hAnsi="Arial" w:cs="Arial"/>
          <w:b/>
          <w:b/>
          <w:bCs/>
          <w:i/>
          <w:i/>
          <w:sz w:val="22"/>
          <w:szCs w:val="22"/>
        </w:rPr>
      </w:pPr>
      <w:bookmarkStart w:id="60" w:name="dst858"/>
      <w:bookmarkEnd w:id="60"/>
      <w:r>
        <w:rPr>
          <w:rFonts w:cs="Arial" w:ascii="Arial" w:hAnsi="Arial"/>
          <w:sz w:val="22"/>
          <w:szCs w:val="22"/>
        </w:rPr>
        <w:t>6. В случае, если договором о комплексном освоении территории в целях строительства жилья экономического класса предусмотрено строительство многоквартирных домов, жилых домов блокированной застройки и (или) объектов индивидуального жилищного строительства при условии, что минимальный объем жилых помещений в таких многоквартирных домах, жилых домах блокированной застройки и (или) объектов индивидуального жилищного строительства соответствует условиям отнесения к жилью экономического класса, условием данного договора является условие о минимальном количестве и (или) минимальной общей площади таких жилых помещений, которые устанавливаются извещением о проведении аукциона на право заключения данного договора.</w:t>
      </w:r>
    </w:p>
    <w:p>
      <w:pPr>
        <w:pStyle w:val="Normal"/>
        <w:autoSpaceDE w:val="false"/>
        <w:ind w:firstLine="540"/>
        <w:rPr>
          <w:rFonts w:ascii="Arial" w:hAnsi="Arial" w:cs="Arial"/>
          <w:b/>
          <w:b/>
          <w:bCs/>
          <w:i/>
          <w:i/>
          <w:sz w:val="22"/>
          <w:szCs w:val="22"/>
        </w:rPr>
      </w:pPr>
      <w:bookmarkStart w:id="61" w:name="dst859"/>
      <w:bookmarkEnd w:id="61"/>
      <w:r>
        <w:rPr>
          <w:rFonts w:cs="Arial" w:ascii="Arial" w:hAnsi="Arial"/>
          <w:sz w:val="22"/>
          <w:szCs w:val="22"/>
        </w:rPr>
        <w:t>7. В срок, предусмотренный договором о комплексном освоении территории в целях строительства жилья экономического класса, стороны данного договора обязаны заключить дополнительное соглашение к данному договору, содержащее график осуществления мероприятий по освоению этой территории (в том числе по строительству и вводу в эксплуатацию многоквартирных домов, жилых домов блокированной застройки, объектов индивидуального жилищного строительства, указанных в </w:t>
      </w:r>
      <w:r>
        <w:fldChar w:fldCharType="begin"/>
      </w:r>
      <w:r>
        <w:rPr>
          <w:rStyle w:val="Style21"/>
          <w:sz w:val="22"/>
          <w:szCs w:val="22"/>
          <w:rFonts w:cs="Arial" w:ascii="Arial" w:hAnsi="Arial"/>
        </w:rPr>
        <w:instrText> HYPERLINK "http://www.consultant.ru/document/cons_doc_LAW_51040/31f958c9cc861b5adba63e474328e9d081635b65/" \l "dst1476"</w:instrText>
      </w:r>
      <w:r>
        <w:rPr>
          <w:rStyle w:val="Style21"/>
          <w:sz w:val="22"/>
          <w:szCs w:val="22"/>
          <w:rFonts w:cs="Arial" w:ascii="Arial" w:hAnsi="Arial"/>
        </w:rPr>
        <w:fldChar w:fldCharType="separate"/>
      </w:r>
      <w:r>
        <w:rPr>
          <w:rStyle w:val="Style21"/>
          <w:rFonts w:cs="Arial" w:ascii="Arial" w:hAnsi="Arial"/>
          <w:sz w:val="22"/>
          <w:szCs w:val="22"/>
        </w:rPr>
        <w:t>пункте 9 части 4</w:t>
      </w:r>
      <w:r>
        <w:rPr>
          <w:rStyle w:val="Style21"/>
          <w:sz w:val="22"/>
          <w:szCs w:val="22"/>
          <w:rFonts w:cs="Arial" w:ascii="Arial" w:hAnsi="Arial"/>
        </w:rPr>
        <w:fldChar w:fldCharType="end"/>
      </w:r>
      <w:r>
        <w:rPr>
          <w:rFonts w:cs="Arial" w:ascii="Arial" w:hAnsi="Arial"/>
          <w:sz w:val="22"/>
          <w:szCs w:val="22"/>
        </w:rPr>
        <w:t> настоящей статьи) в отношении каждого мероприятия с указанием сроков начала и окончания выполнения соответствующих работ.</w:t>
      </w:r>
    </w:p>
    <w:p>
      <w:pPr>
        <w:pStyle w:val="Normal"/>
        <w:autoSpaceDE w:val="false"/>
        <w:ind w:firstLine="540"/>
        <w:rPr>
          <w:rFonts w:ascii="Arial" w:hAnsi="Arial" w:cs="Arial"/>
          <w:b/>
          <w:b/>
          <w:bCs/>
          <w:i/>
          <w:i/>
          <w:sz w:val="22"/>
          <w:szCs w:val="22"/>
        </w:rPr>
      </w:pPr>
      <w:bookmarkStart w:id="62" w:name="dst860"/>
      <w:bookmarkEnd w:id="62"/>
      <w:r>
        <w:rPr>
          <w:rFonts w:cs="Arial" w:ascii="Arial" w:hAnsi="Arial"/>
          <w:sz w:val="22"/>
          <w:szCs w:val="22"/>
        </w:rPr>
        <w:t>8. Прекращение существования земельного участка, предоставленного для комплексного освоения территории в целях строительства жилья экономического класса, в связи с его разделом или возникновение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данным договором.</w:t>
      </w:r>
    </w:p>
    <w:p>
      <w:pPr>
        <w:pStyle w:val="Normal"/>
        <w:autoSpaceDE w:val="false"/>
        <w:ind w:firstLine="540"/>
        <w:rPr>
          <w:rFonts w:ascii="Arial" w:hAnsi="Arial" w:cs="Arial"/>
          <w:b/>
          <w:b/>
          <w:bCs/>
          <w:i/>
          <w:i/>
          <w:sz w:val="22"/>
          <w:szCs w:val="22"/>
        </w:rPr>
      </w:pPr>
      <w:bookmarkStart w:id="63" w:name="dst861"/>
      <w:bookmarkEnd w:id="63"/>
      <w:r>
        <w:rPr>
          <w:rFonts w:cs="Arial" w:ascii="Arial" w:hAnsi="Arial"/>
          <w:sz w:val="22"/>
          <w:szCs w:val="22"/>
        </w:rPr>
        <w:t>9. К договорам о комплексном освоении территории в целях строительства жилья экономического класса применяются положения, предусмотренные </w:t>
      </w:r>
      <w:r>
        <w:fldChar w:fldCharType="begin"/>
      </w:r>
      <w:r>
        <w:rPr>
          <w:rStyle w:val="Style21"/>
          <w:sz w:val="22"/>
          <w:szCs w:val="22"/>
          <w:rFonts w:cs="Arial" w:ascii="Arial" w:hAnsi="Arial"/>
        </w:rPr>
        <w:instrText> HYPERLINK "http://www.consultant.ru/document/cons_doc_LAW_51040/4ca2927cf88949f634af8d777b5effabc2f8b87e/" \l "dst815"</w:instrText>
      </w:r>
      <w:r>
        <w:rPr>
          <w:rStyle w:val="Style21"/>
          <w:sz w:val="22"/>
          <w:szCs w:val="22"/>
          <w:rFonts w:cs="Arial" w:ascii="Arial" w:hAnsi="Arial"/>
        </w:rPr>
        <w:fldChar w:fldCharType="separate"/>
      </w:r>
      <w:r>
        <w:rPr>
          <w:rStyle w:val="Style21"/>
          <w:rFonts w:cs="Arial" w:ascii="Arial" w:hAnsi="Arial"/>
          <w:sz w:val="22"/>
          <w:szCs w:val="22"/>
        </w:rPr>
        <w:t>частями 7</w:t>
      </w:r>
      <w:r>
        <w:rPr>
          <w:rStyle w:val="Style21"/>
          <w:sz w:val="22"/>
          <w:szCs w:val="22"/>
          <w:rFonts w:cs="Arial" w:ascii="Arial" w:hAnsi="Arial"/>
        </w:rPr>
        <w:fldChar w:fldCharType="end"/>
      </w:r>
      <w:r>
        <w:rPr>
          <w:rFonts w:cs="Arial" w:ascii="Arial" w:hAnsi="Arial"/>
          <w:sz w:val="22"/>
          <w:szCs w:val="22"/>
        </w:rPr>
        <w:t> - </w:t>
      </w:r>
      <w:r>
        <w:fldChar w:fldCharType="begin"/>
      </w:r>
      <w:r>
        <w:rPr>
          <w:rStyle w:val="Style21"/>
          <w:sz w:val="22"/>
          <w:szCs w:val="22"/>
          <w:rFonts w:cs="Arial" w:ascii="Arial" w:hAnsi="Arial"/>
        </w:rPr>
        <w:instrText> HYPERLINK "http://www.consultant.ru/document/cons_doc_LAW_51040/4ca2927cf88949f634af8d777b5effabc2f8b87e/" \l "dst822"</w:instrText>
      </w:r>
      <w:r>
        <w:rPr>
          <w:rStyle w:val="Style21"/>
          <w:sz w:val="22"/>
          <w:szCs w:val="22"/>
          <w:rFonts w:cs="Arial" w:ascii="Arial" w:hAnsi="Arial"/>
        </w:rPr>
        <w:fldChar w:fldCharType="separate"/>
      </w:r>
      <w:r>
        <w:rPr>
          <w:rStyle w:val="Style21"/>
          <w:rFonts w:cs="Arial" w:ascii="Arial" w:hAnsi="Arial"/>
          <w:sz w:val="22"/>
          <w:szCs w:val="22"/>
        </w:rPr>
        <w:t>10 статьи 46.5</w:t>
      </w:r>
      <w:r>
        <w:rPr>
          <w:rStyle w:val="Style21"/>
          <w:sz w:val="22"/>
          <w:szCs w:val="22"/>
          <w:rFonts w:cs="Arial" w:ascii="Arial" w:hAnsi="Arial"/>
        </w:rPr>
        <w:fldChar w:fldCharType="end"/>
      </w:r>
      <w:r>
        <w:rPr>
          <w:rFonts w:cs="Arial" w:ascii="Arial" w:hAnsi="Arial"/>
          <w:sz w:val="22"/>
          <w:szCs w:val="22"/>
        </w:rPr>
        <w:t> Градостроительного кодекса РФ.</w:t>
      </w:r>
    </w:p>
    <w:p>
      <w:pPr>
        <w:pStyle w:val="Normal"/>
        <w:rPr/>
      </w:pPr>
      <w:r>
        <w:rPr>
          <w:rStyle w:val="Style15"/>
          <w:rFonts w:eastAsia="Calibri" w:cs="Arial" w:ascii="Arial" w:hAnsi="Arial"/>
          <w:sz w:val="22"/>
          <w:szCs w:val="22"/>
        </w:rPr>
        <w:t>Статья 20.3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 Решение о проведении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принимается исполнительным органом государственной власти или органом местного самоуправления, уполномоченными на заключение данных договоров в соответствии с Градостроительным кодексом РФ.</w:t>
      </w:r>
    </w:p>
    <w:p>
      <w:pPr>
        <w:pStyle w:val="Normal"/>
        <w:autoSpaceDE w:val="false"/>
        <w:ind w:firstLine="540"/>
        <w:rPr>
          <w:rFonts w:ascii="Arial" w:hAnsi="Arial" w:cs="Arial"/>
          <w:b/>
          <w:b/>
          <w:bCs/>
          <w:i/>
          <w:i/>
          <w:sz w:val="22"/>
          <w:szCs w:val="22"/>
        </w:rPr>
      </w:pPr>
      <w:r>
        <w:rPr>
          <w:rFonts w:cs="Arial" w:ascii="Arial" w:hAnsi="Arial"/>
          <w:sz w:val="22"/>
          <w:szCs w:val="22"/>
        </w:rPr>
        <w:t>2. Организатором аукциона наряду с исполнительным органом государственной власти, органом местного самоуправления, указанными в части 1 настоящей статьи, может являться специализированная организация, действующая на основании договора с указанными органами.</w:t>
      </w:r>
    </w:p>
    <w:p>
      <w:pPr>
        <w:pStyle w:val="Normal"/>
        <w:autoSpaceDE w:val="false"/>
        <w:ind w:firstLine="540"/>
        <w:rPr>
          <w:rFonts w:ascii="Arial" w:hAnsi="Arial" w:cs="Arial"/>
          <w:b/>
          <w:b/>
          <w:bCs/>
          <w:i/>
          <w:i/>
          <w:sz w:val="22"/>
          <w:szCs w:val="22"/>
        </w:rPr>
      </w:pPr>
      <w:r>
        <w:rPr>
          <w:rFonts w:cs="Arial" w:ascii="Arial" w:hAnsi="Arial"/>
          <w:sz w:val="22"/>
          <w:szCs w:val="22"/>
        </w:rPr>
        <w:t>3. Исполнительный орган государственной власти или орган местного самоуправления, указанные в части 1 настоящей статьи, определяют начальную цену предмета аукциона и условия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Указанные исполнительный орган государственной власти или орган местного самоуправления вправе установить требование о внесении денежных средств в качестве обеспечения заявки на участие в аукционе и размер такого обеспечения.</w:t>
      </w:r>
    </w:p>
    <w:p>
      <w:pPr>
        <w:pStyle w:val="Normal"/>
        <w:autoSpaceDE w:val="false"/>
        <w:ind w:firstLine="540"/>
        <w:rPr>
          <w:rFonts w:ascii="Arial" w:hAnsi="Arial" w:cs="Arial"/>
          <w:b/>
          <w:b/>
          <w:bCs/>
          <w:i/>
          <w:i/>
          <w:sz w:val="22"/>
          <w:szCs w:val="22"/>
        </w:rPr>
      </w:pPr>
      <w:r>
        <w:rPr>
          <w:rFonts w:cs="Arial" w:ascii="Arial" w:hAnsi="Arial"/>
          <w:sz w:val="22"/>
          <w:szCs w:val="22"/>
        </w:rPr>
        <w:t>4. Организатор аукциона устанавливает время, место и порядок проведения аукциона, форму и сроки подачи заявок на участие в аукционе, величину снижения начальной цены предмета аукциона ("шаг аукциона").</w:t>
      </w:r>
    </w:p>
    <w:p>
      <w:pPr>
        <w:pStyle w:val="Normal"/>
        <w:autoSpaceDE w:val="false"/>
        <w:ind w:firstLine="540"/>
        <w:rPr>
          <w:rFonts w:ascii="Arial" w:hAnsi="Arial" w:cs="Arial"/>
          <w:b/>
          <w:b/>
          <w:bCs/>
          <w:i/>
          <w:i/>
          <w:sz w:val="22"/>
          <w:szCs w:val="22"/>
        </w:rPr>
      </w:pPr>
      <w:r>
        <w:rPr>
          <w:rFonts w:cs="Arial" w:ascii="Arial" w:hAnsi="Arial"/>
          <w:sz w:val="22"/>
          <w:szCs w:val="22"/>
        </w:rPr>
        <w:t>5. Участниками аукциона могут быть юридические лица, соответствующие требованиям, указанным в статье 46.8 Градостроительного кодекса РФ.</w:t>
      </w:r>
    </w:p>
    <w:p>
      <w:pPr>
        <w:pStyle w:val="Normal"/>
        <w:autoSpaceDE w:val="false"/>
        <w:ind w:firstLine="540"/>
        <w:rPr>
          <w:rFonts w:ascii="Arial" w:hAnsi="Arial" w:cs="Arial"/>
          <w:b/>
          <w:b/>
          <w:bCs/>
          <w:i/>
          <w:i/>
          <w:sz w:val="22"/>
          <w:szCs w:val="22"/>
        </w:rPr>
      </w:pPr>
      <w:r>
        <w:rPr>
          <w:rFonts w:cs="Arial" w:ascii="Arial" w:hAnsi="Arial"/>
          <w:sz w:val="22"/>
          <w:szCs w:val="22"/>
        </w:rPr>
        <w:t>6. Аукцион проводится путем снижения начальной цены предмета аукциона, указанной в извещении о проведении аукциона, на "шаг аукциона", который не может превышать три процента начальной цены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7. Начальная цена предмета аукциона определяется как цена одного квадратного метра общей площади жилых помещений в многоквартирных домах, жилых домах блокированной застройки, объектов индивидуального жилищного строительства, которые соответствуют условиям отнесения к жилью экономического класса и в соответствии с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которого является предметом аукциона, подлежат продаже или передаче по договорам купли-продажи жилья экономического класса или договорам участия в долевом строительстве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Начальная цена предмета аукциона устанавливается исполнительным органом государственной власти или органом местного самоуправления, указанными в части 1 настоящей статьи, в размере, не превышающем восьмидесяти процентов рыночной стоимости одного квадратного метра общей площади таких жилых помещений, определенной в соответствии с законодательством Российской Федерации об оценочной деятельности не ранее чем за тридцать дней до даты опубликования извещения о проведении аукциона, или максимальной цены жилья экономического класса, установленной Правительством Российской Федерации в расчете на один квадратный метр общей площади жилого помещения, если такая цена установлена Правительством Российской Федерации на дату принятия решения о проведении аукциона.</w:t>
      </w:r>
    </w:p>
    <w:p>
      <w:pPr>
        <w:pStyle w:val="Normal"/>
        <w:autoSpaceDE w:val="false"/>
        <w:ind w:firstLine="540"/>
        <w:rPr>
          <w:rFonts w:ascii="Arial" w:hAnsi="Arial" w:cs="Arial"/>
          <w:b/>
          <w:b/>
          <w:bCs/>
          <w:i/>
          <w:i/>
          <w:sz w:val="22"/>
          <w:szCs w:val="22"/>
        </w:rPr>
      </w:pPr>
      <w:r>
        <w:rPr>
          <w:rFonts w:cs="Arial" w:ascii="Arial" w:hAnsi="Arial"/>
          <w:sz w:val="22"/>
          <w:szCs w:val="22"/>
        </w:rPr>
        <w:t>8. Извещение о проведении аукциона должно содержать следующие сведения:</w:t>
      </w:r>
    </w:p>
    <w:p>
      <w:pPr>
        <w:pStyle w:val="Normal"/>
        <w:autoSpaceDE w:val="false"/>
        <w:ind w:firstLine="540"/>
        <w:rPr>
          <w:rFonts w:ascii="Arial" w:hAnsi="Arial" w:cs="Arial"/>
          <w:b/>
          <w:b/>
          <w:bCs/>
          <w:i/>
          <w:i/>
          <w:sz w:val="22"/>
          <w:szCs w:val="22"/>
        </w:rPr>
      </w:pPr>
      <w:r>
        <w:rPr>
          <w:rFonts w:cs="Arial" w:ascii="Arial" w:hAnsi="Arial"/>
          <w:sz w:val="22"/>
          <w:szCs w:val="22"/>
        </w:rPr>
        <w:t>1) предмет аукциона;</w:t>
      </w:r>
    </w:p>
    <w:p>
      <w:pPr>
        <w:pStyle w:val="Normal"/>
        <w:autoSpaceDE w:val="false"/>
        <w:ind w:firstLine="540"/>
        <w:rPr>
          <w:rFonts w:ascii="Arial" w:hAnsi="Arial" w:cs="Arial"/>
          <w:b/>
          <w:b/>
          <w:bCs/>
          <w:i/>
          <w:i/>
          <w:sz w:val="22"/>
          <w:szCs w:val="22"/>
        </w:rPr>
      </w:pPr>
      <w:r>
        <w:rPr>
          <w:rFonts w:cs="Arial" w:ascii="Arial" w:hAnsi="Arial"/>
          <w:sz w:val="22"/>
          <w:szCs w:val="22"/>
        </w:rPr>
        <w:t>2) сведения о земельном участке, который предоставляется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 и который на момент принятия решения о проведении аукциона должен находиться в государственной или муниципальной собственности и быть необремененным правами третьих лиц;</w:t>
      </w:r>
    </w:p>
    <w:p>
      <w:pPr>
        <w:pStyle w:val="Normal"/>
        <w:autoSpaceDE w:val="false"/>
        <w:ind w:firstLine="540"/>
        <w:rPr>
          <w:rFonts w:ascii="Arial" w:hAnsi="Arial" w:cs="Arial"/>
          <w:b/>
          <w:b/>
          <w:bCs/>
          <w:i/>
          <w:i/>
          <w:sz w:val="22"/>
          <w:szCs w:val="22"/>
        </w:rPr>
      </w:pPr>
      <w:r>
        <w:rPr>
          <w:rFonts w:cs="Arial" w:ascii="Arial" w:hAnsi="Arial"/>
          <w:sz w:val="22"/>
          <w:szCs w:val="22"/>
        </w:rPr>
        <w:t>3) сведения об исполнительном органе государственной власти или органе местного самоуправления, принявших решение о проведении аукциона, и о реквизитах такого решения;</w:t>
      </w:r>
    </w:p>
    <w:p>
      <w:pPr>
        <w:pStyle w:val="Normal"/>
        <w:autoSpaceDE w:val="false"/>
        <w:ind w:firstLine="540"/>
        <w:rPr>
          <w:rFonts w:ascii="Arial" w:hAnsi="Arial" w:cs="Arial"/>
          <w:b/>
          <w:b/>
          <w:bCs/>
          <w:i/>
          <w:i/>
          <w:sz w:val="22"/>
          <w:szCs w:val="22"/>
        </w:rPr>
      </w:pPr>
      <w:r>
        <w:rPr>
          <w:rFonts w:cs="Arial" w:ascii="Arial" w:hAnsi="Arial"/>
          <w:sz w:val="22"/>
          <w:szCs w:val="22"/>
        </w:rPr>
        <w:t>4) сведения об организаторе аукциона;</w:t>
      </w:r>
    </w:p>
    <w:p>
      <w:pPr>
        <w:pStyle w:val="Normal"/>
        <w:autoSpaceDE w:val="false"/>
        <w:ind w:firstLine="540"/>
        <w:rPr>
          <w:rFonts w:ascii="Arial" w:hAnsi="Arial" w:cs="Arial"/>
          <w:b/>
          <w:b/>
          <w:bCs/>
          <w:i/>
          <w:i/>
          <w:sz w:val="22"/>
          <w:szCs w:val="22"/>
        </w:rPr>
      </w:pPr>
      <w:r>
        <w:rPr>
          <w:rFonts w:cs="Arial" w:ascii="Arial" w:hAnsi="Arial"/>
          <w:sz w:val="22"/>
          <w:szCs w:val="22"/>
        </w:rPr>
        <w:t>5) место, дата, время и порядок проведения аукциона;</w:t>
      </w:r>
    </w:p>
    <w:p>
      <w:pPr>
        <w:pStyle w:val="Normal"/>
        <w:autoSpaceDE w:val="false"/>
        <w:ind w:firstLine="540"/>
        <w:rPr>
          <w:rFonts w:ascii="Arial" w:hAnsi="Arial" w:cs="Arial"/>
          <w:b/>
          <w:b/>
          <w:bCs/>
          <w:i/>
          <w:i/>
          <w:sz w:val="22"/>
          <w:szCs w:val="22"/>
        </w:rPr>
      </w:pPr>
      <w:r>
        <w:rPr>
          <w:rFonts w:cs="Arial" w:ascii="Arial" w:hAnsi="Arial"/>
          <w:sz w:val="22"/>
          <w:szCs w:val="22"/>
        </w:rPr>
        <w:t>6)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w:t>
      </w:r>
    </w:p>
    <w:p>
      <w:pPr>
        <w:pStyle w:val="Normal"/>
        <w:autoSpaceDE w:val="false"/>
        <w:ind w:firstLine="540"/>
        <w:rPr>
          <w:rFonts w:ascii="Arial" w:hAnsi="Arial" w:cs="Arial"/>
          <w:b/>
          <w:b/>
          <w:bCs/>
          <w:i/>
          <w:i/>
          <w:sz w:val="22"/>
          <w:szCs w:val="22"/>
        </w:rPr>
      </w:pPr>
      <w:r>
        <w:rPr>
          <w:rFonts w:cs="Arial" w:ascii="Arial" w:hAnsi="Arial"/>
          <w:sz w:val="22"/>
          <w:szCs w:val="22"/>
        </w:rPr>
        <w:t>7) начальная цена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8) "шаг аукциона";</w:t>
      </w:r>
    </w:p>
    <w:p>
      <w:pPr>
        <w:pStyle w:val="Normal"/>
        <w:autoSpaceDE w:val="false"/>
        <w:ind w:firstLine="540"/>
        <w:rPr>
          <w:rFonts w:ascii="Arial" w:hAnsi="Arial" w:cs="Arial"/>
          <w:b/>
          <w:b/>
          <w:bCs/>
          <w:i/>
          <w:i/>
          <w:sz w:val="22"/>
          <w:szCs w:val="22"/>
        </w:rPr>
      </w:pPr>
      <w:r>
        <w:rPr>
          <w:rFonts w:cs="Arial" w:ascii="Arial" w:hAnsi="Arial"/>
          <w:sz w:val="22"/>
          <w:szCs w:val="22"/>
        </w:rPr>
        <w:t>9) способ и размер обеспечения исполнения обязательств, вытекающих из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10) форма заявки на участие в аукционе, порядок приема заявок, адрес места приема заявок, даты и время начала и окончания приема заявок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11) размер и порядок внесения денежных средств в качестве обеспечения заявки на участие в аукционе, банковские реквизиты счета организатора аукциона для перечисления указанных денежных средств, если решением о проведении аукциона предусмотрено требование об обеспечении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12) требования к участникам аукциона в соответствии со статьей 46.8 Градостроительного кодекса РФ;</w:t>
      </w:r>
    </w:p>
    <w:p>
      <w:pPr>
        <w:pStyle w:val="Normal"/>
        <w:autoSpaceDE w:val="false"/>
        <w:ind w:firstLine="540"/>
        <w:rPr>
          <w:rFonts w:ascii="Arial" w:hAnsi="Arial" w:cs="Arial"/>
          <w:b/>
          <w:b/>
          <w:bCs/>
          <w:i/>
          <w:i/>
          <w:sz w:val="22"/>
          <w:szCs w:val="22"/>
        </w:rPr>
      </w:pPr>
      <w:r>
        <w:rPr>
          <w:rFonts w:cs="Arial" w:ascii="Arial" w:hAnsi="Arial"/>
          <w:sz w:val="22"/>
          <w:szCs w:val="22"/>
        </w:rPr>
        <w:t>13) размер арендной платы за земельный участок;</w:t>
      </w:r>
    </w:p>
    <w:p>
      <w:pPr>
        <w:pStyle w:val="Normal"/>
        <w:autoSpaceDE w:val="false"/>
        <w:ind w:firstLine="540"/>
        <w:rPr>
          <w:rFonts w:ascii="Arial" w:hAnsi="Arial" w:cs="Arial"/>
          <w:b/>
          <w:b/>
          <w:bCs/>
          <w:i/>
          <w:i/>
          <w:sz w:val="22"/>
          <w:szCs w:val="22"/>
        </w:rPr>
      </w:pPr>
      <w:r>
        <w:rPr>
          <w:rFonts w:cs="Arial" w:ascii="Arial" w:hAnsi="Arial"/>
          <w:sz w:val="22"/>
          <w:szCs w:val="22"/>
        </w:rPr>
        <w:t>14) сведения о наличии ограничений (обременений), установленных в отношении земельного участка;</w:t>
      </w:r>
    </w:p>
    <w:p>
      <w:pPr>
        <w:pStyle w:val="Normal"/>
        <w:autoSpaceDE w:val="false"/>
        <w:ind w:firstLine="540"/>
        <w:rPr>
          <w:rFonts w:ascii="Arial" w:hAnsi="Arial" w:cs="Arial"/>
          <w:b/>
          <w:b/>
          <w:bCs/>
          <w:i/>
          <w:i/>
          <w:sz w:val="22"/>
          <w:szCs w:val="22"/>
        </w:rPr>
      </w:pPr>
      <w:r>
        <w:rPr>
          <w:rFonts w:cs="Arial" w:ascii="Arial" w:hAnsi="Arial"/>
          <w:sz w:val="22"/>
          <w:szCs w:val="22"/>
        </w:rPr>
        <w:t>15) технические условия подключения (технологического присоединения) объектов капитального строительства, которые будут построены на земельном участке, к сетям инженерно-технического обеспечения, размер платы за подключение (технологическое присоединение), если предметом аукциона является право на заключение договора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16) примерный перечень мероприятий по подключению (технологическому присоединению) объектов капитального строительства, которые будут построены в границах территории, подлежащей комплексному освоению в целях строительства жилья экономического класса, к сетям инженерно-технического обеспечения, примерные затраты на осуществление таких мероприятий и источники финансирования этих затрат, если предметом аукциона является право на заключение договора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17) сведения об исполнительных органах государственной власти, органах местного самоуправления и о юридических лицах, осуществляющих в соответствии с частью 3 статьи 46.5 и частью 3 статьи 46.6 Градостроительного кодекса РФ отдельные права и обязанности исполнительного органа государственной власти или органа местного самоуправления, которые должны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по данному договору.</w:t>
      </w:r>
    </w:p>
    <w:p>
      <w:pPr>
        <w:pStyle w:val="Normal"/>
        <w:autoSpaceDE w:val="false"/>
        <w:ind w:firstLine="540"/>
        <w:rPr>
          <w:rFonts w:ascii="Arial" w:hAnsi="Arial" w:cs="Arial"/>
          <w:b/>
          <w:b/>
          <w:bCs/>
          <w:i/>
          <w:i/>
          <w:sz w:val="22"/>
          <w:szCs w:val="22"/>
        </w:rPr>
      </w:pPr>
      <w:r>
        <w:rPr>
          <w:rFonts w:cs="Arial" w:ascii="Arial" w:hAnsi="Arial"/>
          <w:sz w:val="22"/>
          <w:szCs w:val="22"/>
        </w:rPr>
        <w:t>9. Извещение о проведении аукциона размещается организатором аукциона на официальном сайте в сети "Интернет"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 Организатор аукциона также обеспечивает опубликование извещения о проведении аукциона в порядке, установленном для официального опубликования муниципальных правовых актов уставом поселения, городского округа, по месту нахождения указанного в этом извещении земельного участка не менее чем за тридцать дней до дня проведения аукциона.</w:t>
      </w:r>
    </w:p>
    <w:p>
      <w:pPr>
        <w:pStyle w:val="Normal"/>
        <w:autoSpaceDE w:val="false"/>
        <w:ind w:firstLine="540"/>
        <w:rPr>
          <w:rFonts w:ascii="Arial" w:hAnsi="Arial" w:cs="Arial"/>
          <w:b/>
          <w:b/>
          <w:bCs/>
          <w:i/>
          <w:i/>
          <w:sz w:val="22"/>
          <w:szCs w:val="22"/>
        </w:rPr>
      </w:pPr>
      <w:r>
        <w:rPr>
          <w:rFonts w:cs="Arial" w:ascii="Arial" w:hAnsi="Arial"/>
          <w:sz w:val="22"/>
          <w:szCs w:val="22"/>
        </w:rPr>
        <w:t>10. Обязательными приложениями к размещенному на официальном сайте в сети "Интернет" извещению о проведении аукциона являются:</w:t>
      </w:r>
    </w:p>
    <w:p>
      <w:pPr>
        <w:pStyle w:val="Normal"/>
        <w:autoSpaceDE w:val="false"/>
        <w:ind w:firstLine="540"/>
        <w:rPr>
          <w:rFonts w:ascii="Arial" w:hAnsi="Arial" w:cs="Arial"/>
          <w:b/>
          <w:b/>
          <w:bCs/>
          <w:i/>
          <w:i/>
          <w:sz w:val="22"/>
          <w:szCs w:val="22"/>
        </w:rPr>
      </w:pPr>
      <w:r>
        <w:rPr>
          <w:rFonts w:cs="Arial" w:ascii="Arial" w:hAnsi="Arial"/>
          <w:sz w:val="22"/>
          <w:szCs w:val="22"/>
        </w:rPr>
        <w:t>1) проект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2) проект договора аренды земельного участка, предоставляемого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3) проект договора подключения (технологического присоединения) объекта капитального строительства к сетям инженерно-технического обеспечения в случае проведения аукциона на право заключения договора об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11. Исполнительный орган государственной власти или орган местного самоуправления, указанные в части 1 настоящей статьи, вправе принять решение об отказе в проведении аукциона не позднее чем за пятнадцать дней до дня проведения аукциона. Извещение об отказе в проведении аукциона размещается на официальном сайте в сети "Интернет" и опубликовывается в соответствии с частью 9 настоящей статьи организатором аукциона в течение трех дней со дня принятия такого решения. Организатор аукциона в течение трех дней со дня принятия решения об отказе в проведении аукциона обязан известить лиц, подавших заявки на участие в аукционе, об отказе в проведении аукциона.</w:t>
      </w:r>
    </w:p>
    <w:p>
      <w:pPr>
        <w:pStyle w:val="Normal"/>
        <w:autoSpaceDE w:val="false"/>
        <w:ind w:firstLine="540"/>
        <w:rPr>
          <w:rFonts w:ascii="Arial" w:hAnsi="Arial" w:cs="Arial"/>
          <w:b/>
          <w:b/>
          <w:bCs/>
          <w:i/>
          <w:i/>
          <w:sz w:val="22"/>
          <w:szCs w:val="22"/>
        </w:rPr>
      </w:pPr>
      <w:r>
        <w:rPr>
          <w:rFonts w:cs="Arial" w:ascii="Arial" w:hAnsi="Arial"/>
          <w:sz w:val="22"/>
          <w:szCs w:val="22"/>
        </w:rPr>
        <w:t>12. Для участия в аукционе заявители представляют в установленный извещением о проведении аукциона срок следующие документы:</w:t>
      </w:r>
    </w:p>
    <w:p>
      <w:pPr>
        <w:pStyle w:val="Normal"/>
        <w:autoSpaceDE w:val="false"/>
        <w:ind w:firstLine="540"/>
        <w:rPr>
          <w:rFonts w:ascii="Arial" w:hAnsi="Arial" w:cs="Arial"/>
          <w:b/>
          <w:b/>
          <w:bCs/>
          <w:i/>
          <w:i/>
          <w:sz w:val="22"/>
          <w:szCs w:val="22"/>
        </w:rPr>
      </w:pPr>
      <w:r>
        <w:rPr>
          <w:rFonts w:cs="Arial" w:ascii="Arial" w:hAnsi="Arial"/>
          <w:sz w:val="22"/>
          <w:szCs w:val="22"/>
        </w:rPr>
        <w:t>1) заявка на участие в аукционе по установленной в извещении о проведении аукциона форме. В случае, если установлено требование об обеспечении заявки на участие в аукционе, в заявке должны быть указаны банковские реквизиты счета для возврата денежных средств, внесенных в качестве обеспечения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2) документы, указанные в частях 6 и 7 статьи 46.8 Градостроительного кодекса РФ;</w:t>
      </w:r>
    </w:p>
    <w:p>
      <w:pPr>
        <w:pStyle w:val="Normal"/>
        <w:autoSpaceDE w:val="false"/>
        <w:ind w:firstLine="540"/>
        <w:rPr>
          <w:rFonts w:ascii="Arial" w:hAnsi="Arial" w:cs="Arial"/>
          <w:b/>
          <w:b/>
          <w:bCs/>
          <w:i/>
          <w:i/>
          <w:sz w:val="22"/>
          <w:szCs w:val="22"/>
        </w:rPr>
      </w:pPr>
      <w:r>
        <w:rPr>
          <w:rFonts w:cs="Arial" w:ascii="Arial" w:hAnsi="Arial"/>
          <w:sz w:val="22"/>
          <w:szCs w:val="22"/>
        </w:rPr>
        <w:t>3) документы, подтверждающие внесение денежных средств в качестве обеспечения заявки на участие в аукционе, в случае, если установлено требование об обеспечении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13. Организатор аукциона не вправе требовать представление документов, которые не указаны в части 12 настоящей статьи.</w:t>
      </w:r>
    </w:p>
    <w:p>
      <w:pPr>
        <w:pStyle w:val="Normal"/>
        <w:autoSpaceDE w:val="false"/>
        <w:ind w:firstLine="540"/>
        <w:rPr>
          <w:rFonts w:ascii="Arial" w:hAnsi="Arial" w:cs="Arial"/>
          <w:b/>
          <w:b/>
          <w:bCs/>
          <w:i/>
          <w:i/>
          <w:sz w:val="22"/>
          <w:szCs w:val="22"/>
        </w:rPr>
      </w:pPr>
      <w:r>
        <w:rPr>
          <w:rFonts w:cs="Arial" w:ascii="Arial" w:hAnsi="Arial"/>
          <w:sz w:val="22"/>
          <w:szCs w:val="22"/>
        </w:rPr>
        <w:t>14.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приема заявок, возвращается в день ее поступления заявителю.</w:t>
      </w:r>
    </w:p>
    <w:p>
      <w:pPr>
        <w:pStyle w:val="Normal"/>
        <w:autoSpaceDE w:val="false"/>
        <w:ind w:firstLine="540"/>
        <w:rPr>
          <w:rFonts w:ascii="Arial" w:hAnsi="Arial" w:cs="Arial"/>
          <w:b/>
          <w:b/>
          <w:bCs/>
          <w:i/>
          <w:i/>
          <w:sz w:val="22"/>
          <w:szCs w:val="22"/>
        </w:rPr>
      </w:pPr>
      <w:r>
        <w:rPr>
          <w:rFonts w:cs="Arial" w:ascii="Arial" w:hAnsi="Arial"/>
          <w:sz w:val="22"/>
          <w:szCs w:val="22"/>
        </w:rPr>
        <w:t>15. Один заявитель вправе подать только одну заявку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16.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w:t>
      </w:r>
    </w:p>
    <w:p>
      <w:pPr>
        <w:pStyle w:val="Normal"/>
        <w:autoSpaceDE w:val="false"/>
        <w:ind w:firstLine="540"/>
        <w:rPr>
          <w:rFonts w:ascii="Arial" w:hAnsi="Arial" w:cs="Arial"/>
          <w:b/>
          <w:b/>
          <w:bCs/>
          <w:i/>
          <w:i/>
          <w:sz w:val="22"/>
          <w:szCs w:val="22"/>
        </w:rPr>
      </w:pPr>
      <w:r>
        <w:rPr>
          <w:rFonts w:cs="Arial" w:ascii="Arial" w:hAnsi="Arial"/>
          <w:sz w:val="22"/>
          <w:szCs w:val="22"/>
        </w:rPr>
        <w:t>17. Заявитель не допускается к участию в аукционе в следующих случаях:</w:t>
      </w:r>
    </w:p>
    <w:p>
      <w:pPr>
        <w:pStyle w:val="Normal"/>
        <w:autoSpaceDE w:val="false"/>
        <w:ind w:firstLine="540"/>
        <w:rPr>
          <w:rFonts w:ascii="Arial" w:hAnsi="Arial" w:cs="Arial"/>
          <w:b/>
          <w:b/>
          <w:bCs/>
          <w:i/>
          <w:i/>
          <w:sz w:val="22"/>
          <w:szCs w:val="22"/>
        </w:rPr>
      </w:pPr>
      <w:r>
        <w:rPr>
          <w:rFonts w:cs="Arial" w:ascii="Arial" w:hAnsi="Arial"/>
          <w:sz w:val="22"/>
          <w:szCs w:val="22"/>
        </w:rPr>
        <w:t>1) непредставление определенных в части 12 настоящей статьи документов или представление недостоверных сведений;</w:t>
      </w:r>
    </w:p>
    <w:p>
      <w:pPr>
        <w:pStyle w:val="Normal"/>
        <w:autoSpaceDE w:val="false"/>
        <w:ind w:firstLine="540"/>
        <w:rPr>
          <w:rFonts w:ascii="Arial" w:hAnsi="Arial" w:cs="Arial"/>
          <w:b/>
          <w:b/>
          <w:bCs/>
          <w:i/>
          <w:i/>
          <w:sz w:val="22"/>
          <w:szCs w:val="22"/>
        </w:rPr>
      </w:pPr>
      <w:r>
        <w:rPr>
          <w:rFonts w:cs="Arial" w:ascii="Arial" w:hAnsi="Arial"/>
          <w:sz w:val="22"/>
          <w:szCs w:val="22"/>
        </w:rPr>
        <w:t>2) непоступление денежных средств в качестве обеспечения заявки на участие в аукционе на дату рассмотрения заявок на участие в аукционе в случае, если установлено требование об обеспечении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3) подача заявки на участие в аукционе лицом, которое не соответствует установленным статьей 46.8 Градостроительного кодекса РФ требованиям к участникам аукциона.</w:t>
      </w:r>
    </w:p>
    <w:p>
      <w:pPr>
        <w:pStyle w:val="Normal"/>
        <w:autoSpaceDE w:val="false"/>
        <w:ind w:firstLine="540"/>
        <w:rPr>
          <w:rFonts w:ascii="Arial" w:hAnsi="Arial" w:cs="Arial"/>
          <w:b/>
          <w:b/>
          <w:bCs/>
          <w:i/>
          <w:i/>
          <w:sz w:val="22"/>
          <w:szCs w:val="22"/>
        </w:rPr>
      </w:pPr>
      <w:r>
        <w:rPr>
          <w:rFonts w:cs="Arial" w:ascii="Arial" w:hAnsi="Arial"/>
          <w:sz w:val="22"/>
          <w:szCs w:val="22"/>
        </w:rPr>
        <w:t>18. Отказ в допуске к участию в аукционе по основаниям, которые не предусмотрены частью 17 настоящей статьи, не допускается.</w:t>
      </w:r>
    </w:p>
    <w:p>
      <w:pPr>
        <w:pStyle w:val="Normal"/>
        <w:autoSpaceDE w:val="false"/>
        <w:ind w:firstLine="540"/>
        <w:rPr>
          <w:rFonts w:ascii="Arial" w:hAnsi="Arial" w:cs="Arial"/>
          <w:b/>
          <w:b/>
          <w:bCs/>
          <w:i/>
          <w:i/>
          <w:sz w:val="22"/>
          <w:szCs w:val="22"/>
        </w:rPr>
      </w:pPr>
      <w:r>
        <w:rPr>
          <w:rFonts w:cs="Arial" w:ascii="Arial" w:hAnsi="Arial"/>
          <w:sz w:val="22"/>
          <w:szCs w:val="22"/>
        </w:rPr>
        <w:t>19. Организатор аукциона ведет протокол рассмотрения заявок на участие в аукционе. Протокол рассмотрения заявок должен содержать сведения о заявителях, допущенных к участию в аукционе и признанных участниками аукциона, о датах подачи заявок, о внесенных в качестве обеспечения заявки денежных средствах, если решением о проведении аукциона установлено требование об обеспечении заявки на участие в аукционе,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подписывается организатором аукциона не позднее чем в течение одного дня со дня их рассмотрения и не позднее чем на следующий день после дня его подписания размещается на официальном сайте в сети "Интернет".</w:t>
      </w:r>
    </w:p>
    <w:p>
      <w:pPr>
        <w:pStyle w:val="Normal"/>
        <w:autoSpaceDE w:val="false"/>
        <w:ind w:firstLine="540"/>
        <w:rPr>
          <w:rFonts w:ascii="Arial" w:hAnsi="Arial" w:cs="Arial"/>
          <w:b/>
          <w:b/>
          <w:bCs/>
          <w:i/>
          <w:i/>
          <w:sz w:val="22"/>
          <w:szCs w:val="22"/>
        </w:rPr>
      </w:pPr>
      <w:r>
        <w:rPr>
          <w:rFonts w:cs="Arial" w:ascii="Arial" w:hAnsi="Arial"/>
          <w:sz w:val="22"/>
          <w:szCs w:val="22"/>
        </w:rPr>
        <w:t>20. Заявителям, признанным участниками аукциона, и заявителям, не допущенным к участию в аукционе, организатор аукциона направляет уведомления о принятых в их отношении решениях не позднее дня, следующего за днем подписания протокола рассмотрения заявок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21. Победителем аукциона признается участник аукциона, предложивший наименьшую цену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22. Результаты аукциона оформляются протоколом о результатах аукциона, который подписывается организатором аукциона в течение одного дня со дня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Протокол о результатах аукциона размещается на официальном сайте в сети "Интернет" в течение одного рабочего дня со дня его подписания. В протоколе о результатах аукциона указываются:</w:t>
      </w:r>
    </w:p>
    <w:p>
      <w:pPr>
        <w:pStyle w:val="Normal"/>
        <w:autoSpaceDE w:val="false"/>
        <w:ind w:firstLine="540"/>
        <w:rPr>
          <w:rFonts w:ascii="Arial" w:hAnsi="Arial" w:cs="Arial"/>
          <w:b/>
          <w:b/>
          <w:bCs/>
          <w:i/>
          <w:i/>
          <w:sz w:val="22"/>
          <w:szCs w:val="22"/>
        </w:rPr>
      </w:pPr>
      <w:r>
        <w:rPr>
          <w:rFonts w:cs="Arial" w:ascii="Arial" w:hAnsi="Arial"/>
          <w:sz w:val="22"/>
          <w:szCs w:val="22"/>
        </w:rPr>
        <w:t>1) сведения о месте, дате и времени проведения аукциона;</w:t>
      </w:r>
    </w:p>
    <w:p>
      <w:pPr>
        <w:pStyle w:val="Normal"/>
        <w:autoSpaceDE w:val="false"/>
        <w:ind w:firstLine="540"/>
        <w:rPr>
          <w:rFonts w:ascii="Arial" w:hAnsi="Arial" w:cs="Arial"/>
          <w:b/>
          <w:b/>
          <w:bCs/>
          <w:i/>
          <w:i/>
          <w:sz w:val="22"/>
          <w:szCs w:val="22"/>
        </w:rPr>
      </w:pPr>
      <w:r>
        <w:rPr>
          <w:rFonts w:cs="Arial" w:ascii="Arial" w:hAnsi="Arial"/>
          <w:sz w:val="22"/>
          <w:szCs w:val="22"/>
        </w:rPr>
        <w:t>2) предмет аукциона;</w:t>
      </w:r>
    </w:p>
    <w:p>
      <w:pPr>
        <w:pStyle w:val="Normal"/>
        <w:autoSpaceDE w:val="false"/>
        <w:ind w:firstLine="540"/>
        <w:rPr>
          <w:rFonts w:ascii="Arial" w:hAnsi="Arial" w:cs="Arial"/>
          <w:b/>
          <w:b/>
          <w:bCs/>
          <w:i/>
          <w:i/>
          <w:sz w:val="22"/>
          <w:szCs w:val="22"/>
        </w:rPr>
      </w:pPr>
      <w:r>
        <w:rPr>
          <w:rFonts w:cs="Arial" w:ascii="Arial" w:hAnsi="Arial"/>
          <w:sz w:val="22"/>
          <w:szCs w:val="22"/>
        </w:rPr>
        <w:t>3) сведения об участниках аукциона, о начальной цене предмета аукциона, последнем и предпоследнем предложениях о цене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4) наименование и место нахождения победителя аукциона и участника аукциона, который сделал предпоследнее предложение о цене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23.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заключается с победителем аукциона в срок не ранее чем через десять дней со дня размещения протокола о результатах аукциона на официальном сайте в сети "Интернет", но не позднее чем через тридцать дней со дня его размещения на условиях, указанных в извещении о проведении аукциона, по цене предмета аукциона, предложенной победителем аукциона.</w:t>
      </w:r>
    </w:p>
    <w:p>
      <w:pPr>
        <w:pStyle w:val="Normal"/>
        <w:autoSpaceDE w:val="false"/>
        <w:ind w:firstLine="540"/>
        <w:rPr>
          <w:rFonts w:ascii="Arial" w:hAnsi="Arial" w:cs="Arial"/>
          <w:b/>
          <w:b/>
          <w:bCs/>
          <w:i/>
          <w:i/>
          <w:sz w:val="22"/>
          <w:szCs w:val="22"/>
        </w:rPr>
      </w:pPr>
      <w:r>
        <w:rPr>
          <w:rFonts w:cs="Arial" w:ascii="Arial" w:hAnsi="Arial"/>
          <w:sz w:val="22"/>
          <w:szCs w:val="22"/>
        </w:rPr>
        <w:t>24. 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 состоявшимся. Если единственная заявка на участие в аукционе и подавший указанную заявку заявитель соответствуют всем требованиям и указанным в извещении о проведении аукциона условиям аукциона, информация о соответствии единственной заявки на участие в аукционе и подавшего ее заявителя всем требованиям и указанным в извещении о проведении аукциона условиям аукциона размещается на официальном сайте в сети "Интернет" в течение одного рабочего дня со дня ее рассмотрения. Такой заявитель не ранее чем через десять дней со дня размещения этой информации на официальном сайте в сети "Интернет", но не позднее чем через тридцать дней со дня ее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заявителем на условиях, указанных в извещении о проведении аукциона, по начальной цене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25.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 состоявшимся. Если аукцион признан несостоявшимся и только один заявитель признан участником аукциона, такой участник аукциона не ранее чем через десять дней со дня размещения на официальном сайте в сети "Интернет" протокола рассмотрения заявок,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26. 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низкую цену предмета аукциона, аукцион признается не состоявшимся. В случае, если аукцион признан не состоявшимся по причине участия в нем единственного участника аукциона, такой участник аукциона не ранее чем через десять дней со дня размещения на официальном сайте в сети "Интернет" протокола о результатах аукциона,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pPr>
        <w:pStyle w:val="Normal"/>
        <w:autoSpaceDE w:val="false"/>
        <w:ind w:firstLine="540"/>
        <w:rPr>
          <w:rFonts w:ascii="Arial" w:hAnsi="Arial" w:cs="Arial"/>
          <w:b/>
          <w:b/>
          <w:bCs/>
          <w:i/>
          <w:i/>
          <w:sz w:val="22"/>
          <w:szCs w:val="22"/>
        </w:rPr>
      </w:pPr>
      <w:r>
        <w:rPr>
          <w:rFonts w:cs="Arial" w:ascii="Arial" w:hAnsi="Arial"/>
          <w:sz w:val="22"/>
          <w:szCs w:val="22"/>
        </w:rPr>
        <w:t>27. В случае, если победитель аукциона уклонился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исполнительный орган государственной власти или орган местного самоуправления, принявшие решение о проведении аукциона, вправе обратиться в суд с требованием о возмещении убытков, причиненных уклонением победителя аукциона от заключения данного договора, или заключить данный договор с участником аукциона, который сделал предпоследнее предложение о цене предмета аукциона, в срок не ранее чем через тридцать дней со дня размещения протокола о результатах аукциона на официальном сайте в сети "Интернет", но не позднее чем через пятьдесят дней со дня его размещения на условиях, указанных в извещении о проведении аукциона, по цене предмета аукциона, предложенной таким участником аукциона.</w:t>
      </w:r>
    </w:p>
    <w:p>
      <w:pPr>
        <w:pStyle w:val="Normal"/>
        <w:autoSpaceDE w:val="false"/>
        <w:ind w:firstLine="540"/>
        <w:rPr>
          <w:rFonts w:ascii="Arial" w:hAnsi="Arial" w:cs="Arial"/>
          <w:b/>
          <w:b/>
          <w:bCs/>
          <w:i/>
          <w:i/>
          <w:sz w:val="22"/>
          <w:szCs w:val="22"/>
        </w:rPr>
      </w:pPr>
      <w:r>
        <w:rPr>
          <w:rFonts w:cs="Arial" w:ascii="Arial" w:hAnsi="Arial"/>
          <w:sz w:val="22"/>
          <w:szCs w:val="22"/>
        </w:rPr>
        <w:t>28.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заключается с победителем аукциона или иным лицом, имеющим право на заключение данных договоров в соответствии с частями 24 - 27 настоящей статьи, одновременно с заключением договора аренды земельного участка, находящегося в государственной или муниципальной собственности и указанного в извещении о проведении аукциона.</w:t>
      </w:r>
    </w:p>
    <w:p>
      <w:pPr>
        <w:pStyle w:val="Normal"/>
        <w:autoSpaceDE w:val="false"/>
        <w:ind w:firstLine="540"/>
        <w:rPr>
          <w:rFonts w:ascii="Arial" w:hAnsi="Arial" w:cs="Arial"/>
          <w:b/>
          <w:b/>
          <w:bCs/>
          <w:i/>
          <w:i/>
          <w:sz w:val="22"/>
          <w:szCs w:val="22"/>
        </w:rPr>
      </w:pPr>
      <w:r>
        <w:rPr>
          <w:rFonts w:cs="Arial" w:ascii="Arial" w:hAnsi="Arial"/>
          <w:sz w:val="22"/>
          <w:szCs w:val="22"/>
        </w:rPr>
        <w:t>29. До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победитель аукциона или лицо, имеющее право на заключение данных договоров в соответствии с частями 24 - 27 настоящей статьи, должны предоставить обеспечение исполнения данного договора.</w:t>
      </w:r>
    </w:p>
    <w:p>
      <w:pPr>
        <w:pStyle w:val="Normal"/>
        <w:autoSpaceDE w:val="false"/>
        <w:ind w:firstLine="540"/>
        <w:rPr>
          <w:rFonts w:ascii="Arial" w:hAnsi="Arial" w:cs="Arial"/>
          <w:b/>
          <w:b/>
          <w:bCs/>
          <w:i/>
          <w:i/>
          <w:sz w:val="22"/>
          <w:szCs w:val="22"/>
        </w:rPr>
      </w:pPr>
      <w:r>
        <w:rPr>
          <w:rFonts w:cs="Arial" w:ascii="Arial" w:hAnsi="Arial"/>
          <w:sz w:val="22"/>
          <w:szCs w:val="22"/>
        </w:rPr>
        <w:t>30. При заключении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изменение условий данного договора на основании соглашения сторон данного договора или по требованию одной из его сторон не допускается.</w:t>
      </w:r>
    </w:p>
    <w:p>
      <w:pPr>
        <w:pStyle w:val="Normal"/>
        <w:autoSpaceDE w:val="false"/>
        <w:ind w:firstLine="540"/>
        <w:rPr>
          <w:rFonts w:ascii="Arial" w:hAnsi="Arial" w:cs="Arial"/>
          <w:b/>
          <w:b/>
          <w:bCs/>
          <w:i/>
          <w:i/>
          <w:sz w:val="22"/>
          <w:szCs w:val="22"/>
        </w:rPr>
      </w:pPr>
      <w:r>
        <w:rPr>
          <w:rFonts w:cs="Arial" w:ascii="Arial" w:hAnsi="Arial"/>
          <w:sz w:val="22"/>
          <w:szCs w:val="22"/>
        </w:rPr>
        <w:t>31. В случае, если решением о проведении аукциона предусмотрено требование об обеспечении заявок на участие в аукционе, организатор аукциона обязан вернуть внесенные в качестве такого обеспечения денежные средства:</w:t>
      </w:r>
    </w:p>
    <w:p>
      <w:pPr>
        <w:pStyle w:val="Normal"/>
        <w:autoSpaceDE w:val="false"/>
        <w:ind w:firstLine="540"/>
        <w:rPr>
          <w:rFonts w:ascii="Arial" w:hAnsi="Arial" w:cs="Arial"/>
          <w:b/>
          <w:b/>
          <w:bCs/>
          <w:i/>
          <w:i/>
          <w:sz w:val="22"/>
          <w:szCs w:val="22"/>
        </w:rPr>
      </w:pPr>
      <w:r>
        <w:rPr>
          <w:rFonts w:cs="Arial" w:ascii="Arial" w:hAnsi="Arial"/>
          <w:sz w:val="22"/>
          <w:szCs w:val="22"/>
        </w:rPr>
        <w:t>1) заявителю, не допущенному к участию в аукционе, в течение пяти рабочих дней со дня размещения протокола рассмотрения заявок;</w:t>
      </w:r>
    </w:p>
    <w:p>
      <w:pPr>
        <w:pStyle w:val="Normal"/>
        <w:autoSpaceDE w:val="false"/>
        <w:ind w:firstLine="540"/>
        <w:rPr>
          <w:rFonts w:ascii="Arial" w:hAnsi="Arial" w:cs="Arial"/>
          <w:b/>
          <w:b/>
          <w:bCs/>
          <w:i/>
          <w:i/>
          <w:sz w:val="22"/>
          <w:szCs w:val="22"/>
        </w:rPr>
      </w:pPr>
      <w:r>
        <w:rPr>
          <w:rFonts w:cs="Arial" w:ascii="Arial" w:hAnsi="Arial"/>
          <w:sz w:val="22"/>
          <w:szCs w:val="22"/>
        </w:rPr>
        <w:t>2) заявителю, отозвавшему свою заявку на участие в аукционе, в течение пяти рабочих дней со дня регистрации отзыва заявки. При этом в случае отзыва заявки заявителем позднее дня окончания срока приема заявок указанные денежные средства возвращаются в порядке, установленном для участников аукциона, не победивших в нем;</w:t>
      </w:r>
    </w:p>
    <w:p>
      <w:pPr>
        <w:pStyle w:val="Normal"/>
        <w:autoSpaceDE w:val="false"/>
        <w:ind w:firstLine="540"/>
        <w:rPr>
          <w:rFonts w:ascii="Arial" w:hAnsi="Arial" w:cs="Arial"/>
          <w:b/>
          <w:b/>
          <w:bCs/>
          <w:i/>
          <w:i/>
          <w:sz w:val="22"/>
          <w:szCs w:val="22"/>
        </w:rPr>
      </w:pPr>
      <w:r>
        <w:rPr>
          <w:rFonts w:cs="Arial" w:ascii="Arial" w:hAnsi="Arial"/>
          <w:sz w:val="22"/>
          <w:szCs w:val="22"/>
        </w:rPr>
        <w:t>3) заявителям в течение пяти рабочих дней со дня принятия исполнительным органом государственной власти или органом местного самоуправления решения об отказе в проведении аукциона;</w:t>
      </w:r>
    </w:p>
    <w:p>
      <w:pPr>
        <w:pStyle w:val="Normal"/>
        <w:autoSpaceDE w:val="false"/>
        <w:ind w:firstLine="540"/>
        <w:rPr>
          <w:rFonts w:ascii="Arial" w:hAnsi="Arial" w:cs="Arial"/>
          <w:b/>
          <w:b/>
          <w:bCs/>
          <w:i/>
          <w:i/>
          <w:sz w:val="22"/>
          <w:szCs w:val="22"/>
        </w:rPr>
      </w:pPr>
      <w:r>
        <w:rPr>
          <w:rFonts w:cs="Arial" w:ascii="Arial" w:hAnsi="Arial"/>
          <w:sz w:val="22"/>
          <w:szCs w:val="22"/>
        </w:rPr>
        <w:t>4) участникам аукциона, не победившим в нем, в течение пяти рабочих дней со дня подписания протокола о результатах аукциона;</w:t>
      </w:r>
    </w:p>
    <w:p>
      <w:pPr>
        <w:pStyle w:val="Normal"/>
        <w:autoSpaceDE w:val="false"/>
        <w:ind w:firstLine="540"/>
        <w:rPr>
          <w:rFonts w:ascii="Arial" w:hAnsi="Arial" w:cs="Arial"/>
          <w:b/>
          <w:b/>
          <w:bCs/>
          <w:i/>
          <w:i/>
          <w:sz w:val="22"/>
          <w:szCs w:val="22"/>
        </w:rPr>
      </w:pPr>
      <w:r>
        <w:rPr>
          <w:rFonts w:cs="Arial" w:ascii="Arial" w:hAnsi="Arial"/>
          <w:sz w:val="22"/>
          <w:szCs w:val="22"/>
        </w:rPr>
        <w:t>5) победителю аукциона в течение пяти рабочих дней со дня подписания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 договора аренды соответствующего земельного участка;</w:t>
      </w:r>
    </w:p>
    <w:p>
      <w:pPr>
        <w:pStyle w:val="Normal"/>
        <w:autoSpaceDE w:val="false"/>
        <w:ind w:firstLine="540"/>
        <w:rPr>
          <w:rFonts w:ascii="Arial" w:hAnsi="Arial" w:cs="Arial"/>
          <w:b/>
          <w:b/>
          <w:bCs/>
          <w:i/>
          <w:i/>
          <w:sz w:val="22"/>
          <w:szCs w:val="22"/>
        </w:rPr>
      </w:pPr>
      <w:r>
        <w:rPr>
          <w:rFonts w:cs="Arial" w:ascii="Arial" w:hAnsi="Arial"/>
          <w:sz w:val="22"/>
          <w:szCs w:val="22"/>
        </w:rPr>
        <w:t>6) лицам, имеющим право на заключение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в соответствии с частями 24 - 26 настоящей статьи, в течение пяти рабочих дней со дня признания аукциона несостоявшимся.</w:t>
      </w:r>
    </w:p>
    <w:p>
      <w:pPr>
        <w:pStyle w:val="Normal"/>
        <w:autoSpaceDE w:val="false"/>
        <w:ind w:firstLine="540"/>
        <w:rPr>
          <w:rFonts w:ascii="Arial" w:hAnsi="Arial" w:cs="Arial"/>
          <w:b/>
          <w:b/>
          <w:bCs/>
          <w:i/>
          <w:i/>
          <w:sz w:val="22"/>
          <w:szCs w:val="22"/>
        </w:rPr>
      </w:pPr>
      <w:r>
        <w:rPr>
          <w:rFonts w:cs="Arial" w:ascii="Arial" w:hAnsi="Arial"/>
          <w:sz w:val="22"/>
          <w:szCs w:val="22"/>
        </w:rPr>
        <w:t>32. Победителю аукциона, уклонившемуся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и (или) договора аренды соответствующего земельного участка, денежные средства, внесенные таким победителем в качестве обеспечения заявки на участие в аукционе, не возвращаются.</w:t>
      </w:r>
    </w:p>
    <w:p>
      <w:pPr>
        <w:pStyle w:val="Normal"/>
        <w:autoSpaceDE w:val="false"/>
        <w:ind w:firstLine="540"/>
        <w:rPr>
          <w:rFonts w:ascii="Arial" w:hAnsi="Arial" w:cs="Arial"/>
          <w:b/>
          <w:b/>
          <w:bCs/>
          <w:i/>
          <w:i/>
          <w:sz w:val="22"/>
          <w:szCs w:val="22"/>
        </w:rPr>
      </w:pPr>
      <w:r>
        <w:rPr>
          <w:rFonts w:cs="Arial" w:ascii="Arial" w:hAnsi="Arial"/>
          <w:sz w:val="22"/>
          <w:szCs w:val="22"/>
        </w:rPr>
        <w:t>33. В случае, если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не был заключен в сроки, предусмотренные настоящей статьей, организатор аукциона вправе объявить о проведении повторного аукциона. При этом могут быть изменены условия аукциона.</w:t>
      </w:r>
    </w:p>
    <w:p>
      <w:pPr>
        <w:pStyle w:val="Normal"/>
        <w:autoSpaceDE w:val="false"/>
        <w:ind w:firstLine="540"/>
        <w:rPr>
          <w:rFonts w:ascii="Arial" w:hAnsi="Arial" w:cs="Arial"/>
          <w:b/>
          <w:b/>
          <w:bCs/>
          <w:i/>
          <w:i/>
          <w:sz w:val="22"/>
          <w:szCs w:val="22"/>
        </w:rPr>
      </w:pPr>
      <w:r>
        <w:rPr>
          <w:rFonts w:cs="Arial" w:ascii="Arial" w:hAnsi="Arial"/>
          <w:sz w:val="22"/>
          <w:szCs w:val="22"/>
        </w:rPr>
        <w:t>34.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 устанавливаются не ниже указанных значений, определенных субъектами Российской Федерации, при условии, что указанные значения определены субъектами Российской Федерации.</w:t>
      </w:r>
    </w:p>
    <w:p>
      <w:pPr>
        <w:pStyle w:val="Normal"/>
        <w:rPr/>
      </w:pPr>
      <w:r>
        <w:rPr>
          <w:rStyle w:val="Style15"/>
          <w:rFonts w:eastAsia="Calibri" w:cs="Arial" w:ascii="Arial" w:hAnsi="Arial"/>
          <w:sz w:val="22"/>
          <w:szCs w:val="22"/>
        </w:rPr>
        <w:t>Статья 20.4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p>
    <w:p>
      <w:pPr>
        <w:pStyle w:val="Normal"/>
        <w:autoSpaceDE w:val="false"/>
        <w:ind w:firstLine="540"/>
        <w:rPr>
          <w:rFonts w:ascii="Arial" w:hAnsi="Arial" w:cs="Arial"/>
          <w:b/>
          <w:b/>
          <w:bCs/>
          <w:i/>
          <w:i/>
          <w:sz w:val="22"/>
          <w:szCs w:val="22"/>
        </w:rPr>
      </w:pPr>
      <w:r>
        <w:rPr>
          <w:rFonts w:cs="Arial" w:ascii="Arial" w:hAnsi="Arial"/>
          <w:sz w:val="22"/>
          <w:szCs w:val="22"/>
        </w:rPr>
        <w:t>1. Участником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за исключением случаев определения иных требований к участникам аукциона Правительством Российской Федерации, может быть признано юридическое лицо, соответствующее следующим обязательным требованиям:</w:t>
      </w:r>
    </w:p>
    <w:p>
      <w:pPr>
        <w:pStyle w:val="Normal"/>
        <w:autoSpaceDE w:val="false"/>
        <w:ind w:firstLine="540"/>
        <w:rPr>
          <w:rFonts w:ascii="Arial" w:hAnsi="Arial" w:cs="Arial"/>
          <w:b/>
          <w:b/>
          <w:bCs/>
          <w:i/>
          <w:i/>
          <w:sz w:val="22"/>
          <w:szCs w:val="22"/>
        </w:rPr>
      </w:pPr>
      <w:r>
        <w:rPr>
          <w:rFonts w:cs="Arial" w:ascii="Arial" w:hAnsi="Arial"/>
          <w:sz w:val="22"/>
          <w:szCs w:val="22"/>
        </w:rPr>
        <w:t>1) осуществление юридическим лицом деятельности в качестве застройщика не менее чем три года при условии, что совокупный объем ввода многоквартирных домов, жилых домов блокированной застройки, объектов индивидуального жилищного строительства в эксплуатацию за последние три года, предшествующие дате окончания срока подачи заявок на участие в аукционе, составляет не менее чем минимальный объем ввода многоквартирных домов, жилых домов блокированной застройки, объектов индивидуального жилищного строительства в эксплуатацию, установленный в соответствии с частью 4 или 5 настоящей статьи и предусмотренный извещением о проведении аукциона;</w:t>
      </w:r>
    </w:p>
    <w:p>
      <w:pPr>
        <w:pStyle w:val="Normal"/>
        <w:autoSpaceDE w:val="false"/>
        <w:ind w:firstLine="540"/>
        <w:rPr>
          <w:rFonts w:ascii="Arial" w:hAnsi="Arial" w:cs="Arial"/>
          <w:b/>
          <w:b/>
          <w:bCs/>
          <w:i/>
          <w:i/>
          <w:sz w:val="22"/>
          <w:szCs w:val="22"/>
        </w:rPr>
      </w:pPr>
      <w:r>
        <w:rPr>
          <w:rFonts w:cs="Arial" w:ascii="Arial" w:hAnsi="Arial"/>
          <w:sz w:val="22"/>
          <w:szCs w:val="22"/>
        </w:rPr>
        <w:t>2) наличие у юридического лица полученного в соответствии с Градостроительным кодексом РФ свидетельства о допуске к работам по организации строительства, реконструкции 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pPr>
        <w:pStyle w:val="Normal"/>
        <w:autoSpaceDE w:val="false"/>
        <w:ind w:firstLine="540"/>
        <w:rPr>
          <w:rFonts w:ascii="Arial" w:hAnsi="Arial" w:cs="Arial"/>
          <w:b/>
          <w:b/>
          <w:bCs/>
          <w:i/>
          <w:i/>
          <w:sz w:val="22"/>
          <w:szCs w:val="22"/>
        </w:rPr>
      </w:pPr>
      <w:r>
        <w:rPr>
          <w:rFonts w:cs="Arial" w:ascii="Arial" w:hAnsi="Arial"/>
          <w:sz w:val="22"/>
          <w:szCs w:val="22"/>
        </w:rPr>
        <w:t>3) непроведение ликвидации юридического лица и отсутствие решения арбитражного суда о введении внешнего управления или продлении его срока, о признании юридического лица несостоятельным (банкротом) и об открытии конкурсного производства на день подачи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4) неприостановление деятельности юридического лица в порядке, установленном Кодексом Российской Федерации об административных правонарушениях, на день подачи заявки на участие в аукционе;</w:t>
      </w:r>
    </w:p>
    <w:p>
      <w:pPr>
        <w:pStyle w:val="Normal"/>
        <w:autoSpaceDE w:val="false"/>
        <w:ind w:firstLine="540"/>
        <w:rPr>
          <w:rFonts w:ascii="Arial" w:hAnsi="Arial" w:cs="Arial"/>
          <w:b/>
          <w:b/>
          <w:bCs/>
          <w:i/>
          <w:i/>
          <w:sz w:val="22"/>
          <w:szCs w:val="22"/>
        </w:rPr>
      </w:pPr>
      <w:r>
        <w:rPr>
          <w:rFonts w:cs="Arial" w:ascii="Arial" w:hAnsi="Arial"/>
          <w:sz w:val="22"/>
          <w:szCs w:val="22"/>
        </w:rPr>
        <w:t>5) отсутствие в реестре недобросовестных поставщиков, ведение которого осуществляется в соответствии с Федеральным законом от 18 июля 2011 года N 223-ФЗ "О закупках товаров, работ, услуг отдельными видами юридических лиц",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 в реестре недобросовестных застройщиков, ведение которого осуществляется в соответствии с Федеральным законом от 24 июля 2008 года N 161-ФЗ "О содействии развитию жилищного строительства", сведений о юридическом лице (в том числе об учредителях, о членах коллегиального исполнительного органа, лице, исполняющем функции единоличного исполнительного органа юридического лица) в части исполнения им обязательств, предусмотренных контрактами или договорами, предметом которых является выполнение работ, оказание услуг в сфере строительства, реконструкции и капитального ремонта объектов капитального строительства или организации таких строительства, реконструкции и капитального ремонта либо приобретение у юридического лица жилых помещений;</w:t>
      </w:r>
    </w:p>
    <w:p>
      <w:pPr>
        <w:pStyle w:val="Normal"/>
        <w:autoSpaceDE w:val="false"/>
        <w:ind w:firstLine="540"/>
        <w:rPr>
          <w:rFonts w:ascii="Arial" w:hAnsi="Arial" w:cs="Arial"/>
          <w:b/>
          <w:b/>
          <w:bCs/>
          <w:i/>
          <w:i/>
          <w:sz w:val="22"/>
          <w:szCs w:val="22"/>
        </w:rPr>
      </w:pPr>
      <w:r>
        <w:rPr>
          <w:rFonts w:cs="Arial" w:ascii="Arial" w:hAnsi="Arial"/>
          <w:sz w:val="22"/>
          <w:szCs w:val="22"/>
        </w:rPr>
        <w:t>6) соблюдение юридическим лицом нормативов оценки финансовой устойчивости его деятельности, установленных Правительством Российской Федерации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w:t>
      </w:r>
    </w:p>
    <w:p>
      <w:pPr>
        <w:pStyle w:val="Normal"/>
        <w:autoSpaceDE w:val="false"/>
        <w:ind w:firstLine="540"/>
        <w:rPr>
          <w:rFonts w:ascii="Arial" w:hAnsi="Arial" w:cs="Arial"/>
          <w:b/>
          <w:b/>
          <w:bCs/>
          <w:i/>
          <w:i/>
          <w:sz w:val="22"/>
          <w:szCs w:val="22"/>
        </w:rPr>
      </w:pPr>
      <w:r>
        <w:rPr>
          <w:rFonts w:cs="Arial" w:ascii="Arial" w:hAnsi="Arial"/>
          <w:sz w:val="22"/>
          <w:szCs w:val="22"/>
        </w:rPr>
        <w:t>7) отсутствие у юридического лица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аукциона, по данным бухгалтерской отчетности за последний отчетный период. Заявитель считается соответствующим установленному требованию в случае, если им в установленном законодательством Российской Федерации порядке подано заявление об обжаловании указанных недоимки, задолженности и решение по такому заявлению на дату рассмотрения заявки на участие в аукционе не принято;</w:t>
      </w:r>
    </w:p>
    <w:p>
      <w:pPr>
        <w:pStyle w:val="Normal"/>
        <w:autoSpaceDE w:val="false"/>
        <w:ind w:firstLine="540"/>
        <w:rPr>
          <w:rFonts w:ascii="Arial" w:hAnsi="Arial" w:cs="Arial"/>
          <w:b/>
          <w:b/>
          <w:bCs/>
          <w:i/>
          <w:i/>
          <w:sz w:val="22"/>
          <w:szCs w:val="22"/>
        </w:rPr>
      </w:pPr>
      <w:r>
        <w:rPr>
          <w:rFonts w:cs="Arial" w:ascii="Arial" w:hAnsi="Arial"/>
          <w:sz w:val="22"/>
          <w:szCs w:val="22"/>
        </w:rPr>
        <w:t>8) отсутствие у руководителя, членов коллегиального исполнительного органа или главного бухгалтера юридического лица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объектов капитального строительства или организации таких строительства, реконструкции и административного наказания в виде дисквалификации.</w:t>
      </w:r>
    </w:p>
    <w:p>
      <w:pPr>
        <w:pStyle w:val="Normal"/>
        <w:autoSpaceDE w:val="false"/>
        <w:ind w:firstLine="540"/>
        <w:rPr>
          <w:rFonts w:ascii="Arial" w:hAnsi="Arial" w:cs="Arial"/>
          <w:b/>
          <w:b/>
          <w:bCs/>
          <w:i/>
          <w:i/>
          <w:sz w:val="22"/>
          <w:szCs w:val="22"/>
        </w:rPr>
      </w:pPr>
      <w:r>
        <w:rPr>
          <w:rFonts w:cs="Arial" w:ascii="Arial" w:hAnsi="Arial"/>
          <w:sz w:val="22"/>
          <w:szCs w:val="22"/>
        </w:rPr>
        <w:t>2. В случае, если участником аукциона является юридическое лицо, выступающее стороной договора простого товарищества, требования, предусмотренные частью 1 настоящей статьи, применяются в следующем порядке:</w:t>
      </w:r>
    </w:p>
    <w:p>
      <w:pPr>
        <w:pStyle w:val="Normal"/>
        <w:autoSpaceDE w:val="false"/>
        <w:ind w:firstLine="540"/>
        <w:rPr>
          <w:rFonts w:ascii="Arial" w:hAnsi="Arial" w:cs="Arial"/>
          <w:b/>
          <w:b/>
          <w:bCs/>
          <w:i/>
          <w:i/>
          <w:sz w:val="22"/>
          <w:szCs w:val="22"/>
        </w:rPr>
      </w:pPr>
      <w:r>
        <w:rPr>
          <w:rFonts w:cs="Arial" w:ascii="Arial" w:hAnsi="Arial"/>
          <w:sz w:val="22"/>
          <w:szCs w:val="22"/>
        </w:rPr>
        <w:t>1) требования, предусмотренные пунктами 1 и 2 части 1 настоящей статьи, применяются в совокупности в отношении лиц, являющихся сторонами договора простого товарищества. При этом каждое лицо, являющееся стороной такого договора, обязано удовлетворять хотя бы одному из указанных требований в полном объеме;</w:t>
      </w:r>
    </w:p>
    <w:p>
      <w:pPr>
        <w:pStyle w:val="Normal"/>
        <w:autoSpaceDE w:val="false"/>
        <w:ind w:firstLine="540"/>
        <w:rPr>
          <w:rFonts w:ascii="Arial" w:hAnsi="Arial" w:cs="Arial"/>
          <w:b/>
          <w:b/>
          <w:bCs/>
          <w:i/>
          <w:i/>
          <w:sz w:val="22"/>
          <w:szCs w:val="22"/>
        </w:rPr>
      </w:pPr>
      <w:r>
        <w:rPr>
          <w:rFonts w:cs="Arial" w:ascii="Arial" w:hAnsi="Arial"/>
          <w:sz w:val="22"/>
          <w:szCs w:val="22"/>
        </w:rPr>
        <w:t>2) требования, предусмотренные пунктами 3 - 8 части 1 настоящей статьи, применяются в отношении каждого лица, являющегося стороной договора простого товарищества.</w:t>
      </w:r>
    </w:p>
    <w:p>
      <w:pPr>
        <w:pStyle w:val="Normal"/>
        <w:autoSpaceDE w:val="false"/>
        <w:ind w:firstLine="540"/>
        <w:rPr>
          <w:rFonts w:ascii="Arial" w:hAnsi="Arial" w:cs="Arial"/>
          <w:b/>
          <w:b/>
          <w:bCs/>
          <w:i/>
          <w:i/>
          <w:sz w:val="22"/>
          <w:szCs w:val="22"/>
        </w:rPr>
      </w:pPr>
      <w:r>
        <w:rPr>
          <w:rFonts w:cs="Arial" w:ascii="Arial" w:hAnsi="Arial"/>
          <w:sz w:val="22"/>
          <w:szCs w:val="22"/>
        </w:rPr>
        <w:t>3. Требования, предусмотренные частью 1 настоящей статьи, являются едиными для участников аукциона. Установление требований к участникам аукциона, если эти требования не предусмотрены частью 1 настоящей статьи, не допускается.</w:t>
      </w:r>
    </w:p>
    <w:p>
      <w:pPr>
        <w:pStyle w:val="Normal"/>
        <w:autoSpaceDE w:val="false"/>
        <w:ind w:firstLine="540"/>
        <w:rPr>
          <w:rFonts w:ascii="Arial" w:hAnsi="Arial" w:cs="Arial"/>
          <w:b/>
          <w:b/>
          <w:bCs/>
          <w:i/>
          <w:i/>
          <w:sz w:val="22"/>
          <w:szCs w:val="22"/>
        </w:rPr>
      </w:pPr>
      <w:r>
        <w:rPr>
          <w:rFonts w:cs="Arial" w:ascii="Arial" w:hAnsi="Arial"/>
          <w:sz w:val="22"/>
          <w:szCs w:val="22"/>
        </w:rPr>
        <w:t>4. Минимальный объем ввода многоквартирных домов или жилых домов блокированной застройки в эксплуатацию при проведении аукциона на право заключения договора об освоении территории в целях строительства жилья экономического класса определяется как максимальная площадь многоквартирного дома или жилого дома блокированной застройки, которые могут быть построены на предоставляемом по результатам такого аукциона земельном участке в соответствии с максимальными значениями предельных параметров разрешенного строительства, предусмотренных градостроительным регламентом.</w:t>
      </w:r>
    </w:p>
    <w:p>
      <w:pPr>
        <w:pStyle w:val="Normal"/>
        <w:autoSpaceDE w:val="false"/>
        <w:ind w:firstLine="540"/>
        <w:rPr>
          <w:rFonts w:ascii="Arial" w:hAnsi="Arial" w:cs="Arial"/>
          <w:b/>
          <w:b/>
          <w:bCs/>
          <w:i/>
          <w:i/>
          <w:sz w:val="22"/>
          <w:szCs w:val="22"/>
        </w:rPr>
      </w:pPr>
      <w:r>
        <w:rPr>
          <w:rFonts w:cs="Arial" w:ascii="Arial" w:hAnsi="Arial"/>
          <w:sz w:val="22"/>
          <w:szCs w:val="22"/>
        </w:rPr>
        <w:t>5. Минимальный объем ввода многоквартирных домов, жилых домов блокированной застройки и (или) объектов индивидуального жилищного строительства в эксплуатацию при проведении аукциона на право заключения договора о комплексном освоении территории в целях строительства жилья экономического класса определяется как отношение максимальной площади многоквартирных домов, жилых домов блокированной застройки и (или) объектов индивидуального жилищного строительства, которые могут быть построены в границах территории, подлежащей комплексному освоению, в соответствии с максимальными значениями предельных параметров разрешенного строительства, предусмотренных градостроительным регламентом, к сроку, на который заключается данный договор.</w:t>
      </w:r>
    </w:p>
    <w:p>
      <w:pPr>
        <w:pStyle w:val="Normal"/>
        <w:autoSpaceDE w:val="false"/>
        <w:ind w:firstLine="540"/>
        <w:rPr>
          <w:rFonts w:ascii="Arial" w:hAnsi="Arial" w:cs="Arial"/>
          <w:b/>
          <w:b/>
          <w:bCs/>
          <w:i/>
          <w:i/>
          <w:sz w:val="22"/>
          <w:szCs w:val="22"/>
        </w:rPr>
      </w:pPr>
      <w:r>
        <w:rPr>
          <w:rFonts w:cs="Arial" w:ascii="Arial" w:hAnsi="Arial"/>
          <w:sz w:val="22"/>
          <w:szCs w:val="22"/>
        </w:rPr>
        <w:t>6. В целях подтверждения выполнения предусмотренных пунктами 1 и 2 части 1 настоящей статьи требований к участникам аукциона заявители представляют в установленный извещением о проведении аукциона срок следующие документы:</w:t>
      </w:r>
    </w:p>
    <w:p>
      <w:pPr>
        <w:pStyle w:val="Normal"/>
        <w:autoSpaceDE w:val="false"/>
        <w:ind w:firstLine="540"/>
        <w:rPr>
          <w:rFonts w:ascii="Arial" w:hAnsi="Arial" w:cs="Arial"/>
          <w:b/>
          <w:b/>
          <w:bCs/>
          <w:i/>
          <w:i/>
          <w:sz w:val="22"/>
          <w:szCs w:val="22"/>
        </w:rPr>
      </w:pPr>
      <w:r>
        <w:rPr>
          <w:rFonts w:cs="Arial" w:ascii="Arial" w:hAnsi="Arial"/>
          <w:sz w:val="22"/>
          <w:szCs w:val="22"/>
        </w:rPr>
        <w:t>1) копии разрешений на ввод объектов капитального строительства в эксплуатацию, копии актов приемки объектов капитального строительства (за исключением случая, если застройщик является лицом, осуществляющим строительство) за последние три года, предшествующие дате окончания срока подачи заявок на участие в аукционе, копии документов, подтверждающих ввод объектов капитального строительства в эксплуатацию, по установленной в соответствии с Федеральным законом от 29 ноября 2007 года N 282-ФЗ "Об официальном статистическом учете и системе государственной статистики в Российской Федерации" форме федерального статистического наблюдения;</w:t>
      </w:r>
    </w:p>
    <w:p>
      <w:pPr>
        <w:pStyle w:val="Normal"/>
        <w:autoSpaceDE w:val="false"/>
        <w:ind w:firstLine="540"/>
        <w:rPr>
          <w:rFonts w:ascii="Arial" w:hAnsi="Arial" w:cs="Arial"/>
          <w:b/>
          <w:b/>
          <w:bCs/>
          <w:i/>
          <w:i/>
          <w:sz w:val="22"/>
          <w:szCs w:val="22"/>
        </w:rPr>
      </w:pPr>
      <w:r>
        <w:rPr>
          <w:rFonts w:cs="Arial" w:ascii="Arial" w:hAnsi="Arial"/>
          <w:sz w:val="22"/>
          <w:szCs w:val="22"/>
        </w:rPr>
        <w:t>2) выписка из реестра членов саморегулируемой организации, членом которой является заявитель, с указанием сведений о наличии у заявителя свидетельства о допуске к работам по организации строительства, реконструкции,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pPr>
        <w:pStyle w:val="Normal"/>
        <w:autoSpaceDE w:val="false"/>
        <w:ind w:firstLine="540"/>
        <w:rPr>
          <w:rFonts w:ascii="Arial" w:hAnsi="Arial" w:cs="Arial"/>
          <w:b/>
          <w:b/>
          <w:bCs/>
          <w:i/>
          <w:i/>
          <w:sz w:val="22"/>
          <w:szCs w:val="22"/>
        </w:rPr>
      </w:pPr>
      <w:r>
        <w:rPr>
          <w:rFonts w:cs="Arial" w:ascii="Arial" w:hAnsi="Arial"/>
          <w:sz w:val="22"/>
          <w:szCs w:val="22"/>
        </w:rPr>
        <w:t>7. Заявители декларируют в письменной форме соответствие требованиям, предусмотренным пунктами 3 - 8 части 1 настоящей статьи. При этом соответствие заявителя требованию, предусмотренному пунктом 3 части 1 настоящей статьи, декларируется в части подтверждения отсутствия решения арбитражного суда о введении внешнего управления или о продлении его срока, о признании юридического лица несостоятельным (банкротом) и об открытии конкурсного производства.</w:t>
      </w:r>
    </w:p>
    <w:p>
      <w:pPr>
        <w:pStyle w:val="Normal"/>
        <w:autoSpaceDE w:val="false"/>
        <w:ind w:firstLine="540"/>
        <w:rPr>
          <w:rFonts w:ascii="Arial" w:hAnsi="Arial" w:cs="Arial"/>
          <w:b/>
          <w:b/>
          <w:bCs/>
          <w:i/>
          <w:i/>
          <w:sz w:val="22"/>
          <w:szCs w:val="22"/>
        </w:rPr>
      </w:pPr>
      <w:r>
        <w:rPr>
          <w:rFonts w:cs="Arial" w:ascii="Arial" w:hAnsi="Arial"/>
          <w:sz w:val="22"/>
          <w:szCs w:val="22"/>
        </w:rPr>
        <w:t>8. Организатор аукциона в установленном законодательством Российской Федерации порядке запрашивает сведения, подтверждающие факт внесения сведений о заявителе в единый государственный реестр юридических лиц,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а также вправе проверить соответствие заявителей требованиям, указанным в части 1 настоящей статьи.».</w:t>
      </w:r>
    </w:p>
    <w:p>
      <w:pPr>
        <w:pStyle w:val="Normal"/>
        <w:spacing w:before="0" w:after="0"/>
        <w:contextualSpacing/>
        <w:rPr>
          <w:rFonts w:ascii="Arial" w:hAnsi="Arial" w:cs="Arial"/>
          <w:b/>
          <w:b/>
          <w:bCs/>
          <w:i/>
          <w:i/>
          <w:sz w:val="22"/>
          <w:szCs w:val="22"/>
        </w:rPr>
      </w:pPr>
      <w:r>
        <w:rPr>
          <w:rFonts w:cs="Arial" w:ascii="Arial" w:hAnsi="Arial"/>
          <w:b/>
          <w:bCs/>
          <w:i/>
          <w:sz w:val="22"/>
          <w:szCs w:val="22"/>
        </w:rPr>
      </w:r>
    </w:p>
    <w:p>
      <w:pPr>
        <w:pStyle w:val="Normal"/>
        <w:spacing w:before="0" w:after="0"/>
        <w:contextualSpacing/>
        <w:rPr>
          <w:rFonts w:ascii="Arial" w:hAnsi="Arial" w:cs="Arial"/>
          <w:b/>
          <w:b/>
          <w:i/>
          <w:i/>
          <w:sz w:val="22"/>
          <w:szCs w:val="22"/>
        </w:rPr>
      </w:pPr>
      <w:r>
        <w:rPr>
          <w:rFonts w:cs="Arial" w:ascii="Arial" w:hAnsi="Arial"/>
          <w:sz w:val="22"/>
          <w:szCs w:val="22"/>
        </w:rPr>
        <w:t xml:space="preserve">8. Пункты 3.1 – 3.3. статьи 26 изложить в следующей редакции: </w:t>
      </w:r>
    </w:p>
    <w:p>
      <w:pPr>
        <w:pStyle w:val="Normal"/>
        <w:autoSpaceDE w:val="false"/>
        <w:ind w:firstLine="540"/>
        <w:rPr>
          <w:rFonts w:ascii="Arial" w:hAnsi="Arial" w:cs="Arial"/>
          <w:b/>
          <w:b/>
          <w:bCs/>
          <w:i/>
          <w:i/>
          <w:sz w:val="22"/>
          <w:szCs w:val="22"/>
        </w:rPr>
      </w:pPr>
      <w:r>
        <w:rPr>
          <w:rFonts w:cs="Arial" w:ascii="Arial" w:hAnsi="Arial"/>
          <w:sz w:val="22"/>
          <w:szCs w:val="22"/>
        </w:rPr>
        <w:t>«3.1. В случае, если Правилами землепользования и застройки не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pPr>
        <w:pStyle w:val="Normal"/>
        <w:autoSpaceDE w:val="false"/>
        <w:ind w:firstLine="540"/>
        <w:rPr>
          <w:rFonts w:ascii="Arial" w:hAnsi="Arial" w:cs="Arial"/>
          <w:b/>
          <w:b/>
          <w:bCs/>
          <w:i/>
          <w:i/>
          <w:sz w:val="22"/>
          <w:szCs w:val="22"/>
        </w:rPr>
      </w:pPr>
      <w:r>
        <w:rPr>
          <w:rFonts w:cs="Arial" w:ascii="Arial" w:hAnsi="Arial"/>
          <w:sz w:val="22"/>
          <w:szCs w:val="22"/>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pPr>
        <w:pStyle w:val="Normal"/>
        <w:autoSpaceDE w:val="false"/>
        <w:ind w:firstLine="540"/>
        <w:rPr>
          <w:rFonts w:ascii="Arial" w:hAnsi="Arial" w:cs="Arial"/>
          <w:b/>
          <w:b/>
          <w:bCs/>
          <w:i/>
          <w:i/>
          <w:sz w:val="22"/>
          <w:szCs w:val="22"/>
        </w:rPr>
      </w:pPr>
      <w:r>
        <w:rPr>
          <w:rFonts w:cs="Arial" w:ascii="Arial" w:hAnsi="Arial"/>
          <w:sz w:val="22"/>
          <w:szCs w:val="22"/>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pPr>
        <w:pStyle w:val="Normal"/>
        <w:autoSpaceDE w:val="false"/>
        <w:ind w:firstLine="540"/>
        <w:rPr>
          <w:rFonts w:ascii="Arial" w:hAnsi="Arial" w:cs="Arial"/>
          <w:b/>
          <w:b/>
          <w:bCs/>
          <w:i/>
          <w:i/>
          <w:sz w:val="22"/>
          <w:szCs w:val="22"/>
        </w:rPr>
      </w:pPr>
      <w:r>
        <w:rPr>
          <w:rFonts w:cs="Arial" w:ascii="Arial" w:hAnsi="Arial"/>
          <w:b/>
          <w:bCs/>
          <w:i/>
          <w:sz w:val="22"/>
          <w:szCs w:val="22"/>
        </w:rPr>
      </w:r>
    </w:p>
    <w:p>
      <w:pPr>
        <w:pStyle w:val="Normal"/>
        <w:autoSpaceDE w:val="false"/>
        <w:ind w:firstLine="540"/>
        <w:rPr>
          <w:rFonts w:cs="Arial"/>
        </w:rPr>
      </w:pPr>
      <w:r>
        <w:rPr>
          <w:rFonts w:cs="Arial" w:ascii="Arial" w:hAnsi="Arial"/>
          <w:b/>
          <w:bCs/>
          <w:i/>
          <w:sz w:val="22"/>
          <w:szCs w:val="22"/>
        </w:rPr>
        <w:t>9.  В    статье  28 таблицу изложить в следующей редакции:</w:t>
      </w:r>
    </w:p>
    <w:tbl>
      <w:tblPr>
        <w:tblW w:w="4950" w:type="pct"/>
        <w:jc w:val="left"/>
        <w:tblInd w:w="0" w:type="dxa"/>
        <w:tblBorders>
          <w:top w:val="single" w:sz="4" w:space="0" w:color="000000"/>
          <w:left w:val="single" w:sz="4" w:space="0" w:color="000000"/>
          <w:bottom w:val="single" w:sz="4" w:space="0" w:color="000000"/>
          <w:insideH w:val="single" w:sz="4" w:space="0" w:color="000000"/>
        </w:tblBorders>
        <w:tblCellMar>
          <w:top w:w="0" w:type="dxa"/>
          <w:left w:w="-5" w:type="dxa"/>
          <w:bottom w:w="0" w:type="dxa"/>
          <w:right w:w="0" w:type="dxa"/>
        </w:tblCellMar>
      </w:tblPr>
      <w:tblGrid>
        <w:gridCol w:w="2120"/>
        <w:gridCol w:w="7136"/>
        <w:gridCol w:w="5"/>
      </w:tblGrid>
      <w:tr>
        <w:trPr/>
        <w:tc>
          <w:tcPr>
            <w:tcW w:w="2120" w:type="dxa"/>
            <w:tcBorders>
              <w:top w:val="single" w:sz="4" w:space="0" w:color="000000"/>
              <w:left w:val="single" w:sz="4" w:space="0" w:color="000000"/>
              <w:bottom w:val="single" w:sz="4" w:space="0" w:color="000000"/>
              <w:insideH w:val="single" w:sz="4" w:space="0" w:color="000000"/>
            </w:tcBorders>
            <w:shd w:fill="FFFFFF" w:val="clear"/>
            <w:vAlign w:val="center"/>
          </w:tcPr>
          <w:p>
            <w:pPr>
              <w:pStyle w:val="Normal"/>
              <w:jc w:val="center"/>
              <w:rPr>
                <w:rFonts w:ascii="Arial" w:hAnsi="Arial" w:cs="Arial"/>
                <w:i/>
                <w:i/>
                <w:sz w:val="22"/>
                <w:szCs w:val="22"/>
              </w:rPr>
            </w:pPr>
            <w:r>
              <w:rPr>
                <w:rFonts w:cs="Arial" w:ascii="Arial" w:hAnsi="Arial"/>
                <w:sz w:val="22"/>
                <w:szCs w:val="22"/>
              </w:rPr>
              <w:t>Кодовое обозначение территориальных зон</w:t>
            </w:r>
          </w:p>
        </w:tc>
        <w:tc>
          <w:tcPr>
            <w:tcW w:w="713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sz w:val="22"/>
                <w:szCs w:val="22"/>
              </w:rPr>
              <w:t>Наименование территориальных зон</w:t>
            </w:r>
          </w:p>
        </w:tc>
      </w:tr>
      <w:tr>
        <w:trPr>
          <w:trHeight w:val="65" w:hRule="atLeast"/>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i/>
                <w:i/>
                <w:sz w:val="22"/>
                <w:szCs w:val="22"/>
              </w:rPr>
            </w:pPr>
            <w:r>
              <w:rPr>
                <w:rFonts w:cs="Arial" w:ascii="Arial" w:hAnsi="Arial"/>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sz w:val="22"/>
                <w:szCs w:val="22"/>
              </w:rPr>
              <w:t>Жилые зоны</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Ж-1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индивидуальной жилой застройки</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Ж-1А</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индивидуальной жилой застройки проектная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Ж-2</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многоквартирной жилой застройки малой этажности</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b/>
                <w:b/>
                <w:i/>
                <w:i/>
                <w:sz w:val="22"/>
                <w:szCs w:val="22"/>
              </w:rPr>
            </w:pPr>
            <w:r>
              <w:rPr>
                <w:rFonts w:cs="Arial" w:ascii="Arial" w:hAnsi="Arial"/>
                <w:b/>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sz w:val="22"/>
                <w:szCs w:val="22"/>
              </w:rPr>
              <w:t>Общественно-деловые и коммерческие зоны</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О-1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административно-делового назначения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О-2</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учебно-образовательного назначения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О-3</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культового назначения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О-4</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спортивного назначения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О-5</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здравоохранения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b/>
                <w:b/>
                <w:i/>
                <w:i/>
                <w:sz w:val="22"/>
                <w:szCs w:val="22"/>
              </w:rPr>
            </w:pPr>
            <w:r>
              <w:rPr>
                <w:rFonts w:cs="Arial" w:ascii="Arial" w:hAnsi="Arial"/>
                <w:b/>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sz w:val="22"/>
                <w:szCs w:val="22"/>
              </w:rPr>
              <w:t>Производственные, коммунально-складские зоны, зоны объектов инженерной инфраструктуры и объектов специального назначения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П-6</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56" w:hanging="0"/>
              <w:rPr>
                <w:rFonts w:ascii="Arial" w:hAnsi="Arial" w:cs="Arial"/>
                <w:b/>
                <w:b/>
                <w:i/>
                <w:i/>
                <w:sz w:val="22"/>
                <w:szCs w:val="22"/>
              </w:rPr>
            </w:pPr>
            <w:r>
              <w:rPr>
                <w:rFonts w:cs="Arial" w:ascii="Arial" w:hAnsi="Arial"/>
                <w:sz w:val="22"/>
                <w:szCs w:val="22"/>
              </w:rPr>
              <w:t>Зона объектов коммунального назначения и иных объектов, не имеющих класса опасности</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П-5</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размещения производственных, коммунальных объектов, объектов производства хранения и переработки сельскохозяйственной продукции и иных объектов, не выше 5 класса опасности</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П-4</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размещения производственных, коммунальных объектов, объектов производства хранения и переработки сельскохозяйственной продукции и иных объектов, не выше 4 класса опасности</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Инж-1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объектов инженерной инфраструктуры</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b/>
                <w:b/>
                <w:i/>
                <w:i/>
                <w:sz w:val="22"/>
                <w:szCs w:val="22"/>
              </w:rPr>
            </w:pPr>
            <w:r>
              <w:rPr>
                <w:rFonts w:cs="Arial" w:ascii="Arial" w:hAnsi="Arial"/>
                <w:b/>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sz w:val="22"/>
                <w:szCs w:val="22"/>
              </w:rPr>
              <w:t>Рекреационные зоны</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Р-1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зеленых насаждений общего пользования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Р-2</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природных территорий</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b/>
                <w:b/>
                <w:i/>
                <w:i/>
                <w:sz w:val="22"/>
                <w:szCs w:val="22"/>
              </w:rPr>
            </w:pPr>
            <w:r>
              <w:rPr>
                <w:rFonts w:cs="Arial" w:ascii="Arial" w:hAnsi="Arial"/>
                <w:b/>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i/>
                <w:i/>
                <w:sz w:val="22"/>
                <w:szCs w:val="22"/>
              </w:rPr>
            </w:pPr>
            <w:r>
              <w:rPr>
                <w:rFonts w:cs="Arial" w:ascii="Arial" w:hAnsi="Arial"/>
                <w:sz w:val="22"/>
                <w:szCs w:val="22"/>
              </w:rPr>
              <w:t>Зона транспортной инфраструктуры и объектов придорожного сервиса</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Т-1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территорий общего пользования</w:t>
            </w:r>
          </w:p>
        </w:tc>
      </w:tr>
      <w:tr>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Т-2</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автомобильного транспорта и объектов придорожного сервиса</w:t>
            </w:r>
          </w:p>
        </w:tc>
      </w:tr>
      <w:tr>
        <w:trPr>
          <w:trHeight w:val="308" w:hRule="atLeast"/>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snapToGrid w:val="false"/>
              <w:jc w:val="center"/>
              <w:rPr>
                <w:rFonts w:ascii="Arial" w:hAnsi="Arial" w:cs="Arial"/>
                <w:b/>
                <w:b/>
                <w:i/>
                <w:i/>
                <w:sz w:val="22"/>
                <w:szCs w:val="22"/>
              </w:rPr>
            </w:pPr>
            <w:r>
              <w:rPr>
                <w:rFonts w:cs="Arial" w:ascii="Arial" w:hAnsi="Arial"/>
                <w:b/>
                <w:i/>
                <w:sz w:val="22"/>
                <w:szCs w:val="22"/>
              </w:rPr>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jc w:val="center"/>
              <w:rPr>
                <w:rFonts w:ascii="Arial" w:hAnsi="Arial" w:cs="Arial"/>
                <w:i/>
                <w:i/>
                <w:sz w:val="22"/>
                <w:szCs w:val="22"/>
              </w:rPr>
            </w:pPr>
            <w:r>
              <w:rPr>
                <w:rFonts w:cs="Arial" w:ascii="Arial" w:hAnsi="Arial"/>
                <w:position w:val="6"/>
                <w:sz w:val="22"/>
                <w:szCs w:val="22"/>
              </w:rPr>
              <w:t>Зоны, градостроительные регламенты на которые не устанавливаются</w:t>
            </w:r>
          </w:p>
        </w:tc>
      </w:tr>
      <w:tr>
        <w:trPr>
          <w:trHeight w:val="308" w:hRule="atLeast"/>
        </w:trPr>
        <w:tc>
          <w:tcPr>
            <w:tcW w:w="2120" w:type="dxa"/>
            <w:tcBorders>
              <w:top w:val="single" w:sz="6" w:space="0" w:color="000000"/>
              <w:left w:val="single" w:sz="6" w:space="0" w:color="000000"/>
              <w:bottom w:val="single" w:sz="6" w:space="0" w:color="000000"/>
              <w:insideH w:val="single" w:sz="6" w:space="0" w:color="000000"/>
            </w:tcBorders>
            <w:shd w:fill="FFFFFF" w:val="clear"/>
            <w:vAlign w:val="center"/>
          </w:tcPr>
          <w:p>
            <w:pPr>
              <w:pStyle w:val="Normal"/>
              <w:jc w:val="center"/>
              <w:rPr>
                <w:rFonts w:ascii="Arial" w:hAnsi="Arial" w:cs="Arial"/>
                <w:b/>
                <w:b/>
                <w:i/>
                <w:i/>
                <w:sz w:val="22"/>
                <w:szCs w:val="22"/>
              </w:rPr>
            </w:pPr>
            <w:r>
              <w:rPr>
                <w:rFonts w:cs="Arial" w:ascii="Arial" w:hAnsi="Arial"/>
                <w:sz w:val="22"/>
                <w:szCs w:val="22"/>
              </w:rPr>
              <w:t>В-1</w:t>
            </w:r>
          </w:p>
        </w:tc>
        <w:tc>
          <w:tcPr>
            <w:tcW w:w="7141" w:type="dxa"/>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cBorders>
            <w:shd w:fill="FFFFFF" w:val="clear"/>
            <w:vAlign w:val="center"/>
          </w:tcPr>
          <w:p>
            <w:pPr>
              <w:pStyle w:val="Normal"/>
              <w:ind w:left="86" w:hanging="0"/>
              <w:rPr>
                <w:rFonts w:ascii="Arial" w:hAnsi="Arial" w:cs="Arial"/>
                <w:b/>
                <w:b/>
                <w:i/>
                <w:i/>
                <w:sz w:val="22"/>
                <w:szCs w:val="22"/>
              </w:rPr>
            </w:pPr>
            <w:r>
              <w:rPr>
                <w:rFonts w:cs="Arial" w:ascii="Arial" w:hAnsi="Arial"/>
                <w:sz w:val="22"/>
                <w:szCs w:val="22"/>
              </w:rPr>
              <w:t>Зона водных объектов</w:t>
            </w:r>
          </w:p>
        </w:tc>
      </w:tr>
    </w:tbl>
    <w:p>
      <w:pPr>
        <w:pStyle w:val="Normal"/>
        <w:spacing w:before="0" w:after="0"/>
        <w:contextualSpacing/>
        <w:rPr>
          <w:rFonts w:ascii="Arial" w:hAnsi="Arial" w:cs="Arial"/>
          <w:i/>
          <w:i/>
          <w:sz w:val="22"/>
          <w:szCs w:val="22"/>
        </w:rPr>
      </w:pPr>
      <w:r>
        <w:rPr>
          <w:rFonts w:cs="Arial" w:ascii="Arial" w:hAnsi="Arial"/>
          <w:i/>
          <w:sz w:val="22"/>
          <w:szCs w:val="22"/>
        </w:rPr>
      </w:r>
    </w:p>
    <w:p>
      <w:pPr>
        <w:pStyle w:val="Normal"/>
        <w:spacing w:before="0" w:after="0"/>
        <w:contextualSpacing/>
        <w:rPr>
          <w:rFonts w:ascii="Arial" w:hAnsi="Arial" w:cs="Arial"/>
          <w:b/>
          <w:b/>
          <w:i/>
          <w:i/>
          <w:sz w:val="22"/>
          <w:szCs w:val="22"/>
        </w:rPr>
      </w:pPr>
      <w:r>
        <w:rPr>
          <w:rFonts w:cs="Arial" w:ascii="Arial" w:hAnsi="Arial"/>
          <w:sz w:val="22"/>
          <w:szCs w:val="22"/>
        </w:rPr>
        <w:t>10. Статью 35 изложить в следующей редакции:</w:t>
      </w:r>
    </w:p>
    <w:p>
      <w:pPr>
        <w:pStyle w:val="3"/>
        <w:numPr>
          <w:ilvl w:val="2"/>
          <w:numId w:val="1"/>
        </w:numPr>
        <w:spacing w:before="240" w:after="0"/>
        <w:rPr>
          <w:rFonts w:ascii="Arial" w:hAnsi="Arial" w:cs="Arial"/>
          <w:i/>
          <w:i/>
          <w:sz w:val="22"/>
          <w:szCs w:val="22"/>
        </w:rPr>
      </w:pPr>
      <w:r>
        <w:rPr>
          <w:rFonts w:cs="Arial" w:ascii="Arial" w:hAnsi="Arial"/>
          <w:i/>
          <w:sz w:val="22"/>
          <w:szCs w:val="22"/>
        </w:rPr>
        <w:t>«Статья 35. Зоны охраны объектов культурного наследия (памятников истории и культуры) народов Российской Федерации</w:t>
      </w:r>
    </w:p>
    <w:p>
      <w:pPr>
        <w:pStyle w:val="Normal"/>
        <w:autoSpaceDE w:val="false"/>
        <w:ind w:firstLine="540"/>
        <w:rPr>
          <w:rFonts w:ascii="Arial" w:hAnsi="Arial" w:cs="Arial"/>
          <w:b/>
          <w:b/>
          <w:bCs/>
          <w:i/>
          <w:i/>
          <w:sz w:val="22"/>
          <w:szCs w:val="22"/>
        </w:rPr>
      </w:pPr>
      <w:r>
        <w:rPr>
          <w:rFonts w:cs="Arial" w:ascii="Arial" w:hAnsi="Arial"/>
          <w:sz w:val="22"/>
          <w:szCs w:val="22"/>
        </w:rPr>
        <w:t>1. Необходимый состав зон охраны объекта культурного наследия определяется проектом зон охраны объекта культурного наследия.</w:t>
      </w:r>
    </w:p>
    <w:p>
      <w:pPr>
        <w:pStyle w:val="Normal"/>
        <w:autoSpaceDE w:val="false"/>
        <w:ind w:firstLine="540"/>
        <w:rPr>
          <w:rFonts w:ascii="Arial" w:hAnsi="Arial" w:cs="Arial"/>
          <w:b/>
          <w:b/>
          <w:bCs/>
          <w:i/>
          <w:i/>
          <w:sz w:val="22"/>
          <w:szCs w:val="22"/>
        </w:rPr>
      </w:pPr>
      <w:r>
        <w:rPr>
          <w:rFonts w:cs="Arial" w:ascii="Arial" w:hAnsi="Arial"/>
          <w:sz w:val="22"/>
          <w:szCs w:val="22"/>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pPr>
        <w:pStyle w:val="Normal"/>
        <w:autoSpaceDE w:val="false"/>
        <w:ind w:firstLine="540"/>
        <w:rPr>
          <w:rFonts w:ascii="Arial" w:hAnsi="Arial" w:cs="Arial"/>
          <w:b/>
          <w:b/>
          <w:bCs/>
          <w:i/>
          <w:i/>
          <w:sz w:val="22"/>
          <w:szCs w:val="22"/>
        </w:rPr>
      </w:pPr>
      <w:r>
        <w:rPr>
          <w:rFonts w:cs="Arial" w:ascii="Arial" w:hAnsi="Arial"/>
          <w:sz w:val="22"/>
          <w:szCs w:val="22"/>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pPr>
        <w:pStyle w:val="Normal"/>
        <w:autoSpaceDE w:val="false"/>
        <w:ind w:firstLine="540"/>
        <w:rPr>
          <w:rFonts w:ascii="Arial" w:hAnsi="Arial" w:cs="Arial"/>
          <w:b/>
          <w:b/>
          <w:bCs/>
          <w:i/>
          <w:i/>
          <w:sz w:val="22"/>
          <w:szCs w:val="22"/>
        </w:rPr>
      </w:pPr>
      <w:r>
        <w:rPr>
          <w:rFonts w:cs="Arial" w:ascii="Arial" w:hAnsi="Arial"/>
          <w:sz w:val="22"/>
          <w:szCs w:val="22"/>
        </w:rPr>
        <w:t>Требование об установлении зон охраны объекта культурного наследия к выявленному объекту культурного наследия не предъявляется.</w:t>
      </w:r>
    </w:p>
    <w:p>
      <w:pPr>
        <w:pStyle w:val="Normal"/>
        <w:autoSpaceDE w:val="false"/>
        <w:ind w:firstLine="540"/>
        <w:rPr>
          <w:rFonts w:ascii="Arial" w:hAnsi="Arial" w:cs="Arial"/>
          <w:b/>
          <w:b/>
          <w:bCs/>
          <w:i/>
          <w:i/>
          <w:sz w:val="22"/>
          <w:szCs w:val="22"/>
        </w:rPr>
      </w:pPr>
      <w:r>
        <w:rPr>
          <w:rFonts w:cs="Arial" w:ascii="Arial" w:hAnsi="Arial"/>
          <w:sz w:val="22"/>
          <w:szCs w:val="22"/>
        </w:rPr>
        <w:t>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Нижегородской области.</w:t>
      </w:r>
    </w:p>
    <w:p>
      <w:pPr>
        <w:pStyle w:val="Normal"/>
        <w:autoSpaceDE w:val="false"/>
        <w:ind w:firstLine="540"/>
        <w:rPr>
          <w:rFonts w:ascii="Arial" w:hAnsi="Arial" w:cs="Arial"/>
          <w:b/>
          <w:b/>
          <w:bCs/>
          <w:i/>
          <w:i/>
          <w:sz w:val="22"/>
          <w:szCs w:val="22"/>
        </w:rPr>
      </w:pPr>
      <w:r>
        <w:rPr>
          <w:rFonts w:cs="Arial" w:ascii="Arial" w:hAnsi="Arial"/>
          <w:sz w:val="22"/>
          <w:szCs w:val="22"/>
        </w:rPr>
        <w:t>2. 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pPr>
        <w:pStyle w:val="Normal"/>
        <w:autoSpaceDE w:val="false"/>
        <w:ind w:firstLine="540"/>
        <w:rPr>
          <w:rFonts w:ascii="Arial" w:hAnsi="Arial" w:cs="Arial"/>
          <w:b/>
          <w:b/>
          <w:bCs/>
          <w:i/>
          <w:i/>
          <w:sz w:val="22"/>
          <w:szCs w:val="22"/>
        </w:rPr>
      </w:pPr>
      <w:r>
        <w:rPr>
          <w:rFonts w:cs="Arial" w:ascii="Arial" w:hAnsi="Arial"/>
          <w:sz w:val="22"/>
          <w:szCs w:val="22"/>
        </w:rPr>
        <w:t>3. 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pPr>
        <w:pStyle w:val="Normal"/>
        <w:autoSpaceDE w:val="false"/>
        <w:ind w:firstLine="540"/>
        <w:rPr>
          <w:rFonts w:ascii="Arial" w:hAnsi="Arial" w:cs="Arial"/>
          <w:b/>
          <w:b/>
          <w:i/>
          <w:i/>
          <w:sz w:val="22"/>
          <w:szCs w:val="22"/>
        </w:rPr>
      </w:pPr>
      <w:r>
        <w:rPr>
          <w:rFonts w:cs="Arial" w:ascii="Arial" w:hAnsi="Arial"/>
          <w:sz w:val="22"/>
          <w:szCs w:val="22"/>
        </w:rPr>
        <w:t>Объекты культурного наследия на территории рабочего посёлка Шаранга Шарангского муниципального района Нижегородской области не зарегистрированы.».</w:t>
      </w:r>
    </w:p>
    <w:p>
      <w:pPr>
        <w:pStyle w:val="Normal"/>
        <w:autoSpaceDE w:val="false"/>
        <w:ind w:firstLine="540"/>
        <w:rPr>
          <w:rFonts w:ascii="Arial" w:hAnsi="Arial" w:cs="Arial"/>
          <w:b/>
          <w:b/>
          <w:i/>
          <w:i/>
          <w:sz w:val="22"/>
          <w:szCs w:val="22"/>
        </w:rPr>
      </w:pPr>
      <w:r>
        <w:rPr>
          <w:rFonts w:cs="Arial" w:ascii="Arial" w:hAnsi="Arial"/>
          <w:b/>
          <w:i/>
          <w:sz w:val="22"/>
          <w:szCs w:val="22"/>
        </w:rPr>
      </w:r>
    </w:p>
    <w:p>
      <w:pPr>
        <w:pStyle w:val="Normal"/>
        <w:autoSpaceDE w:val="false"/>
        <w:ind w:firstLine="540"/>
        <w:rPr>
          <w:rFonts w:ascii="Arial" w:hAnsi="Arial" w:cs="Arial"/>
          <w:b/>
          <w:b/>
          <w:i/>
          <w:i/>
          <w:sz w:val="22"/>
          <w:szCs w:val="22"/>
        </w:rPr>
      </w:pPr>
      <w:r>
        <w:rPr>
          <w:rFonts w:cs="Arial" w:ascii="Arial" w:hAnsi="Arial"/>
          <w:sz w:val="22"/>
          <w:szCs w:val="22"/>
        </w:rPr>
        <w:t>11. Статью 36 изложить в следующей редакции:</w:t>
      </w:r>
    </w:p>
    <w:p>
      <w:pPr>
        <w:pStyle w:val="Normal"/>
        <w:autoSpaceDE w:val="false"/>
        <w:ind w:firstLine="540"/>
        <w:rPr>
          <w:rFonts w:ascii="Arial" w:hAnsi="Arial" w:cs="Arial"/>
          <w:sz w:val="22"/>
          <w:szCs w:val="22"/>
        </w:rPr>
      </w:pPr>
      <w:r>
        <w:rPr>
          <w:rFonts w:cs="Arial" w:ascii="Arial" w:hAnsi="Arial"/>
          <w:sz w:val="22"/>
          <w:szCs w:val="22"/>
        </w:rPr>
        <w:t>«Статья 36. Порядок установления градостроительных регламентов</w:t>
      </w:r>
    </w:p>
    <w:p>
      <w:pPr>
        <w:pStyle w:val="Normal"/>
        <w:autoSpaceDE w:val="false"/>
        <w:ind w:firstLine="540"/>
        <w:rPr>
          <w:rFonts w:ascii="Arial" w:hAnsi="Arial" w:cs="Arial"/>
          <w:b/>
          <w:b/>
          <w:i/>
          <w:i/>
          <w:sz w:val="22"/>
          <w:szCs w:val="22"/>
        </w:rPr>
      </w:pPr>
      <w:r>
        <w:rPr>
          <w:rFonts w:cs="Arial" w:ascii="Arial" w:hAnsi="Arial"/>
          <w:sz w:val="22"/>
          <w:szCs w:val="22"/>
        </w:rPr>
        <w:t>1.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pPr>
        <w:pStyle w:val="Normal"/>
        <w:autoSpaceDE w:val="false"/>
        <w:ind w:firstLine="540"/>
        <w:rPr>
          <w:rFonts w:ascii="Arial" w:hAnsi="Arial" w:cs="Arial"/>
          <w:b/>
          <w:b/>
          <w:i/>
          <w:i/>
          <w:sz w:val="22"/>
          <w:szCs w:val="22"/>
        </w:rPr>
      </w:pPr>
      <w:r>
        <w:rPr>
          <w:rFonts w:cs="Arial" w:ascii="Arial" w:hAnsi="Arial"/>
          <w:sz w:val="22"/>
          <w:szCs w:val="22"/>
        </w:rPr>
        <w:t>2. Градостроительные регламенты устанавливаются с учетом:</w:t>
      </w:r>
    </w:p>
    <w:p>
      <w:pPr>
        <w:pStyle w:val="Normal"/>
        <w:autoSpaceDE w:val="false"/>
        <w:ind w:firstLine="540"/>
        <w:rPr>
          <w:rFonts w:ascii="Arial" w:hAnsi="Arial" w:cs="Arial"/>
          <w:b/>
          <w:b/>
          <w:i/>
          <w:i/>
          <w:sz w:val="22"/>
          <w:szCs w:val="22"/>
        </w:rPr>
      </w:pPr>
      <w:r>
        <w:rPr>
          <w:rFonts w:cs="Arial" w:ascii="Arial" w:hAnsi="Arial"/>
          <w:sz w:val="22"/>
          <w:szCs w:val="22"/>
        </w:rPr>
        <w:t>1) фактического использования земельных участков и объектов капитального строительства в границах территориальной зоны;</w:t>
      </w:r>
    </w:p>
    <w:p>
      <w:pPr>
        <w:pStyle w:val="Normal"/>
        <w:autoSpaceDE w:val="false"/>
        <w:ind w:firstLine="540"/>
        <w:rPr>
          <w:rFonts w:ascii="Arial" w:hAnsi="Arial" w:cs="Arial"/>
          <w:b/>
          <w:b/>
          <w:i/>
          <w:i/>
          <w:sz w:val="22"/>
          <w:szCs w:val="22"/>
        </w:rPr>
      </w:pPr>
      <w:r>
        <w:rPr>
          <w:rFonts w:cs="Arial" w:ascii="Arial" w:hAnsi="Arial"/>
          <w:sz w:val="22"/>
          <w:szCs w:val="22"/>
        </w:rPr>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pPr>
        <w:pStyle w:val="Normal"/>
        <w:autoSpaceDE w:val="false"/>
        <w:ind w:firstLine="540"/>
        <w:rPr>
          <w:rFonts w:ascii="Arial" w:hAnsi="Arial" w:cs="Arial"/>
          <w:b/>
          <w:b/>
          <w:i/>
          <w:i/>
          <w:sz w:val="22"/>
          <w:szCs w:val="22"/>
        </w:rPr>
      </w:pPr>
      <w:r>
        <w:rPr>
          <w:rFonts w:cs="Arial" w:ascii="Arial" w:hAnsi="Arial"/>
          <w:sz w:val="22"/>
          <w:szCs w:val="22"/>
        </w:rPr>
        <w:t>3) функциональных зон и характеристик их планируемого развития, определенных документами территориального планирования муниципальных образований;</w:t>
      </w:r>
    </w:p>
    <w:p>
      <w:pPr>
        <w:pStyle w:val="Normal"/>
        <w:autoSpaceDE w:val="false"/>
        <w:ind w:firstLine="540"/>
        <w:rPr>
          <w:rFonts w:ascii="Arial" w:hAnsi="Arial" w:cs="Arial"/>
          <w:b/>
          <w:b/>
          <w:i/>
          <w:i/>
          <w:sz w:val="22"/>
          <w:szCs w:val="22"/>
        </w:rPr>
      </w:pPr>
      <w:r>
        <w:rPr>
          <w:rFonts w:cs="Arial" w:ascii="Arial" w:hAnsi="Arial"/>
          <w:sz w:val="22"/>
          <w:szCs w:val="22"/>
        </w:rPr>
        <w:t>4) видов территориальных зон;</w:t>
      </w:r>
    </w:p>
    <w:p>
      <w:pPr>
        <w:pStyle w:val="Normal"/>
        <w:autoSpaceDE w:val="false"/>
        <w:ind w:firstLine="540"/>
        <w:rPr>
          <w:rFonts w:ascii="Arial" w:hAnsi="Arial" w:cs="Arial"/>
          <w:b/>
          <w:b/>
          <w:i/>
          <w:i/>
          <w:sz w:val="22"/>
          <w:szCs w:val="22"/>
        </w:rPr>
      </w:pPr>
      <w:r>
        <w:rPr>
          <w:rFonts w:cs="Arial" w:ascii="Arial" w:hAnsi="Arial"/>
          <w:sz w:val="22"/>
          <w:szCs w:val="22"/>
        </w:rPr>
        <w:t>5) требований охраны объектов культурного наследия, а также особо охраняемых природных территорий, иных природных объектов.</w:t>
      </w:r>
    </w:p>
    <w:p>
      <w:pPr>
        <w:pStyle w:val="Normal"/>
        <w:autoSpaceDE w:val="false"/>
        <w:ind w:firstLine="540"/>
        <w:rPr>
          <w:rFonts w:ascii="Arial" w:hAnsi="Arial" w:cs="Arial"/>
          <w:b/>
          <w:b/>
          <w:i/>
          <w:i/>
          <w:sz w:val="22"/>
          <w:szCs w:val="22"/>
        </w:rPr>
      </w:pPr>
      <w:r>
        <w:rPr>
          <w:rFonts w:cs="Arial" w:ascii="Arial" w:hAnsi="Arial"/>
          <w:sz w:val="22"/>
          <w:szCs w:val="22"/>
        </w:rPr>
        <w:t>3.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pPr>
        <w:pStyle w:val="Normal"/>
        <w:autoSpaceDE w:val="false"/>
        <w:ind w:firstLine="540"/>
        <w:rPr>
          <w:rFonts w:ascii="Arial" w:hAnsi="Arial" w:cs="Arial"/>
          <w:b/>
          <w:b/>
          <w:i/>
          <w:i/>
          <w:sz w:val="22"/>
          <w:szCs w:val="22"/>
        </w:rPr>
      </w:pPr>
      <w:r>
        <w:rPr>
          <w:rFonts w:cs="Arial" w:ascii="Arial" w:hAnsi="Arial"/>
          <w:sz w:val="22"/>
          <w:szCs w:val="22"/>
        </w:rPr>
        <w:t>4. Действие градостроительного регламента не распространяется на земельные участки:</w:t>
      </w:r>
    </w:p>
    <w:p>
      <w:pPr>
        <w:pStyle w:val="Normal"/>
        <w:autoSpaceDE w:val="false"/>
        <w:ind w:firstLine="540"/>
        <w:rPr>
          <w:rFonts w:ascii="Arial" w:hAnsi="Arial" w:cs="Arial"/>
          <w:b/>
          <w:b/>
          <w:i/>
          <w:i/>
          <w:sz w:val="22"/>
          <w:szCs w:val="22"/>
        </w:rPr>
      </w:pPr>
      <w:r>
        <w:rPr>
          <w:rFonts w:cs="Arial" w:ascii="Arial" w:hAnsi="Arial"/>
          <w:sz w:val="22"/>
          <w:szCs w:val="22"/>
        </w:rPr>
        <w:t>1) в границах территорий памятников и ансамблей, включенных в единый государственный реестр объектов культурного наследия (памятников истории и культуры) народов Российской Федерации, а также в границах территорий памятников или ансамблей, которые являются выявленными объектами культурного наследия и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 наследия;</w:t>
      </w:r>
    </w:p>
    <w:p>
      <w:pPr>
        <w:pStyle w:val="Normal"/>
        <w:autoSpaceDE w:val="false"/>
        <w:ind w:firstLine="540"/>
        <w:rPr>
          <w:rFonts w:ascii="Arial" w:hAnsi="Arial" w:cs="Arial"/>
          <w:b/>
          <w:b/>
          <w:i/>
          <w:i/>
          <w:sz w:val="22"/>
          <w:szCs w:val="22"/>
        </w:rPr>
      </w:pPr>
      <w:r>
        <w:rPr>
          <w:rFonts w:cs="Arial" w:ascii="Arial" w:hAnsi="Arial"/>
          <w:sz w:val="22"/>
          <w:szCs w:val="22"/>
        </w:rPr>
        <w:t>2) в границах территорий общего пользования;</w:t>
      </w:r>
    </w:p>
    <w:p>
      <w:pPr>
        <w:pStyle w:val="Normal"/>
        <w:autoSpaceDE w:val="false"/>
        <w:ind w:firstLine="540"/>
        <w:rPr>
          <w:rFonts w:ascii="Arial" w:hAnsi="Arial" w:cs="Arial"/>
          <w:b/>
          <w:b/>
          <w:i/>
          <w:i/>
          <w:sz w:val="22"/>
          <w:szCs w:val="22"/>
        </w:rPr>
      </w:pPr>
      <w:r>
        <w:rPr>
          <w:rFonts w:cs="Arial" w:ascii="Arial" w:hAnsi="Arial"/>
          <w:sz w:val="22"/>
          <w:szCs w:val="22"/>
        </w:rPr>
        <w:t>3) предназначенные для размещения линейных объектов и (или) занятые линейными объектами;</w:t>
      </w:r>
    </w:p>
    <w:p>
      <w:pPr>
        <w:pStyle w:val="Normal"/>
        <w:autoSpaceDE w:val="false"/>
        <w:ind w:firstLine="540"/>
        <w:rPr>
          <w:rFonts w:ascii="Arial" w:hAnsi="Arial" w:cs="Arial"/>
          <w:b/>
          <w:b/>
          <w:i/>
          <w:i/>
          <w:sz w:val="22"/>
          <w:szCs w:val="22"/>
        </w:rPr>
      </w:pPr>
      <w:r>
        <w:rPr>
          <w:rFonts w:cs="Arial" w:ascii="Arial" w:hAnsi="Arial"/>
          <w:sz w:val="22"/>
          <w:szCs w:val="22"/>
        </w:rPr>
        <w:t>4) предоставленные для добычи полезных ископаемых.</w:t>
      </w:r>
    </w:p>
    <w:p>
      <w:pPr>
        <w:pStyle w:val="Normal"/>
        <w:autoSpaceDE w:val="false"/>
        <w:ind w:firstLine="540"/>
        <w:rPr>
          <w:rFonts w:ascii="Arial" w:hAnsi="Arial" w:cs="Arial"/>
          <w:b/>
          <w:b/>
          <w:i/>
          <w:i/>
          <w:sz w:val="22"/>
          <w:szCs w:val="22"/>
        </w:rPr>
      </w:pPr>
      <w:r>
        <w:rPr>
          <w:rFonts w:cs="Arial" w:ascii="Arial" w:hAnsi="Arial"/>
          <w:sz w:val="22"/>
          <w:szCs w:val="22"/>
        </w:rPr>
        <w:t>5. Применительно к территориям исторических поселений, достопримечательных мест, землям лечебно-оздоровительных местностей и курортов,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pPr>
        <w:pStyle w:val="Normal"/>
        <w:autoSpaceDE w:val="false"/>
        <w:ind w:firstLine="540"/>
        <w:rPr>
          <w:rFonts w:ascii="Arial" w:hAnsi="Arial" w:cs="Arial"/>
          <w:b/>
          <w:b/>
          <w:i/>
          <w:i/>
          <w:sz w:val="22"/>
          <w:szCs w:val="22"/>
        </w:rPr>
      </w:pPr>
      <w:r>
        <w:rPr>
          <w:rFonts w:cs="Arial" w:ascii="Arial" w:hAnsi="Arial"/>
          <w:sz w:val="22"/>
          <w:szCs w:val="22"/>
        </w:rPr>
        <w:t>6. 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pPr>
        <w:pStyle w:val="Normal"/>
        <w:autoSpaceDE w:val="false"/>
        <w:ind w:firstLine="540"/>
        <w:rPr>
          <w:rFonts w:ascii="Arial" w:hAnsi="Arial" w:cs="Arial"/>
          <w:b/>
          <w:b/>
          <w:i/>
          <w:i/>
          <w:sz w:val="22"/>
          <w:szCs w:val="22"/>
        </w:rPr>
      </w:pPr>
      <w:r>
        <w:rPr>
          <w:rFonts w:cs="Arial" w:ascii="Arial" w:hAnsi="Arial"/>
          <w:sz w:val="22"/>
          <w:szCs w:val="22"/>
        </w:rPr>
        <w:t>7.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 Использование земельных участков в границах особых экономических зон определяется органами управления особыми экономическими зонами.</w:t>
      </w:r>
    </w:p>
    <w:p>
      <w:pPr>
        <w:pStyle w:val="Normal"/>
        <w:autoSpaceDE w:val="false"/>
        <w:ind w:firstLine="540"/>
        <w:rPr>
          <w:rFonts w:ascii="Arial" w:hAnsi="Arial" w:cs="Arial"/>
          <w:b/>
          <w:b/>
          <w:i/>
          <w:i/>
          <w:sz w:val="22"/>
          <w:szCs w:val="22"/>
        </w:rPr>
      </w:pPr>
      <w:r>
        <w:rPr>
          <w:rFonts w:cs="Arial" w:ascii="Arial" w:hAnsi="Arial"/>
          <w:sz w:val="22"/>
          <w:szCs w:val="22"/>
        </w:rPr>
        <w:t>8.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pPr>
        <w:pStyle w:val="Normal"/>
        <w:autoSpaceDE w:val="false"/>
        <w:ind w:firstLine="540"/>
        <w:rPr>
          <w:rFonts w:ascii="Arial" w:hAnsi="Arial" w:cs="Arial"/>
          <w:b/>
          <w:b/>
          <w:i/>
          <w:i/>
          <w:sz w:val="22"/>
          <w:szCs w:val="22"/>
        </w:rPr>
      </w:pPr>
      <w:r>
        <w:rPr>
          <w:rFonts w:cs="Arial" w:ascii="Arial" w:hAnsi="Arial"/>
          <w:sz w:val="22"/>
          <w:szCs w:val="22"/>
        </w:rPr>
        <w:t>9. Реконструкция указанных в части 8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pPr>
        <w:pStyle w:val="Normal"/>
        <w:autoSpaceDE w:val="false"/>
        <w:ind w:firstLine="540"/>
        <w:rPr>
          <w:rFonts w:ascii="Arial" w:hAnsi="Arial" w:cs="Arial"/>
          <w:b/>
          <w:b/>
          <w:i/>
          <w:i/>
          <w:sz w:val="22"/>
          <w:szCs w:val="22"/>
        </w:rPr>
      </w:pPr>
      <w:r>
        <w:rPr>
          <w:rFonts w:cs="Arial" w:ascii="Arial" w:hAnsi="Arial"/>
          <w:sz w:val="22"/>
          <w:szCs w:val="22"/>
        </w:rPr>
        <w:t>10. В случае, если использование указанных в части 8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pPr>
        <w:pStyle w:val="Normal"/>
        <w:autoSpaceDE w:val="false"/>
        <w:ind w:firstLine="540"/>
        <w:rPr>
          <w:rFonts w:ascii="Arial" w:hAnsi="Arial" w:cs="Arial"/>
          <w:b/>
          <w:b/>
          <w:i/>
          <w:i/>
          <w:sz w:val="22"/>
          <w:szCs w:val="22"/>
        </w:rPr>
      </w:pPr>
      <w:r>
        <w:rPr>
          <w:rFonts w:cs="Arial" w:ascii="Arial" w:hAnsi="Arial"/>
          <w:sz w:val="22"/>
          <w:szCs w:val="22"/>
        </w:rPr>
        <w:t>11. 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pPr>
        <w:pStyle w:val="Normal"/>
        <w:rPr>
          <w:rFonts w:ascii="Arial" w:hAnsi="Arial" w:cs="Arial"/>
          <w:b/>
          <w:b/>
          <w:i/>
          <w:i/>
          <w:sz w:val="22"/>
          <w:szCs w:val="22"/>
        </w:rPr>
      </w:pPr>
      <w:r>
        <w:rPr>
          <w:rFonts w:cs="Arial" w:ascii="Arial" w:hAnsi="Arial"/>
          <w:sz w:val="22"/>
          <w:szCs w:val="22"/>
        </w:rPr>
        <w:t>1) виды разрешенного использования земельных участков и объектов капитального строительства;</w:t>
      </w:r>
    </w:p>
    <w:p>
      <w:pPr>
        <w:pStyle w:val="Normal"/>
        <w:rPr>
          <w:rFonts w:ascii="Arial" w:hAnsi="Arial" w:cs="Arial"/>
          <w:b/>
          <w:b/>
          <w:i/>
          <w:i/>
          <w:sz w:val="22"/>
          <w:szCs w:val="22"/>
        </w:rPr>
      </w:pPr>
      <w:r>
        <w:rPr>
          <w:rFonts w:cs="Arial" w:ascii="Arial" w:hAnsi="Arial"/>
          <w:sz w:val="22"/>
          <w:szCs w:val="22"/>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pPr>
        <w:pStyle w:val="Normal"/>
        <w:rPr>
          <w:rFonts w:ascii="Arial" w:hAnsi="Arial" w:cs="Arial"/>
          <w:b/>
          <w:b/>
          <w:i/>
          <w:i/>
          <w:sz w:val="22"/>
          <w:szCs w:val="22"/>
        </w:rPr>
      </w:pPr>
      <w:r>
        <w:rPr>
          <w:rFonts w:cs="Arial" w:ascii="Arial" w:hAnsi="Arial"/>
          <w:sz w:val="22"/>
          <w:szCs w:val="22"/>
        </w:rPr>
        <w:t>3)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pPr>
        <w:pStyle w:val="Normal"/>
        <w:rPr>
          <w:rFonts w:ascii="Arial" w:hAnsi="Arial" w:cs="Arial"/>
          <w:b/>
          <w:b/>
          <w:i/>
          <w:i/>
          <w:sz w:val="22"/>
          <w:szCs w:val="22"/>
        </w:rPr>
      </w:pPr>
      <w:r>
        <w:rPr>
          <w:rFonts w:cs="Arial" w:ascii="Arial" w:hAnsi="Arial"/>
          <w:sz w:val="22"/>
          <w:szCs w:val="22"/>
        </w:rPr>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pPr>
        <w:pStyle w:val="Normal"/>
        <w:autoSpaceDE w:val="false"/>
        <w:ind w:firstLine="540"/>
        <w:rPr>
          <w:rFonts w:ascii="Arial" w:hAnsi="Arial" w:cs="Arial"/>
          <w:b/>
          <w:b/>
          <w:bCs/>
          <w:i/>
          <w:i/>
          <w:sz w:val="22"/>
          <w:szCs w:val="22"/>
        </w:rPr>
      </w:pPr>
      <w:r>
        <w:rPr>
          <w:rFonts w:cs="Arial" w:ascii="Arial" w:hAnsi="Arial"/>
          <w:b/>
          <w:bCs/>
          <w:i/>
          <w:sz w:val="22"/>
          <w:szCs w:val="22"/>
        </w:rPr>
      </w:r>
    </w:p>
    <w:p>
      <w:pPr>
        <w:pStyle w:val="Normal"/>
        <w:autoSpaceDE w:val="false"/>
        <w:ind w:firstLine="540"/>
        <w:rPr>
          <w:rFonts w:ascii="Arial" w:hAnsi="Arial" w:cs="Arial"/>
          <w:b/>
          <w:b/>
          <w:i/>
          <w:i/>
          <w:sz w:val="22"/>
          <w:szCs w:val="22"/>
        </w:rPr>
      </w:pPr>
      <w:r>
        <w:rPr>
          <w:rFonts w:cs="Arial" w:ascii="Arial" w:hAnsi="Arial"/>
          <w:sz w:val="22"/>
          <w:szCs w:val="22"/>
        </w:rPr>
        <w:t>12 Статью 37 исключить.</w:t>
      </w:r>
    </w:p>
    <w:p>
      <w:pPr>
        <w:pStyle w:val="Normal"/>
        <w:autoSpaceDE w:val="false"/>
        <w:ind w:firstLine="540"/>
        <w:rPr>
          <w:rFonts w:ascii="Arial" w:hAnsi="Arial" w:cs="Arial"/>
          <w:b/>
          <w:b/>
          <w:i/>
          <w:i/>
          <w:sz w:val="22"/>
          <w:szCs w:val="22"/>
        </w:rPr>
      </w:pPr>
      <w:r>
        <w:rPr>
          <w:rFonts w:cs="Arial" w:ascii="Arial" w:hAnsi="Arial"/>
          <w:b/>
          <w:i/>
          <w:sz w:val="22"/>
          <w:szCs w:val="22"/>
        </w:rPr>
      </w:r>
    </w:p>
    <w:p>
      <w:pPr>
        <w:pStyle w:val="Normal"/>
        <w:autoSpaceDE w:val="false"/>
        <w:ind w:firstLine="540"/>
        <w:rPr>
          <w:rFonts w:ascii="Arial" w:hAnsi="Arial" w:cs="Arial"/>
          <w:b/>
          <w:b/>
          <w:i/>
          <w:i/>
          <w:sz w:val="22"/>
          <w:szCs w:val="22"/>
        </w:rPr>
      </w:pPr>
      <w:r>
        <w:rPr>
          <w:rFonts w:cs="Arial" w:ascii="Arial" w:hAnsi="Arial"/>
          <w:sz w:val="22"/>
          <w:szCs w:val="22"/>
        </w:rPr>
        <w:t>13. Статью 38 изложить в следующей редакции:</w:t>
      </w:r>
    </w:p>
    <w:p>
      <w:pPr>
        <w:pStyle w:val="3"/>
        <w:numPr>
          <w:ilvl w:val="2"/>
          <w:numId w:val="1"/>
        </w:numPr>
        <w:spacing w:before="240" w:after="0"/>
        <w:rPr/>
      </w:pPr>
      <w:r>
        <w:rPr>
          <w:rFonts w:cs="Arial" w:ascii="Arial" w:hAnsi="Arial"/>
          <w:b w:val="false"/>
          <w:sz w:val="22"/>
          <w:szCs w:val="22"/>
        </w:rPr>
        <w:t>«</w:t>
      </w:r>
      <w:r>
        <w:rPr>
          <w:rFonts w:cs="Arial" w:ascii="Arial" w:hAnsi="Arial"/>
          <w:i/>
          <w:sz w:val="22"/>
          <w:szCs w:val="22"/>
        </w:rPr>
        <w:t>Статья 38.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pPr>
        <w:pStyle w:val="Normal"/>
        <w:autoSpaceDE w:val="false"/>
        <w:ind w:firstLine="540"/>
        <w:rPr>
          <w:rFonts w:ascii="Arial" w:hAnsi="Arial" w:cs="Arial"/>
          <w:b/>
          <w:b/>
          <w:i/>
          <w:i/>
          <w:sz w:val="22"/>
          <w:szCs w:val="22"/>
        </w:rPr>
      </w:pPr>
      <w:r>
        <w:rPr>
          <w:rFonts w:cs="Arial" w:ascii="Arial" w:hAnsi="Arial"/>
          <w:sz w:val="22"/>
          <w:szCs w:val="22"/>
        </w:rPr>
        <w:t>1.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pPr>
        <w:pStyle w:val="Normal"/>
        <w:autoSpaceDE w:val="false"/>
        <w:ind w:firstLine="540"/>
        <w:rPr>
          <w:rFonts w:ascii="Arial" w:hAnsi="Arial" w:cs="Arial"/>
          <w:b/>
          <w:b/>
          <w:i/>
          <w:i/>
          <w:sz w:val="22"/>
          <w:szCs w:val="22"/>
        </w:rPr>
      </w:pPr>
      <w:r>
        <w:rPr>
          <w:rFonts w:cs="Arial" w:ascii="Arial" w:hAnsi="Arial"/>
          <w:sz w:val="22"/>
          <w:szCs w:val="22"/>
        </w:rPr>
        <w:t>а) предельные (минимальные и/или максимальные) размеры земельных участков, в том числе их площадь;</w:t>
      </w:r>
    </w:p>
    <w:p>
      <w:pPr>
        <w:pStyle w:val="Normal"/>
        <w:autoSpaceDE w:val="false"/>
        <w:ind w:firstLine="540"/>
        <w:rPr>
          <w:rFonts w:ascii="Arial" w:hAnsi="Arial" w:cs="Arial"/>
          <w:b/>
          <w:b/>
          <w:i/>
          <w:i/>
          <w:sz w:val="22"/>
          <w:szCs w:val="22"/>
        </w:rPr>
      </w:pPr>
      <w:r>
        <w:rPr>
          <w:rFonts w:cs="Arial" w:ascii="Arial" w:hAnsi="Arial"/>
          <w:sz w:val="22"/>
          <w:szCs w:val="22"/>
        </w:rPr>
        <w:t>б)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pPr>
        <w:pStyle w:val="Normal"/>
        <w:autoSpaceDE w:val="false"/>
        <w:ind w:firstLine="540"/>
        <w:rPr>
          <w:rFonts w:ascii="Arial" w:hAnsi="Arial" w:cs="Arial"/>
          <w:b/>
          <w:b/>
          <w:i/>
          <w:i/>
          <w:sz w:val="22"/>
          <w:szCs w:val="22"/>
        </w:rPr>
      </w:pPr>
      <w:r>
        <w:rPr>
          <w:rFonts w:cs="Arial" w:ascii="Arial" w:hAnsi="Arial"/>
          <w:sz w:val="22"/>
          <w:szCs w:val="22"/>
        </w:rPr>
        <w:t>в) предельное количество этажей или предельную высоту зданий, строений, сооружений;</w:t>
      </w:r>
    </w:p>
    <w:p>
      <w:pPr>
        <w:pStyle w:val="Normal"/>
        <w:autoSpaceDE w:val="false"/>
        <w:ind w:firstLine="540"/>
        <w:rPr>
          <w:rFonts w:ascii="Arial" w:hAnsi="Arial" w:cs="Arial"/>
          <w:b/>
          <w:b/>
          <w:i/>
          <w:i/>
          <w:sz w:val="22"/>
          <w:szCs w:val="22"/>
        </w:rPr>
      </w:pPr>
      <w:r>
        <w:rPr>
          <w:rFonts w:cs="Arial" w:ascii="Arial" w:hAnsi="Arial"/>
          <w:sz w:val="22"/>
          <w:szCs w:val="22"/>
        </w:rPr>
        <w:t>г)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pPr>
        <w:pStyle w:val="Normal"/>
        <w:autoSpaceDE w:val="false"/>
        <w:ind w:firstLine="540"/>
        <w:rPr>
          <w:rFonts w:ascii="Arial" w:hAnsi="Arial" w:cs="Arial"/>
          <w:b/>
          <w:b/>
          <w:i/>
          <w:i/>
          <w:sz w:val="22"/>
          <w:szCs w:val="22"/>
        </w:rPr>
      </w:pPr>
      <w:r>
        <w:rPr>
          <w:rFonts w:cs="Arial" w:ascii="Arial" w:hAnsi="Arial"/>
          <w:b/>
          <w:i/>
          <w:sz w:val="22"/>
          <w:szCs w:val="22"/>
        </w:rPr>
      </w:r>
    </w:p>
    <w:p>
      <w:pPr>
        <w:pStyle w:val="Normal"/>
        <w:autoSpaceDE w:val="false"/>
        <w:ind w:firstLine="540"/>
        <w:rPr>
          <w:rFonts w:ascii="Arial" w:hAnsi="Arial" w:cs="Arial"/>
          <w:b/>
          <w:b/>
          <w:i/>
          <w:i/>
          <w:sz w:val="22"/>
          <w:szCs w:val="22"/>
        </w:rPr>
      </w:pPr>
      <w:r>
        <w:rPr>
          <w:rFonts w:cs="Arial" w:ascii="Arial" w:hAnsi="Arial"/>
          <w:sz w:val="22"/>
          <w:szCs w:val="22"/>
        </w:rPr>
        <w:t>1.1. В случае, если в градостроительном регламенте применительно к определенной территориальной зоне не устанавливаются предельные (минимальные и (или) максимальные) размеры земельных участков, в том числе их площадь, и (или) предусмотренные пунктами 2 - 4 части 1 настоящей статьи предельные параметры разрешенного строительства, реконструкции объектов капитального строительства, непосредственно в градостроительном регламенте применительно к этой территориальной зоне указывается, что такие 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pPr>
        <w:pStyle w:val="Normal"/>
        <w:rPr>
          <w:rFonts w:ascii="Arial" w:hAnsi="Arial" w:cs="Arial"/>
          <w:b/>
          <w:b/>
          <w:i/>
          <w:i/>
          <w:sz w:val="22"/>
          <w:szCs w:val="22"/>
        </w:rPr>
      </w:pPr>
      <w:r>
        <w:rPr>
          <w:rFonts w:cs="Arial" w:ascii="Arial" w:hAnsi="Arial"/>
          <w:sz w:val="22"/>
          <w:szCs w:val="22"/>
        </w:rPr>
        <w:t>1.2. Наряду с указанными в пунктах 2 - 4 части 1 настоящей статьи предельными параметрами разрешенного строительства, реконструкции объектов капитального строительства в градостроительном регламенте могут быть установлены иные предельные параметры разрешенного строительства, реконструкции объектов капитального строительства.</w:t>
      </w:r>
    </w:p>
    <w:p>
      <w:pPr>
        <w:pStyle w:val="Normal"/>
        <w:rPr>
          <w:rFonts w:ascii="Arial" w:hAnsi="Arial" w:cs="Arial"/>
          <w:b/>
          <w:b/>
          <w:i/>
          <w:i/>
          <w:sz w:val="22"/>
          <w:szCs w:val="22"/>
        </w:rPr>
      </w:pPr>
      <w:r>
        <w:rPr>
          <w:rFonts w:cs="Arial" w:ascii="Arial" w:hAnsi="Arial"/>
          <w:sz w:val="22"/>
          <w:szCs w:val="22"/>
        </w:rPr>
        <w:t>2. Применительно к каждой территориальной зоне устанавливаются указанные в части 1 настоящей статьи размеры и параметры, их сочетания.</w:t>
      </w:r>
    </w:p>
    <w:p>
      <w:pPr>
        <w:pStyle w:val="Normal"/>
        <w:rPr>
          <w:rFonts w:ascii="Arial" w:hAnsi="Arial" w:cs="Arial"/>
          <w:b/>
          <w:b/>
          <w:i/>
          <w:i/>
          <w:sz w:val="22"/>
          <w:szCs w:val="22"/>
        </w:rPr>
      </w:pPr>
      <w:r>
        <w:rPr>
          <w:rFonts w:cs="Arial" w:ascii="Arial" w:hAnsi="Arial"/>
          <w:sz w:val="22"/>
          <w:szCs w:val="22"/>
        </w:rPr>
        <w:t>2.1. Предельные параметры разрешенного строительства или реконструкции объектов капитального строительства в составе градостроительного регламента, установленного применительно к территориальной зоне, расположенной в границах территории исторического поселения федерального или регионального значения, должны включать в себя требования к архитектурным решениям объектов капитального строительства. Требования к архитектурным решениям объектов капитального строительства могут включать в себя требования к цветовому решению внешнего облика объекта капитального строительства, к строительным материалам, определяющим внешний облик объекта капитального строительства, требования к объемно-пространственным, архитектурно-стилистическим и иным характеристикам объекта капитального строительства, влияющим на его внешний облик и (или) на композицию и силуэт застройки исторического поселения.</w:t>
      </w:r>
    </w:p>
    <w:p>
      <w:pPr>
        <w:pStyle w:val="Normal"/>
        <w:rPr>
          <w:rFonts w:ascii="Arial" w:hAnsi="Arial" w:cs="Arial"/>
          <w:b/>
          <w:b/>
          <w:i/>
          <w:i/>
          <w:sz w:val="22"/>
          <w:szCs w:val="22"/>
        </w:rPr>
      </w:pPr>
      <w:r>
        <w:rPr>
          <w:rFonts w:cs="Arial" w:ascii="Arial" w:hAnsi="Arial"/>
          <w:sz w:val="22"/>
          <w:szCs w:val="22"/>
        </w:rPr>
        <w:t>3. В пределах территориальных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pPr>
        <w:pStyle w:val="Normal"/>
        <w:autoSpaceDE w:val="false"/>
        <w:ind w:firstLine="540"/>
        <w:rPr>
          <w:rFonts w:ascii="Arial" w:hAnsi="Arial" w:cs="Arial"/>
          <w:b/>
          <w:b/>
          <w:i/>
          <w:i/>
          <w:sz w:val="22"/>
          <w:szCs w:val="22"/>
        </w:rPr>
      </w:pPr>
      <w:r>
        <w:rPr>
          <w:rFonts w:cs="Arial" w:ascii="Arial" w:hAnsi="Arial"/>
          <w:b/>
          <w:i/>
          <w:sz w:val="22"/>
          <w:szCs w:val="22"/>
        </w:rPr>
      </w:r>
    </w:p>
    <w:p>
      <w:pPr>
        <w:pStyle w:val="4"/>
        <w:numPr>
          <w:ilvl w:val="3"/>
          <w:numId w:val="1"/>
        </w:numPr>
        <w:spacing w:before="120" w:after="0"/>
        <w:rPr/>
      </w:pPr>
      <w:r>
        <w:rPr>
          <w:rFonts w:cs="Arial" w:ascii="Arial" w:hAnsi="Arial"/>
          <w:sz w:val="22"/>
          <w:szCs w:val="22"/>
        </w:rPr>
        <w:t>14.</w:t>
      </w:r>
      <w:r>
        <w:rPr>
          <w:rFonts w:cs="Arial" w:ascii="Arial" w:hAnsi="Arial"/>
          <w:b w:val="false"/>
          <w:sz w:val="22"/>
          <w:szCs w:val="22"/>
        </w:rPr>
        <w:t xml:space="preserve"> В статье 41 раздел</w:t>
      </w:r>
      <w:r>
        <w:rPr>
          <w:rFonts w:cs="Arial" w:ascii="Arial" w:hAnsi="Arial"/>
          <w:b w:val="false"/>
          <w:i/>
          <w:sz w:val="22"/>
          <w:szCs w:val="22"/>
        </w:rPr>
        <w:t xml:space="preserve"> «</w:t>
      </w:r>
      <w:r>
        <w:rPr>
          <w:rFonts w:cs="Arial" w:ascii="Arial" w:hAnsi="Arial"/>
          <w:bCs w:val="false"/>
          <w:sz w:val="22"/>
          <w:szCs w:val="22"/>
          <w:u w:val="single"/>
          <w:lang w:val="ru-RU" w:eastAsia="ru-RU"/>
        </w:rPr>
        <w:t xml:space="preserve">Ж-1, Ж-1А. Зона </w:t>
      </w:r>
      <w:r>
        <w:rPr>
          <w:rFonts w:cs="Arial" w:ascii="Arial" w:hAnsi="Arial"/>
          <w:bCs w:val="false"/>
          <w:sz w:val="22"/>
          <w:szCs w:val="22"/>
          <w:u w:val="single"/>
        </w:rPr>
        <w:t>и</w:t>
      </w:r>
      <w:r>
        <w:rPr>
          <w:rFonts w:cs="Arial" w:ascii="Arial" w:hAnsi="Arial"/>
          <w:bCs w:val="false"/>
          <w:sz w:val="22"/>
          <w:szCs w:val="22"/>
          <w:u w:val="single"/>
          <w:lang w:val="ru-RU" w:eastAsia="ru-RU"/>
        </w:rPr>
        <w:t xml:space="preserve">ндивидуальной </w:t>
      </w:r>
      <w:r>
        <w:rPr>
          <w:rFonts w:cs="Arial" w:ascii="Arial" w:hAnsi="Arial"/>
          <w:bCs w:val="false"/>
          <w:sz w:val="22"/>
          <w:szCs w:val="22"/>
          <w:u w:val="single"/>
        </w:rPr>
        <w:t>ж</w:t>
      </w:r>
      <w:r>
        <w:rPr>
          <w:rFonts w:cs="Arial" w:ascii="Arial" w:hAnsi="Arial"/>
          <w:bCs w:val="false"/>
          <w:sz w:val="22"/>
          <w:szCs w:val="22"/>
          <w:u w:val="single"/>
          <w:lang w:val="ru-RU" w:eastAsia="ru-RU"/>
        </w:rPr>
        <w:t xml:space="preserve">илой </w:t>
      </w:r>
      <w:r>
        <w:rPr>
          <w:rFonts w:cs="Arial" w:ascii="Arial" w:hAnsi="Arial"/>
          <w:bCs w:val="false"/>
          <w:sz w:val="22"/>
          <w:szCs w:val="22"/>
          <w:u w:val="single"/>
        </w:rPr>
        <w:t>з</w:t>
      </w:r>
      <w:r>
        <w:rPr>
          <w:rFonts w:cs="Arial" w:ascii="Arial" w:hAnsi="Arial"/>
          <w:bCs w:val="false"/>
          <w:sz w:val="22"/>
          <w:szCs w:val="22"/>
          <w:u w:val="single"/>
          <w:lang w:val="ru-RU" w:eastAsia="ru-RU"/>
        </w:rPr>
        <w:t>астройки постоянного проживания» изложить в следующей редакции:</w:t>
      </w:r>
    </w:p>
    <w:p>
      <w:pPr>
        <w:pStyle w:val="4"/>
        <w:numPr>
          <w:ilvl w:val="3"/>
          <w:numId w:val="1"/>
        </w:numPr>
        <w:spacing w:before="120" w:after="0"/>
        <w:rPr>
          <w:rFonts w:ascii="Arial" w:hAnsi="Arial" w:cs="Arial"/>
          <w:sz w:val="22"/>
          <w:szCs w:val="22"/>
        </w:rPr>
      </w:pPr>
      <w:r>
        <w:rPr>
          <w:rFonts w:cs="Arial" w:ascii="Arial" w:hAnsi="Arial"/>
          <w:bCs w:val="false"/>
          <w:sz w:val="22"/>
          <w:szCs w:val="22"/>
          <w:u w:val="single"/>
          <w:lang w:val="ru-RU" w:eastAsia="ru-RU"/>
        </w:rPr>
        <w:t xml:space="preserve">«Ж-1. Зона </w:t>
      </w:r>
      <w:r>
        <w:rPr>
          <w:rFonts w:cs="Arial" w:ascii="Arial" w:hAnsi="Arial"/>
          <w:bCs w:val="false"/>
          <w:sz w:val="22"/>
          <w:szCs w:val="22"/>
          <w:u w:val="single"/>
        </w:rPr>
        <w:t>и</w:t>
      </w:r>
      <w:r>
        <w:rPr>
          <w:rFonts w:cs="Arial" w:ascii="Arial" w:hAnsi="Arial"/>
          <w:bCs w:val="false"/>
          <w:sz w:val="22"/>
          <w:szCs w:val="22"/>
          <w:u w:val="single"/>
          <w:lang w:val="ru-RU" w:eastAsia="ru-RU"/>
        </w:rPr>
        <w:t xml:space="preserve">ндивидуальной </w:t>
      </w:r>
      <w:r>
        <w:rPr>
          <w:rFonts w:cs="Arial" w:ascii="Arial" w:hAnsi="Arial"/>
          <w:bCs w:val="false"/>
          <w:sz w:val="22"/>
          <w:szCs w:val="22"/>
          <w:u w:val="single"/>
        </w:rPr>
        <w:t>ж</w:t>
      </w:r>
      <w:r>
        <w:rPr>
          <w:rFonts w:cs="Arial" w:ascii="Arial" w:hAnsi="Arial"/>
          <w:bCs w:val="false"/>
          <w:sz w:val="22"/>
          <w:szCs w:val="22"/>
          <w:u w:val="single"/>
          <w:lang w:val="ru-RU" w:eastAsia="ru-RU"/>
        </w:rPr>
        <w:t xml:space="preserve">илой </w:t>
      </w:r>
      <w:r>
        <w:rPr>
          <w:rFonts w:cs="Arial" w:ascii="Arial" w:hAnsi="Arial"/>
          <w:bCs w:val="false"/>
          <w:sz w:val="22"/>
          <w:szCs w:val="22"/>
          <w:u w:val="single"/>
        </w:rPr>
        <w:t>з</w:t>
      </w:r>
      <w:r>
        <w:rPr>
          <w:rFonts w:cs="Arial" w:ascii="Arial" w:hAnsi="Arial"/>
          <w:bCs w:val="false"/>
          <w:sz w:val="22"/>
          <w:szCs w:val="22"/>
          <w:u w:val="single"/>
          <w:lang w:val="ru-RU" w:eastAsia="ru-RU"/>
        </w:rPr>
        <w:t>астройки</w:t>
      </w:r>
    </w:p>
    <w:p>
      <w:pPr>
        <w:pStyle w:val="Normal"/>
        <w:rPr>
          <w:rFonts w:ascii="Arial" w:hAnsi="Arial" w:cs="Arial"/>
          <w:b/>
          <w:b/>
          <w:i/>
          <w:i/>
          <w:sz w:val="22"/>
          <w:szCs w:val="22"/>
        </w:rPr>
      </w:pPr>
      <w:r>
        <w:rPr>
          <w:rFonts w:cs="Arial" w:ascii="Arial" w:hAnsi="Arial"/>
          <w:sz w:val="22"/>
          <w:szCs w:val="22"/>
        </w:rPr>
        <w:t>Зона индивидуальной жилой застройки (Ж-1)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pPr>
        <w:pStyle w:val="Normal"/>
        <w:rPr>
          <w:rFonts w:cs="Arial"/>
        </w:rPr>
      </w:pPr>
      <w:r>
        <w:rPr>
          <w:rFonts w:cs="Arial" w:ascii="Arial" w:hAnsi="Arial"/>
          <w:b/>
          <w:i/>
          <w:sz w:val="22"/>
          <w:szCs w:val="22"/>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1"/>
        <w:gridCol w:w="5414"/>
        <w:gridCol w:w="23"/>
        <w:gridCol w:w="2082"/>
      </w:tblGrid>
      <w:tr>
        <w:trPr>
          <w:tblHeader w:val="true"/>
        </w:trPr>
        <w:tc>
          <w:tcPr>
            <w:tcW w:w="2521"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jc w:val="center"/>
              <w:rPr>
                <w:rFonts w:ascii="Arial" w:hAnsi="Arial" w:cs="Arial"/>
                <w:bCs/>
                <w:i/>
                <w:i/>
                <w:sz w:val="22"/>
                <w:szCs w:val="22"/>
                <w:lang w:eastAsia="en-US"/>
              </w:rPr>
            </w:pPr>
            <w:r>
              <w:rPr>
                <w:rFonts w:cs="Arial" w:ascii="Arial" w:hAnsi="Arial"/>
                <w:sz w:val="22"/>
                <w:szCs w:val="22"/>
                <w:lang w:eastAsia="en-US"/>
              </w:rPr>
              <w:t>Наименование вида разрешенного использования земельного участка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vAlign w:val="center"/>
          </w:tcPr>
          <w:p>
            <w:pPr>
              <w:pStyle w:val="Normal"/>
              <w:jc w:val="center"/>
              <w:rPr>
                <w:rFonts w:ascii="Arial" w:hAnsi="Arial" w:cs="Arial"/>
                <w:bCs/>
                <w:i/>
                <w:i/>
                <w:sz w:val="22"/>
                <w:szCs w:val="22"/>
                <w:lang w:eastAsia="en-US"/>
              </w:rPr>
            </w:pPr>
            <w:r>
              <w:rPr>
                <w:rFonts w:cs="Arial" w:ascii="Arial" w:hAnsi="Arial"/>
                <w:sz w:val="22"/>
                <w:szCs w:val="22"/>
                <w:lang w:eastAsia="en-US"/>
              </w:rPr>
              <w:t>Описание вида разрешенного использования земельного участка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ascii="Arial" w:hAnsi="Arial" w:cs="Arial"/>
                <w:bCs/>
                <w:i/>
                <w:i/>
                <w:sz w:val="22"/>
                <w:szCs w:val="22"/>
                <w:lang w:eastAsia="en-US"/>
              </w:rPr>
            </w:pPr>
            <w:r>
              <w:rPr>
                <w:rFonts w:cs="Arial" w:ascii="Arial" w:hAnsi="Arial"/>
                <w:sz w:val="22"/>
                <w:szCs w:val="22"/>
                <w:lang w:eastAsia="en-US"/>
              </w:rPr>
              <w:t>Код (числовое обозначение вида разрешенного использования земельного участка)</w:t>
            </w:r>
          </w:p>
        </w:tc>
      </w:tr>
      <w:tr>
        <w:trPr/>
        <w:tc>
          <w:tcPr>
            <w:tcW w:w="1004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jc w:val="center"/>
              <w:rPr>
                <w:rFonts w:ascii="Arial" w:hAnsi="Arial" w:cs="Arial"/>
                <w:bCs/>
                <w:i/>
                <w:i/>
                <w:sz w:val="22"/>
                <w:szCs w:val="22"/>
                <w:lang w:eastAsia="en-US"/>
              </w:rPr>
            </w:pPr>
            <w:r>
              <w:rPr>
                <w:rFonts w:cs="Arial" w:ascii="Arial" w:hAnsi="Arial"/>
                <w:sz w:val="22"/>
                <w:szCs w:val="22"/>
                <w:lang w:eastAsia="en-US"/>
              </w:rPr>
              <w:t>Основные виды разрешенного использования</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Для индивидуального жилищного строительства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 xml:space="preserve">Размещение индивидуального жилого дома (дом, пригодный для постоянного проживания, </w:t>
            </w:r>
          </w:p>
          <w:p>
            <w:pPr>
              <w:pStyle w:val="Normal"/>
              <w:rPr>
                <w:rFonts w:ascii="Arial" w:hAnsi="Arial" w:cs="Arial"/>
                <w:b/>
                <w:b/>
                <w:bCs/>
                <w:i/>
                <w:i/>
                <w:sz w:val="22"/>
                <w:szCs w:val="22"/>
                <w:lang w:eastAsia="en-US"/>
              </w:rPr>
            </w:pPr>
            <w:r>
              <w:rPr>
                <w:rFonts w:cs="Arial" w:ascii="Arial" w:hAnsi="Arial"/>
                <w:sz w:val="22"/>
                <w:szCs w:val="22"/>
                <w:lang w:eastAsia="en-US"/>
              </w:rPr>
              <w:t>высотой не выше трех надземных этажей);</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2.1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Для ведения личного подсобного хозяйства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pPr>
              <w:pStyle w:val="Normal"/>
              <w:rPr>
                <w:rFonts w:ascii="Arial" w:hAnsi="Arial" w:cs="Arial"/>
                <w:b/>
                <w:b/>
                <w:bCs/>
                <w:i/>
                <w:i/>
                <w:sz w:val="22"/>
                <w:szCs w:val="22"/>
                <w:lang w:eastAsia="en-US"/>
              </w:rPr>
            </w:pPr>
            <w:r>
              <w:rPr>
                <w:rFonts w:cs="Arial" w:ascii="Arial" w:hAnsi="Arial"/>
                <w:sz w:val="22"/>
                <w:szCs w:val="22"/>
                <w:lang w:eastAsia="en-US"/>
              </w:rPr>
              <w:t>производство сельскохозяйственной продукции;</w:t>
            </w:r>
          </w:p>
          <w:p>
            <w:pPr>
              <w:pStyle w:val="Normal"/>
              <w:rPr>
                <w:rFonts w:ascii="Arial" w:hAnsi="Arial" w:cs="Arial"/>
                <w:b/>
                <w:b/>
                <w:bCs/>
                <w:i/>
                <w:i/>
                <w:sz w:val="22"/>
                <w:szCs w:val="22"/>
                <w:lang w:eastAsia="en-US"/>
              </w:rPr>
            </w:pPr>
            <w:r>
              <w:rPr>
                <w:rFonts w:cs="Arial" w:ascii="Arial" w:hAnsi="Arial"/>
                <w:sz w:val="22"/>
                <w:szCs w:val="22"/>
                <w:lang w:eastAsia="en-US"/>
              </w:rPr>
              <w:t>содержание сельскохозяйственных животных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2.2</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Блокированная жилая застройка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2.3</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Амбулаторно-поликлиническое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3.4.1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Дошкольное, начальное и среднее общее образование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3.5.1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Культурное развитие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pPr>
              <w:pStyle w:val="Normal"/>
              <w:rPr>
                <w:rFonts w:ascii="Arial" w:hAnsi="Arial" w:cs="Arial"/>
                <w:b/>
                <w:b/>
                <w:bCs/>
                <w:i/>
                <w:i/>
                <w:sz w:val="22"/>
                <w:szCs w:val="22"/>
                <w:lang w:eastAsia="en-US"/>
              </w:rPr>
            </w:pPr>
            <w:r>
              <w:rPr>
                <w:rFonts w:cs="Arial" w:ascii="Arial" w:hAnsi="Arial"/>
                <w:sz w:val="22"/>
                <w:szCs w:val="22"/>
                <w:lang w:eastAsia="en-US"/>
              </w:rPr>
              <w:t>устройство площадок для празднеств и гуляний;</w:t>
            </w:r>
          </w:p>
          <w:p>
            <w:pPr>
              <w:pStyle w:val="Normal"/>
              <w:rPr>
                <w:rFonts w:ascii="Arial" w:hAnsi="Arial" w:cs="Arial"/>
                <w:b/>
                <w:b/>
                <w:bCs/>
                <w:i/>
                <w:i/>
                <w:sz w:val="22"/>
                <w:szCs w:val="22"/>
                <w:lang w:eastAsia="en-US"/>
              </w:rPr>
            </w:pPr>
            <w:r>
              <w:rPr>
                <w:rFonts w:cs="Arial" w:ascii="Arial" w:hAnsi="Arial"/>
                <w:sz w:val="22"/>
                <w:szCs w:val="22"/>
                <w:lang w:eastAsia="en-US"/>
              </w:rPr>
              <w:t>размещение зданий и сооружений для размещения цирков, зверинцев, зоопарков, океанариумов</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3.6</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 xml:space="preserve">Магазины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объектов капитального строительства, предназначенных для продажи товаров</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4.4</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Земельные участки (территории) общего пользования</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ascii="Arial" w:hAnsi="Arial" w:cs="Arial"/>
                <w:b/>
                <w:b/>
                <w:bCs/>
                <w:i/>
                <w:i/>
                <w:sz w:val="22"/>
                <w:szCs w:val="22"/>
                <w:lang w:eastAsia="en-US"/>
              </w:rPr>
            </w:pPr>
            <w:r>
              <w:rPr>
                <w:rFonts w:cs="Arial" w:ascii="Arial" w:hAnsi="Arial"/>
                <w:sz w:val="22"/>
                <w:szCs w:val="22"/>
                <w:lang w:eastAsia="en-US"/>
              </w:rPr>
              <w:t>12.0</w:t>
            </w:r>
          </w:p>
        </w:tc>
      </w:tr>
      <w:tr>
        <w:trPr/>
        <w:tc>
          <w:tcPr>
            <w:tcW w:w="1004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ascii="Arial" w:hAnsi="Arial" w:cs="Arial"/>
                <w:bCs/>
                <w:i/>
                <w:i/>
                <w:sz w:val="22"/>
                <w:szCs w:val="22"/>
                <w:lang w:eastAsia="en-US"/>
              </w:rPr>
            </w:pPr>
            <w:r>
              <w:rPr>
                <w:rFonts w:cs="Arial" w:ascii="Arial" w:hAnsi="Arial"/>
                <w:sz w:val="22"/>
                <w:szCs w:val="22"/>
                <w:lang w:eastAsia="en-US"/>
              </w:rPr>
              <w:t>Условно разрешённые виды разрешенного использования</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Малоэтажная многоквартирная жилая застройка</w:t>
            </w:r>
          </w:p>
        </w:tc>
        <w:tc>
          <w:tcPr>
            <w:tcW w:w="5414"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малоэтажного многоквартирного жилого дома (дом, пригодный для постоянного проживания, высотой до 4 этажей, включая мансардный);</w:t>
            </w:r>
          </w:p>
          <w:p>
            <w:pPr>
              <w:pStyle w:val="ConsPlusNormal1"/>
              <w:ind w:hanging="0"/>
              <w:rPr>
                <w:sz w:val="22"/>
                <w:szCs w:val="22"/>
              </w:rPr>
            </w:pPr>
            <w:r>
              <w:rPr>
                <w:sz w:val="22"/>
                <w:szCs w:val="22"/>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10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sz w:val="22"/>
                <w:szCs w:val="22"/>
              </w:rPr>
            </w:pPr>
            <w:r>
              <w:rPr>
                <w:sz w:val="22"/>
                <w:szCs w:val="22"/>
              </w:rPr>
              <w:t>2.1.1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Объекты гаражного назначения</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2.7.1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Социальное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pPr>
              <w:pStyle w:val="ConsPlusNormal1"/>
              <w:ind w:hanging="0"/>
              <w:rPr>
                <w:sz w:val="22"/>
                <w:szCs w:val="22"/>
              </w:rPr>
            </w:pPr>
            <w:r>
              <w:rPr>
                <w:sz w:val="22"/>
                <w:szCs w:val="22"/>
              </w:rPr>
              <w:t>размещение объектов капитального строительства для размещения отделений почты и телеграфа;</w:t>
            </w:r>
          </w:p>
          <w:p>
            <w:pPr>
              <w:pStyle w:val="ConsPlusNormal1"/>
              <w:ind w:hanging="0"/>
              <w:rPr>
                <w:sz w:val="22"/>
                <w:szCs w:val="22"/>
              </w:rPr>
            </w:pPr>
            <w:r>
              <w:rPr>
                <w:sz w:val="22"/>
                <w:szCs w:val="22"/>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3.2</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Бытовое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3.3</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Религиозное использование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pPr>
              <w:pStyle w:val="ConsPlusNormal1"/>
              <w:ind w:hanging="0"/>
              <w:rPr>
                <w:sz w:val="22"/>
                <w:szCs w:val="22"/>
              </w:rPr>
            </w:pPr>
            <w:r>
              <w:rPr>
                <w:sz w:val="22"/>
                <w:szCs w:val="22"/>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3.7</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Амбулаторное ветеринарное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ветеринарных услуг без содержания животных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3.10.1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Магазины</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продажи товаров, торговая площадь которых составляет до 800 кв. м</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4.4</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Банковская и страховая деятельность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размещения организаций, оказывающих банковские и страховые</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4.5</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Общественное питание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4.6</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Гостиничное обслуживание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4.7</w:t>
            </w:r>
          </w:p>
          <w:p>
            <w:pPr>
              <w:pStyle w:val="ConsPlusNormal1"/>
              <w:ind w:hanging="0"/>
              <w:rPr>
                <w:sz w:val="22"/>
                <w:szCs w:val="22"/>
              </w:rPr>
            </w:pPr>
            <w:r>
              <w:rPr>
                <w:sz w:val="22"/>
                <w:szCs w:val="22"/>
              </w:rPr>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Ведение огородничества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Осуществление деятельности, связанной с выращиванием ягодных, овощных, бахчевых или иных сельскохозяйственных культур и картофеля;</w:t>
            </w:r>
          </w:p>
          <w:p>
            <w:pPr>
              <w:pStyle w:val="ConsPlusNormal1"/>
              <w:ind w:hanging="0"/>
              <w:rPr>
                <w:sz w:val="22"/>
                <w:szCs w:val="22"/>
              </w:rPr>
            </w:pPr>
            <w:r>
              <w:rPr>
                <w:sz w:val="22"/>
                <w:szCs w:val="22"/>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13.1</w:t>
            </w:r>
          </w:p>
        </w:tc>
      </w:tr>
    </w:tbl>
    <w:p>
      <w:pPr>
        <w:pStyle w:val="Normal"/>
        <w:rPr>
          <w:rFonts w:ascii="Arial" w:hAnsi="Arial" w:cs="Arial"/>
          <w:sz w:val="22"/>
          <w:szCs w:val="22"/>
        </w:rPr>
      </w:pPr>
      <w:r>
        <w:rPr>
          <w:rFonts w:cs="Arial" w:ascii="Arial" w:hAnsi="Arial"/>
          <w:sz w:val="22"/>
          <w:szCs w:val="22"/>
        </w:rPr>
        <w:t>Вспомогательные виды разрешённого использования представлены в статье 48 настоящих Правил.</w:t>
      </w:r>
    </w:p>
    <w:p>
      <w:pPr>
        <w:pStyle w:val="Normal"/>
        <w:rPr>
          <w:rFonts w:cs="Arial"/>
        </w:rPr>
      </w:pPr>
      <w:r>
        <w:rPr>
          <w:rFonts w:cs="Arial" w:ascii="Arial" w:hAnsi="Arial"/>
          <w:b/>
          <w:sz w:val="22"/>
          <w:szCs w:val="22"/>
          <w:u w:val="single"/>
        </w:rPr>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w:t>
      </w:r>
    </w:p>
    <w:tbl>
      <w:tblPr>
        <w:tblW w:w="9871"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26"/>
        <w:gridCol w:w="7291"/>
      </w:tblGrid>
      <w:tr>
        <w:trPr>
          <w:tblHeader w:val="true"/>
          <w:trHeight w:val="698" w:hRule="atLeast"/>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w:t>
            </w:r>
            <w:r>
              <w:rPr>
                <w:rFonts w:eastAsia="Arial" w:cs="Arial" w:ascii="Arial" w:hAnsi="Arial"/>
                <w:color w:val="000000"/>
                <w:sz w:val="22"/>
                <w:szCs w:val="22"/>
                <w:lang w:val="ru-RU" w:eastAsia="ru-RU"/>
              </w:rPr>
              <w:t xml:space="preserve"> </w:t>
            </w:r>
            <w:r>
              <w:rPr>
                <w:rFonts w:cs="Arial" w:ascii="Arial" w:hAnsi="Arial"/>
                <w:color w:val="000000"/>
                <w:sz w:val="22"/>
                <w:szCs w:val="22"/>
                <w:lang w:val="ru-RU" w:eastAsia="ru-RU"/>
              </w:rPr>
              <w:t>п/п</w:t>
            </w:r>
          </w:p>
        </w:tc>
        <w:tc>
          <w:tcPr>
            <w:tcW w:w="2126"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Наименование размера, параметра</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Значение, единица измерения, дополнительные условия</w:t>
            </w:r>
          </w:p>
        </w:tc>
      </w:tr>
      <w:tr>
        <w:trPr/>
        <w:tc>
          <w:tcPr>
            <w:tcW w:w="9871"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Для объектов капитального строительства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1</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Минимальные и (или) максимальные размеры земельного участка, в том числе его площадь</w:t>
            </w:r>
          </w:p>
          <w:p>
            <w:pPr>
              <w:pStyle w:val="Style23"/>
              <w:ind w:left="23" w:hanging="0"/>
              <w:rPr>
                <w:rFonts w:ascii="Arial" w:hAnsi="Arial" w:cs="Arial"/>
                <w:b w:val="false"/>
                <w:b w:val="false"/>
                <w:sz w:val="22"/>
                <w:szCs w:val="22"/>
              </w:rPr>
            </w:pPr>
            <w:r>
              <w:rPr>
                <w:rFonts w:cs="Arial" w:ascii="Arial" w:hAnsi="Arial"/>
                <w:b w:val="false"/>
                <w:sz w:val="22"/>
                <w:szCs w:val="22"/>
              </w:rPr>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8" w:leader="none"/>
              </w:tabs>
              <w:rPr/>
            </w:pPr>
            <w:r>
              <w:rPr>
                <w:rStyle w:val="79"/>
                <w:rFonts w:cs="Arial" w:ascii="Arial" w:hAnsi="Arial"/>
                <w:sz w:val="22"/>
                <w:szCs w:val="22"/>
              </w:rPr>
              <w:t>1) минимальная площадь земельного участка для размещения многоквартирного жилого дома, многоквартирного жилого дома со встроенными, пристроенными и встроено-пристроенными помещениями общественного назначения многоквартирного дома – 300 кв.м;</w:t>
            </w:r>
          </w:p>
          <w:p>
            <w:pPr>
              <w:pStyle w:val="Style23"/>
              <w:tabs>
                <w:tab w:val="left" w:pos="-28" w:leader="none"/>
              </w:tabs>
              <w:rPr/>
            </w:pPr>
            <w:r>
              <w:rPr>
                <w:rStyle w:val="79"/>
                <w:rFonts w:cs="Arial" w:ascii="Arial" w:hAnsi="Arial"/>
                <w:sz w:val="22"/>
                <w:szCs w:val="22"/>
              </w:rPr>
              <w:t>2) минимальный размер земельного участка для размещения индивидуального жилого дома - 500 кв. м;</w:t>
            </w:r>
          </w:p>
          <w:p>
            <w:pPr>
              <w:pStyle w:val="Style23"/>
              <w:tabs>
                <w:tab w:val="left" w:pos="-28" w:leader="none"/>
              </w:tabs>
              <w:rPr/>
            </w:pPr>
            <w:r>
              <w:rPr>
                <w:rStyle w:val="79"/>
                <w:rFonts w:cs="Arial" w:ascii="Arial" w:hAnsi="Arial"/>
                <w:sz w:val="22"/>
                <w:szCs w:val="22"/>
              </w:rPr>
              <w:t>3) максимальный размер земельного участка для размещения индивидуального жилого дома - 2500 кв. м;</w:t>
            </w:r>
          </w:p>
          <w:p>
            <w:pPr>
              <w:pStyle w:val="Style23"/>
              <w:tabs>
                <w:tab w:val="left" w:pos="-28" w:leader="none"/>
              </w:tabs>
              <w:rPr/>
            </w:pPr>
            <w:r>
              <w:rPr>
                <w:rStyle w:val="79"/>
                <w:rFonts w:cs="Arial" w:ascii="Arial" w:hAnsi="Arial"/>
                <w:sz w:val="22"/>
                <w:szCs w:val="22"/>
              </w:rPr>
              <w:t>4) минимальный размер приусадебного участка личного подсобного хозяйства - 500 кв. м;</w:t>
            </w:r>
          </w:p>
          <w:p>
            <w:pPr>
              <w:pStyle w:val="Style23"/>
              <w:tabs>
                <w:tab w:val="left" w:pos="-28" w:leader="none"/>
              </w:tabs>
              <w:rPr/>
            </w:pPr>
            <w:r>
              <w:rPr>
                <w:rStyle w:val="79"/>
                <w:rFonts w:cs="Arial" w:ascii="Arial" w:hAnsi="Arial"/>
                <w:sz w:val="22"/>
                <w:szCs w:val="22"/>
              </w:rPr>
              <w:t>5) максимальный размер приусадебного участка личного подсобного хозяйства - 3000 кв. м;</w:t>
            </w:r>
          </w:p>
          <w:p>
            <w:pPr>
              <w:pStyle w:val="Style23"/>
              <w:tabs>
                <w:tab w:val="left" w:pos="-28" w:leader="none"/>
              </w:tabs>
              <w:rPr/>
            </w:pPr>
            <w:r>
              <w:rPr>
                <w:rStyle w:val="79"/>
                <w:rFonts w:cs="Arial" w:ascii="Arial" w:hAnsi="Arial"/>
                <w:sz w:val="22"/>
                <w:szCs w:val="22"/>
              </w:rPr>
              <w:t>6)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кв.м</w:t>
            </w:r>
          </w:p>
          <w:p>
            <w:pPr>
              <w:pStyle w:val="Style23"/>
              <w:tabs>
                <w:tab w:val="left" w:pos="-28" w:leader="none"/>
              </w:tabs>
              <w:rPr/>
            </w:pPr>
            <w:r>
              <w:rPr>
                <w:rStyle w:val="79"/>
                <w:rFonts w:cs="Arial" w:ascii="Arial" w:hAnsi="Arial"/>
                <w:sz w:val="22"/>
                <w:szCs w:val="22"/>
              </w:rPr>
              <w:t>7) минимальный размер земельного участка для объектов дошкольного образования 1600 кв.м</w:t>
            </w:r>
            <w:r>
              <w:rPr>
                <w:rStyle w:val="79"/>
                <w:rFonts w:cs="Arial" w:ascii="Arial" w:hAnsi="Arial"/>
                <w:bCs w:val="false"/>
                <w:sz w:val="22"/>
                <w:szCs w:val="22"/>
              </w:rPr>
              <w:t>;</w:t>
            </w:r>
          </w:p>
          <w:p>
            <w:pPr>
              <w:pStyle w:val="Style23"/>
              <w:tabs>
                <w:tab w:val="left" w:pos="-28" w:leader="none"/>
              </w:tabs>
              <w:rPr/>
            </w:pPr>
            <w:r>
              <w:rPr>
                <w:rStyle w:val="79"/>
                <w:rFonts w:cs="Arial" w:ascii="Arial" w:hAnsi="Arial"/>
                <w:sz w:val="22"/>
                <w:szCs w:val="22"/>
              </w:rPr>
              <w:t>8) минимальный размер земельного участка для объектов общеобразовательного назначения 6000 кв.м.;</w:t>
            </w:r>
          </w:p>
          <w:p>
            <w:pPr>
              <w:pStyle w:val="Style23"/>
              <w:tabs>
                <w:tab w:val="left" w:pos="-28" w:leader="none"/>
              </w:tabs>
              <w:rPr/>
            </w:pPr>
            <w:r>
              <w:rPr>
                <w:rStyle w:val="79"/>
                <w:rFonts w:cs="Arial" w:ascii="Arial" w:hAnsi="Arial"/>
                <w:sz w:val="22"/>
                <w:szCs w:val="22"/>
              </w:rPr>
              <w:t>9) минимальный размер земельного участка для фельдшерско-акушерского пункта 2000 кв.м</w:t>
            </w:r>
          </w:p>
          <w:p>
            <w:pPr>
              <w:pStyle w:val="Style23"/>
              <w:tabs>
                <w:tab w:val="left" w:pos="-28" w:leader="none"/>
              </w:tabs>
              <w:rPr/>
            </w:pPr>
            <w:r>
              <w:rPr>
                <w:rStyle w:val="79"/>
                <w:rFonts w:cs="Arial" w:ascii="Arial" w:hAnsi="Arial"/>
                <w:sz w:val="22"/>
                <w:szCs w:val="22"/>
              </w:rPr>
              <w:t>10) максимальный размер земельного участка хозяйственного строения, сооружения (гаража) не более 100 кв.м</w:t>
            </w:r>
          </w:p>
          <w:p>
            <w:pPr>
              <w:pStyle w:val="Style23"/>
              <w:tabs>
                <w:tab w:val="left" w:pos="-28" w:leader="none"/>
              </w:tabs>
              <w:rPr/>
            </w:pPr>
            <w:r>
              <w:rPr>
                <w:rStyle w:val="79"/>
                <w:rFonts w:cs="Arial" w:ascii="Arial" w:hAnsi="Arial"/>
                <w:sz w:val="22"/>
                <w:szCs w:val="22"/>
              </w:rPr>
              <w:t>11)</w:t>
            </w:r>
            <w:r>
              <w:rPr>
                <w:rStyle w:val="79"/>
                <w:rFonts w:cs="Arial" w:ascii="Arial" w:hAnsi="Arial"/>
                <w:bCs w:val="false"/>
                <w:sz w:val="22"/>
                <w:szCs w:val="22"/>
              </w:rPr>
              <w:t xml:space="preserve"> минимальный размер земельного участка для магазина 100 кв.м.;</w:t>
            </w:r>
          </w:p>
          <w:p>
            <w:pPr>
              <w:pStyle w:val="Style23"/>
              <w:tabs>
                <w:tab w:val="left" w:pos="-28" w:leader="none"/>
              </w:tabs>
              <w:rPr>
                <w:rStyle w:val="79"/>
                <w:rFonts w:ascii="Arial" w:hAnsi="Arial" w:cs="Arial"/>
                <w:sz w:val="22"/>
                <w:szCs w:val="22"/>
              </w:rPr>
            </w:pPr>
            <w:r>
              <w:rPr>
                <w:rStyle w:val="79"/>
                <w:rFonts w:cs="Arial" w:ascii="Arial" w:hAnsi="Arial"/>
                <w:bCs w:val="false"/>
                <w:sz w:val="22"/>
                <w:szCs w:val="22"/>
              </w:rPr>
              <w:t>12) минимальный размер земельного участка для гостиницы 1000 кв.м.;</w:t>
            </w:r>
          </w:p>
          <w:p>
            <w:pPr>
              <w:pStyle w:val="Style23"/>
              <w:tabs>
                <w:tab w:val="left" w:pos="-28" w:leader="none"/>
              </w:tabs>
              <w:rPr/>
            </w:pPr>
            <w:r>
              <w:rPr>
                <w:rStyle w:val="79"/>
                <w:rFonts w:cs="Arial" w:ascii="Arial" w:hAnsi="Arial"/>
                <w:sz w:val="22"/>
                <w:szCs w:val="22"/>
              </w:rPr>
              <w:t>13)</w:t>
            </w:r>
            <w:r>
              <w:rPr>
                <w:rStyle w:val="79"/>
                <w:rFonts w:cs="Arial" w:ascii="Arial" w:hAnsi="Arial"/>
                <w:bCs w:val="false"/>
                <w:sz w:val="22"/>
                <w:szCs w:val="22"/>
              </w:rPr>
              <w:t xml:space="preserve"> минимальный размер земельного участка для объектов общественного питания 560 кв.м.;</w:t>
            </w:r>
          </w:p>
          <w:p>
            <w:pPr>
              <w:pStyle w:val="Style23"/>
              <w:tabs>
                <w:tab w:val="left" w:pos="-28" w:leader="none"/>
              </w:tabs>
              <w:rPr/>
            </w:pPr>
            <w:r>
              <w:rPr>
                <w:rStyle w:val="79"/>
                <w:rFonts w:cs="Arial" w:ascii="Arial" w:hAnsi="Arial"/>
                <w:bCs w:val="false"/>
                <w:sz w:val="22"/>
                <w:szCs w:val="22"/>
              </w:rPr>
              <w:t>14) минимальный размер земельного участка для объектов спорта 200 кв.м.</w:t>
            </w:r>
          </w:p>
          <w:p>
            <w:pPr>
              <w:pStyle w:val="Style23"/>
              <w:tabs>
                <w:tab w:val="left" w:pos="-28" w:leader="none"/>
              </w:tabs>
              <w:rPr>
                <w:rStyle w:val="79"/>
                <w:rFonts w:ascii="Arial" w:hAnsi="Arial" w:cs="Arial"/>
                <w:sz w:val="22"/>
                <w:szCs w:val="22"/>
              </w:rPr>
            </w:pPr>
            <w:r>
              <w:rPr>
                <w:rStyle w:val="79"/>
                <w:rFonts w:cs="Arial" w:ascii="Arial" w:hAnsi="Arial"/>
                <w:bCs w:val="false"/>
                <w:sz w:val="22"/>
                <w:szCs w:val="22"/>
              </w:rPr>
              <w:t>15) 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pPr>
            <w:r>
              <w:rPr>
                <w:rFonts w:cs="Arial" w:ascii="Arial" w:hAnsi="Arial"/>
                <w:color w:val="000000"/>
                <w:sz w:val="22"/>
                <w:szCs w:val="22"/>
                <w:lang w:val="ru-RU" w:eastAsia="ru-RU"/>
              </w:rPr>
              <w:t>2</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Минимальный отступ от границ земельных участков до зданий, строений, сооружений</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17" w:leader="none"/>
              </w:tabs>
              <w:ind w:left="23" w:hanging="0"/>
              <w:rPr/>
            </w:pPr>
            <w:r>
              <w:rPr>
                <w:rStyle w:val="8"/>
                <w:rFonts w:cs="Arial" w:ascii="Arial" w:hAnsi="Arial"/>
                <w:b/>
                <w:sz w:val="22"/>
                <w:szCs w:val="22"/>
              </w:rPr>
              <w:t xml:space="preserve">1) в отношении земельных участков, предназначенных для размещения индивидуальных и блокированных жилых домов, от границ земельного участка до основного строения (стены жилого дома) – </w:t>
            </w:r>
            <w:r>
              <w:rPr>
                <w:rStyle w:val="815"/>
                <w:rFonts w:cs="Arial" w:ascii="Arial" w:hAnsi="Arial"/>
                <w:sz w:val="22"/>
                <w:szCs w:val="22"/>
              </w:rPr>
              <w:t xml:space="preserve">3 </w:t>
            </w:r>
            <w:r>
              <w:rPr>
                <w:rStyle w:val="79"/>
                <w:rFonts w:cs="Arial" w:ascii="Arial" w:hAnsi="Arial"/>
                <w:sz w:val="22"/>
                <w:szCs w:val="22"/>
              </w:rPr>
              <w:t xml:space="preserve">м, </w:t>
            </w:r>
            <w:r>
              <w:rPr>
                <w:rStyle w:val="8"/>
                <w:rFonts w:cs="Arial" w:ascii="Arial" w:hAnsi="Arial"/>
                <w:b/>
                <w:sz w:val="22"/>
                <w:szCs w:val="22"/>
              </w:rPr>
              <w:t xml:space="preserve">до прочих хозяйственных построек, строений, сооружений вспомогательного использования, открытых стоянок </w:t>
            </w:r>
            <w:r>
              <w:rPr>
                <w:rStyle w:val="811"/>
                <w:rFonts w:cs="Arial" w:ascii="Arial" w:hAnsi="Arial"/>
                <w:b/>
                <w:sz w:val="22"/>
                <w:szCs w:val="22"/>
              </w:rPr>
              <w:t xml:space="preserve">– </w:t>
            </w:r>
            <w:r>
              <w:rPr>
                <w:rStyle w:val="815"/>
                <w:rFonts w:cs="Arial" w:ascii="Arial" w:hAnsi="Arial"/>
                <w:sz w:val="22"/>
                <w:szCs w:val="22"/>
              </w:rPr>
              <w:t xml:space="preserve">1 </w:t>
            </w:r>
            <w:r>
              <w:rPr>
                <w:rStyle w:val="79"/>
                <w:rFonts w:cs="Arial" w:ascii="Arial" w:hAnsi="Arial"/>
                <w:sz w:val="22"/>
                <w:szCs w:val="22"/>
              </w:rPr>
              <w:t>м;</w:t>
            </w:r>
          </w:p>
          <w:p>
            <w:pPr>
              <w:pStyle w:val="Style23"/>
              <w:tabs>
                <w:tab w:val="left" w:pos="212" w:leader="none"/>
              </w:tabs>
              <w:ind w:left="23" w:hanging="0"/>
              <w:rPr/>
            </w:pPr>
            <w:r>
              <w:rPr>
                <w:rFonts w:cs="Arial" w:ascii="Arial" w:hAnsi="Arial"/>
                <w:b w:val="false"/>
                <w:sz w:val="22"/>
                <w:szCs w:val="22"/>
                <w:shd w:fill="FFFFFF" w:val="clear"/>
              </w:rPr>
              <w:t xml:space="preserve">Минимальный отступ от </w:t>
            </w:r>
            <w:r>
              <w:rPr>
                <w:rStyle w:val="8"/>
                <w:rFonts w:cs="Arial" w:ascii="Arial" w:hAnsi="Arial"/>
                <w:b/>
                <w:color w:val="000000"/>
                <w:sz w:val="22"/>
                <w:szCs w:val="22"/>
              </w:rPr>
              <w:t>границ земельного участка</w:t>
            </w:r>
            <w:r>
              <w:rPr>
                <w:rFonts w:cs="Arial" w:ascii="Arial" w:hAnsi="Arial"/>
                <w:b w:val="false"/>
                <w:sz w:val="22"/>
                <w:szCs w:val="22"/>
                <w:shd w:fill="FFFFFF" w:val="clear"/>
              </w:rPr>
              <w:t xml:space="preserve"> до зданий строений и сооружений 5 м при осуществлении нового строительства;</w:t>
            </w:r>
          </w:p>
          <w:p>
            <w:pPr>
              <w:pStyle w:val="Style23"/>
              <w:tabs>
                <w:tab w:val="left" w:pos="212" w:leader="none"/>
              </w:tabs>
              <w:ind w:left="23" w:hanging="0"/>
              <w:rPr>
                <w:rFonts w:ascii="Arial" w:hAnsi="Arial" w:eastAsia="Lucida Sans Unicode" w:cs="Arial"/>
                <w:b w:val="false"/>
                <w:b w:val="false"/>
                <w:kern w:val="2"/>
                <w:sz w:val="22"/>
                <w:szCs w:val="22"/>
                <w:lang w:eastAsia="ar-SA"/>
              </w:rPr>
            </w:pPr>
            <w:r>
              <w:rPr>
                <w:rFonts w:eastAsia="Lucida Sans Unicode" w:cs="Arial" w:ascii="Arial" w:hAnsi="Arial"/>
                <w:b w:val="false"/>
                <w:kern w:val="2"/>
                <w:sz w:val="22"/>
                <w:szCs w:val="22"/>
                <w:lang w:eastAsia="ar-SA"/>
              </w:rPr>
              <w:t>3) расстояние между длинными сторонами зданий высотой 2-3 этажа не менее 15 м, высотой 4 этажа – не менее 20 м;</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11"/>
                <w:rFonts w:cs="Arial" w:ascii="Arial" w:hAnsi="Arial"/>
                <w:b/>
                <w:sz w:val="22"/>
                <w:szCs w:val="22"/>
              </w:rPr>
              <w:t>Предельное количество этажей</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168" w:leader="none"/>
              </w:tabs>
              <w:ind w:left="23" w:hanging="0"/>
              <w:rPr/>
            </w:pPr>
            <w:r>
              <w:rPr>
                <w:rStyle w:val="8"/>
                <w:rFonts w:cs="Arial" w:ascii="Arial" w:hAnsi="Arial"/>
                <w:b/>
                <w:sz w:val="22"/>
                <w:szCs w:val="22"/>
              </w:rPr>
              <w:t xml:space="preserve">1) для индивидуального жилого дома – 3 этажа </w:t>
            </w:r>
          </w:p>
          <w:p>
            <w:pPr>
              <w:pStyle w:val="Style23"/>
              <w:tabs>
                <w:tab w:val="left" w:pos="168" w:leader="none"/>
              </w:tabs>
              <w:ind w:left="23" w:hanging="0"/>
              <w:rPr/>
            </w:pPr>
            <w:r>
              <w:rPr>
                <w:rStyle w:val="8"/>
                <w:rFonts w:cs="Arial" w:ascii="Arial" w:hAnsi="Arial"/>
                <w:b/>
                <w:sz w:val="22"/>
                <w:szCs w:val="22"/>
              </w:rPr>
              <w:t>2) для объектов дошкольного образования не более 3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3) для объектов общеобразовательного назначения не более 4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4) для объектов здравоохранения не более 3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5) для магазинов не более 3 этажей;</w:t>
            </w:r>
          </w:p>
          <w:p>
            <w:pPr>
              <w:pStyle w:val="Style23"/>
              <w:tabs>
                <w:tab w:val="left" w:pos="168" w:leader="none"/>
              </w:tabs>
              <w:ind w:left="23" w:hanging="0"/>
              <w:rPr/>
            </w:pPr>
            <w:r>
              <w:rPr>
                <w:rStyle w:val="8"/>
                <w:rFonts w:cs="Arial" w:ascii="Arial" w:hAnsi="Arial"/>
                <w:b/>
                <w:sz w:val="22"/>
                <w:szCs w:val="22"/>
              </w:rPr>
              <w:t>6) для гостиницы не более 3 этажей;</w:t>
            </w:r>
          </w:p>
          <w:p>
            <w:pPr>
              <w:pStyle w:val="Style23"/>
              <w:tabs>
                <w:tab w:val="left" w:pos="168" w:leader="none"/>
              </w:tabs>
              <w:ind w:left="23" w:hanging="0"/>
              <w:rPr/>
            </w:pPr>
            <w:r>
              <w:rPr>
                <w:rStyle w:val="8"/>
                <w:rFonts w:cs="Arial" w:ascii="Arial" w:hAnsi="Arial"/>
                <w:b/>
                <w:sz w:val="22"/>
                <w:szCs w:val="22"/>
              </w:rPr>
              <w:t>7) для общественного питания не более 2 этажей.</w:t>
            </w:r>
          </w:p>
          <w:p>
            <w:pPr>
              <w:pStyle w:val="Style23"/>
              <w:tabs>
                <w:tab w:val="left" w:pos="168" w:leader="none"/>
              </w:tabs>
              <w:ind w:left="23" w:hanging="0"/>
              <w:rPr>
                <w:rFonts w:ascii="Arial" w:hAnsi="Arial" w:cs="Arial"/>
                <w:b w:val="false"/>
                <w:b w:val="false"/>
                <w:sz w:val="22"/>
                <w:szCs w:val="22"/>
              </w:rPr>
            </w:pPr>
            <w:r>
              <w:rPr>
                <w:rStyle w:val="8"/>
                <w:rFonts w:cs="Arial" w:ascii="Arial" w:hAnsi="Arial"/>
                <w:b/>
                <w:sz w:val="22"/>
                <w:szCs w:val="22"/>
              </w:rPr>
              <w:t>8) для иных объектов капитального строительства предельное количество этажей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4</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Максимальный процент застройки в границах земельного участка</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1) 20% для размещения индивидуального жилого дома;</w:t>
            </w:r>
          </w:p>
          <w:p>
            <w:pPr>
              <w:pStyle w:val="Style23"/>
              <w:tabs>
                <w:tab w:val="left" w:pos="182" w:leader="none"/>
              </w:tabs>
              <w:ind w:left="23" w:hanging="0"/>
              <w:rPr>
                <w:rFonts w:ascii="Arial" w:hAnsi="Arial" w:cs="Arial"/>
                <w:b w:val="false"/>
                <w:b w:val="false"/>
                <w:sz w:val="22"/>
                <w:szCs w:val="22"/>
              </w:rPr>
            </w:pPr>
            <w:r>
              <w:rPr>
                <w:rStyle w:val="8"/>
                <w:rFonts w:cs="Arial" w:ascii="Arial" w:hAnsi="Arial"/>
                <w:b/>
                <w:sz w:val="22"/>
                <w:szCs w:val="22"/>
              </w:rPr>
              <w:t>2) 30% для размещения объектов дошкольного образования;</w:t>
            </w:r>
          </w:p>
          <w:p>
            <w:pPr>
              <w:pStyle w:val="Style23"/>
              <w:tabs>
                <w:tab w:val="left" w:pos="187" w:leader="none"/>
              </w:tabs>
              <w:ind w:left="23" w:hanging="0"/>
              <w:rPr/>
            </w:pPr>
            <w:r>
              <w:rPr>
                <w:rStyle w:val="79"/>
                <w:rFonts w:cs="Arial" w:ascii="Arial" w:hAnsi="Arial"/>
                <w:sz w:val="22"/>
                <w:szCs w:val="22"/>
              </w:rPr>
              <w:t xml:space="preserve">3) 40% </w:t>
            </w:r>
            <w:r>
              <w:rPr>
                <w:rStyle w:val="8"/>
                <w:rFonts w:cs="Arial" w:ascii="Arial" w:hAnsi="Arial"/>
                <w:b/>
                <w:sz w:val="22"/>
                <w:szCs w:val="22"/>
              </w:rPr>
              <w:t>для размещения объектов общеобразовательного назначения;</w:t>
            </w:r>
          </w:p>
          <w:p>
            <w:pPr>
              <w:pStyle w:val="Style23"/>
              <w:tabs>
                <w:tab w:val="left" w:pos="187" w:leader="none"/>
              </w:tabs>
              <w:ind w:left="23" w:hanging="0"/>
              <w:rPr/>
            </w:pPr>
            <w:r>
              <w:rPr>
                <w:rStyle w:val="79"/>
                <w:rFonts w:cs="Arial" w:ascii="Arial" w:hAnsi="Arial"/>
                <w:sz w:val="22"/>
                <w:szCs w:val="22"/>
              </w:rPr>
              <w:t xml:space="preserve">4) 40% </w:t>
            </w:r>
            <w:r>
              <w:rPr>
                <w:rStyle w:val="8"/>
                <w:rFonts w:cs="Arial" w:ascii="Arial" w:hAnsi="Arial"/>
                <w:b/>
                <w:sz w:val="22"/>
                <w:szCs w:val="22"/>
              </w:rPr>
              <w:t>для размещения объектов здравоохранения;</w:t>
            </w:r>
          </w:p>
          <w:p>
            <w:pPr>
              <w:pStyle w:val="Style23"/>
              <w:tabs>
                <w:tab w:val="left" w:pos="187" w:leader="none"/>
              </w:tabs>
              <w:ind w:left="23" w:hanging="0"/>
              <w:rPr/>
            </w:pPr>
            <w:r>
              <w:rPr>
                <w:rStyle w:val="8"/>
                <w:rFonts w:cs="Arial" w:ascii="Arial" w:hAnsi="Arial"/>
                <w:b/>
                <w:sz w:val="22"/>
                <w:szCs w:val="22"/>
              </w:rPr>
              <w:t>5) 50% для размещения блокированной жилой застройки.</w:t>
            </w:r>
          </w:p>
          <w:p>
            <w:pPr>
              <w:pStyle w:val="Style23"/>
              <w:tabs>
                <w:tab w:val="left" w:pos="187" w:leader="none"/>
              </w:tabs>
              <w:ind w:left="23" w:hanging="0"/>
              <w:rPr>
                <w:rFonts w:ascii="Arial" w:hAnsi="Arial" w:cs="Arial"/>
                <w:b w:val="false"/>
                <w:b w:val="false"/>
                <w:sz w:val="22"/>
                <w:szCs w:val="22"/>
              </w:rPr>
            </w:pPr>
            <w:r>
              <w:rPr>
                <w:rStyle w:val="8"/>
                <w:rFonts w:cs="Arial" w:ascii="Arial" w:hAnsi="Arial"/>
                <w:b/>
                <w:sz w:val="22"/>
                <w:szCs w:val="22"/>
              </w:rPr>
              <w:t>6) 40% для многоквартирного жилого дома</w:t>
            </w:r>
          </w:p>
          <w:p>
            <w:pPr>
              <w:pStyle w:val="Style23"/>
              <w:tabs>
                <w:tab w:val="left" w:pos="207" w:leader="none"/>
              </w:tabs>
              <w:ind w:left="23" w:hanging="0"/>
              <w:rPr/>
            </w:pPr>
            <w:r>
              <w:rPr>
                <w:rStyle w:val="8"/>
                <w:rFonts w:cs="Arial" w:ascii="Arial" w:hAnsi="Arial"/>
                <w:b/>
                <w:sz w:val="22"/>
                <w:szCs w:val="22"/>
              </w:rPr>
              <w:t xml:space="preserve">7) для иных объектов капитального строительства </w:t>
            </w:r>
            <w:r>
              <w:rPr>
                <w:rFonts w:cs="Arial" w:ascii="Arial" w:hAnsi="Arial"/>
                <w:b w:val="false"/>
                <w:sz w:val="22"/>
                <w:szCs w:val="22"/>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5</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pPr>
            <w:r>
              <w:rPr>
                <w:rStyle w:val="8"/>
                <w:rFonts w:cs="Arial" w:ascii="Arial" w:hAnsi="Arial"/>
                <w:b/>
                <w:sz w:val="22"/>
                <w:szCs w:val="22"/>
              </w:rPr>
              <w:t>Условия размещения и (или) максимальные размеры (площадь) отдельных объектов</w:t>
            </w:r>
          </w:p>
        </w:tc>
        <w:tc>
          <w:tcPr>
            <w:tcW w:w="7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ind w:left="23" w:hanging="0"/>
              <w:rPr/>
            </w:pPr>
            <w:r>
              <w:rPr>
                <w:rStyle w:val="8"/>
                <w:rFonts w:cs="Arial" w:ascii="Arial" w:hAnsi="Arial"/>
                <w:b/>
                <w:sz w:val="22"/>
                <w:szCs w:val="22"/>
              </w:rPr>
              <w:t>1) магазин общей площадью не более 150 кв. м;</w:t>
            </w:r>
          </w:p>
          <w:p>
            <w:pPr>
              <w:pStyle w:val="Style23"/>
              <w:ind w:left="23" w:hanging="0"/>
              <w:rPr/>
            </w:pPr>
            <w:r>
              <w:rPr>
                <w:rStyle w:val="8"/>
                <w:rFonts w:cs="Arial" w:ascii="Arial" w:hAnsi="Arial"/>
                <w:b/>
                <w:sz w:val="22"/>
                <w:szCs w:val="22"/>
              </w:rPr>
              <w:t>2) предприятия общественного питания не более 25 мест;</w:t>
            </w:r>
          </w:p>
          <w:p>
            <w:pPr>
              <w:pStyle w:val="Style23"/>
              <w:ind w:left="23" w:hanging="0"/>
              <w:rPr/>
            </w:pPr>
            <w:r>
              <w:rPr>
                <w:rStyle w:val="8"/>
                <w:rFonts w:cs="Arial" w:ascii="Arial" w:hAnsi="Arial"/>
                <w:b/>
                <w:sz w:val="22"/>
                <w:szCs w:val="22"/>
              </w:rPr>
              <w:t>3) культовые здания и сооружения для совершения обрядов вместимостью не более 100 мест;</w:t>
            </w:r>
          </w:p>
          <w:p>
            <w:pPr>
              <w:pStyle w:val="Style23"/>
              <w:ind w:left="23" w:hanging="0"/>
              <w:rPr/>
            </w:pPr>
            <w:r>
              <w:rPr>
                <w:rStyle w:val="8"/>
                <w:rFonts w:cs="Arial" w:ascii="Arial" w:hAnsi="Arial"/>
                <w:b/>
                <w:sz w:val="22"/>
                <w:szCs w:val="22"/>
              </w:rPr>
              <w:t>4) амбулатории, поликлиники не более 100 посещений в смену;</w:t>
            </w:r>
          </w:p>
          <w:p>
            <w:pPr>
              <w:pStyle w:val="Style23"/>
              <w:ind w:left="23" w:hanging="0"/>
              <w:rPr/>
            </w:pPr>
            <w:r>
              <w:rPr>
                <w:rStyle w:val="8"/>
                <w:rFonts w:cs="Arial" w:ascii="Arial" w:hAnsi="Arial"/>
                <w:b/>
                <w:sz w:val="22"/>
                <w:szCs w:val="22"/>
              </w:rPr>
              <w:t>5) автостоянки для хранения легковых автомобилей размещаются в пределах земельного участка индивидуального жилого дома, в пристройке к нему или в отдельной постройке – помещении, предназначенном для хранения или парковки автомобилей, не оборудованном для их ремонта или технического обслуживания;</w:t>
            </w:r>
          </w:p>
          <w:p>
            <w:pPr>
              <w:pStyle w:val="Style23"/>
              <w:ind w:left="23" w:hanging="0"/>
              <w:rPr/>
            </w:pPr>
            <w:r>
              <w:rPr>
                <w:rStyle w:val="8"/>
                <w:rFonts w:cs="Arial" w:ascii="Arial" w:hAnsi="Arial"/>
                <w:b/>
                <w:sz w:val="22"/>
                <w:szCs w:val="22"/>
              </w:rPr>
              <w:t>6) высота помещений хозяйственных построек для содержания скота и птицы должна быть не менее 2,4 м и не более 7 метров;</w:t>
            </w:r>
          </w:p>
          <w:p>
            <w:pPr>
              <w:pStyle w:val="Style23"/>
              <w:ind w:left="23" w:hanging="0"/>
              <w:rPr/>
            </w:pPr>
            <w:r>
              <w:rPr>
                <w:rStyle w:val="8"/>
                <w:rFonts w:cs="Arial" w:ascii="Arial" w:hAnsi="Arial"/>
                <w:b/>
                <w:sz w:val="22"/>
                <w:szCs w:val="22"/>
              </w:rPr>
              <w:t>7) объекты обслуживания жилой застройки не должны превышать 20% от общей площади наземных этажей объектов квартала;</w:t>
            </w:r>
          </w:p>
          <w:p>
            <w:pPr>
              <w:pStyle w:val="Style23"/>
              <w:ind w:left="23" w:hanging="0"/>
              <w:rPr/>
            </w:pPr>
            <w:r>
              <w:rPr>
                <w:rStyle w:val="8"/>
                <w:rFonts w:cs="Arial" w:ascii="Arial" w:hAnsi="Arial"/>
                <w:b/>
                <w:sz w:val="22"/>
                <w:szCs w:val="22"/>
              </w:rPr>
              <w:t>8) не допускается размещение хозяйственных и бытовых построек за линией регулирования застройки или линией главного фасада индивидуального жилого дома, за исключением гаражей для легковых автомобилей</w:t>
            </w:r>
          </w:p>
        </w:tc>
      </w:tr>
    </w:tbl>
    <w:p>
      <w:pPr>
        <w:pStyle w:val="4"/>
        <w:numPr>
          <w:ilvl w:val="3"/>
          <w:numId w:val="1"/>
        </w:numPr>
        <w:spacing w:before="120" w:after="0"/>
        <w:rPr>
          <w:rFonts w:ascii="Arial" w:hAnsi="Arial" w:cs="Arial"/>
          <w:sz w:val="22"/>
          <w:szCs w:val="22"/>
        </w:rPr>
      </w:pPr>
      <w:r>
        <w:rPr>
          <w:rStyle w:val="8"/>
          <w:rFonts w:cs="Arial" w:ascii="Arial" w:hAnsi="Arial"/>
          <w:b/>
          <w:bCs w:val="false"/>
          <w:sz w:val="22"/>
          <w:szCs w:val="22"/>
          <w:u w:val="single"/>
          <w:lang w:val="ru-RU" w:eastAsia="ru-RU"/>
        </w:rPr>
        <w:t xml:space="preserve">Ж-1А. Зона </w:t>
      </w:r>
      <w:r>
        <w:rPr>
          <w:rStyle w:val="8"/>
          <w:rFonts w:cs="Arial" w:ascii="Arial" w:hAnsi="Arial"/>
          <w:b/>
          <w:bCs w:val="false"/>
          <w:sz w:val="22"/>
          <w:szCs w:val="22"/>
          <w:u w:val="single"/>
        </w:rPr>
        <w:t>и</w:t>
      </w:r>
      <w:r>
        <w:rPr>
          <w:rStyle w:val="8"/>
          <w:rFonts w:cs="Arial" w:ascii="Arial" w:hAnsi="Arial"/>
          <w:b/>
          <w:bCs w:val="false"/>
          <w:sz w:val="22"/>
          <w:szCs w:val="22"/>
          <w:u w:val="single"/>
          <w:lang w:val="ru-RU" w:eastAsia="ru-RU"/>
        </w:rPr>
        <w:t xml:space="preserve">ндивидуальной </w:t>
      </w:r>
      <w:r>
        <w:rPr>
          <w:rStyle w:val="8"/>
          <w:rFonts w:cs="Arial" w:ascii="Arial" w:hAnsi="Arial"/>
          <w:b/>
          <w:bCs w:val="false"/>
          <w:sz w:val="22"/>
          <w:szCs w:val="22"/>
          <w:u w:val="single"/>
        </w:rPr>
        <w:t>ж</w:t>
      </w:r>
      <w:r>
        <w:rPr>
          <w:rStyle w:val="8"/>
          <w:rFonts w:cs="Arial" w:ascii="Arial" w:hAnsi="Arial"/>
          <w:b/>
          <w:bCs w:val="false"/>
          <w:sz w:val="22"/>
          <w:szCs w:val="22"/>
          <w:u w:val="single"/>
          <w:lang w:val="ru-RU" w:eastAsia="ru-RU"/>
        </w:rPr>
        <w:t xml:space="preserve">илой </w:t>
      </w:r>
      <w:r>
        <w:rPr>
          <w:rStyle w:val="8"/>
          <w:rFonts w:cs="Arial" w:ascii="Arial" w:hAnsi="Arial"/>
          <w:b/>
          <w:bCs w:val="false"/>
          <w:sz w:val="22"/>
          <w:szCs w:val="22"/>
          <w:u w:val="single"/>
        </w:rPr>
        <w:t>з</w:t>
      </w:r>
      <w:r>
        <w:rPr>
          <w:rStyle w:val="8"/>
          <w:rFonts w:cs="Arial" w:ascii="Arial" w:hAnsi="Arial"/>
          <w:b/>
          <w:bCs w:val="false"/>
          <w:sz w:val="22"/>
          <w:szCs w:val="22"/>
          <w:u w:val="single"/>
          <w:lang w:val="ru-RU" w:eastAsia="ru-RU"/>
        </w:rPr>
        <w:t>астройки проектная</w:t>
      </w:r>
    </w:p>
    <w:p>
      <w:pPr>
        <w:pStyle w:val="Normal"/>
        <w:tabs>
          <w:tab w:val="left" w:pos="-300" w:leader="none"/>
        </w:tabs>
        <w:ind w:right="1" w:hanging="0"/>
        <w:rPr>
          <w:rFonts w:ascii="Arial" w:hAnsi="Arial" w:cs="Arial"/>
          <w:b/>
          <w:b/>
          <w:i/>
          <w:i/>
          <w:sz w:val="22"/>
          <w:szCs w:val="22"/>
        </w:rPr>
      </w:pPr>
      <w:r>
        <w:rPr>
          <w:rFonts w:cs="Arial" w:ascii="Arial" w:hAnsi="Arial"/>
          <w:sz w:val="22"/>
          <w:szCs w:val="22"/>
        </w:rPr>
        <w:t>Зона индивидуальной жилой застройки проектная (Ж-1А)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pPr>
        <w:pStyle w:val="Normal"/>
        <w:tabs>
          <w:tab w:val="left" w:pos="-300" w:leader="none"/>
        </w:tabs>
        <w:ind w:right="1" w:hanging="0"/>
        <w:rPr>
          <w:rFonts w:ascii="Arial" w:hAnsi="Arial" w:cs="Arial"/>
          <w:sz w:val="22"/>
          <w:szCs w:val="22"/>
          <w:u w:val="single"/>
        </w:rPr>
      </w:pPr>
      <w:r>
        <w:rPr>
          <w:rFonts w:cs="Arial" w:ascii="Arial" w:hAnsi="Arial"/>
          <w:sz w:val="22"/>
          <w:szCs w:val="22"/>
          <w:u w:val="single"/>
        </w:rPr>
        <w:t>Для зоны Ж-1А, – действие градостроительных регламентов вступает в силу после утверждения проекта планировки.</w:t>
      </w:r>
    </w:p>
    <w:p>
      <w:pPr>
        <w:pStyle w:val="Iauiue"/>
        <w:ind w:firstLine="709"/>
        <w:jc w:val="both"/>
        <w:rPr/>
      </w:pPr>
      <w:r>
        <w:rPr/>
        <w:t>Виды разрешенного использования земельных участков и объектов капитального строительства:</w:t>
      </w:r>
    </w:p>
    <w:tbl>
      <w:tblPr>
        <w:tblW w:w="1004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1"/>
        <w:gridCol w:w="5414"/>
        <w:gridCol w:w="23"/>
        <w:gridCol w:w="2082"/>
      </w:tblGrid>
      <w:tr>
        <w:trPr>
          <w:tblHeader w:val="true"/>
        </w:trPr>
        <w:tc>
          <w:tcPr>
            <w:tcW w:w="2521"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Наименование вида разрешенного использования земельного участка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Описание вида разрешенного использования земельного участка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Код (числовое обозначение вида разрешенного использования земельного участка)</w:t>
            </w:r>
          </w:p>
        </w:tc>
      </w:tr>
      <w:tr>
        <w:trPr/>
        <w:tc>
          <w:tcPr>
            <w:tcW w:w="1004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Основные виды разрешенного использования</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Для индивидуального жилищного строительства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 xml:space="preserve">Размещение индивидуального жилого дома (дом, пригодный для постоянного проживания, </w:t>
            </w:r>
          </w:p>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высотой не выше трех надземных этажей);</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2.1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Для ведения личного подсобного хозяйства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производство сельскохозяйственной продукции;</w:t>
            </w:r>
          </w:p>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содержание сельскохозяйственных животных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2.2</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Блокированная жилая застройка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2.3</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Амбулаторно-поликлиническое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3.4.1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Дошкольное, начальное и среднее общее образование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3.5.1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Культурное развитие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устройство площадок для празднеств и гуляний;</w:t>
            </w:r>
          </w:p>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зданий и сооружений для размещения цирков, зверинцев, зоопарков, океанариумов</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3.6</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 xml:space="preserve">Магазины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объектов капитального строительства, предназначенных для продажи товаров</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4.4</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Земельные участки (территории) общего пользования</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12.0</w:t>
            </w:r>
          </w:p>
        </w:tc>
      </w:tr>
      <w:tr>
        <w:trPr/>
        <w:tc>
          <w:tcPr>
            <w:tcW w:w="10040"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Условно разрешённые виды разрешенного использования</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Малоэтажная многоквартирная жилая застройка</w:t>
            </w:r>
          </w:p>
        </w:tc>
        <w:tc>
          <w:tcPr>
            <w:tcW w:w="5414"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малоэтажного многоквартирного жилого дома (дом, пригодный для постоянного проживания, высотой до 4 этажей, включая мансардный);</w:t>
            </w:r>
          </w:p>
          <w:p>
            <w:pPr>
              <w:pStyle w:val="ConsPlusNormal1"/>
              <w:ind w:hanging="0"/>
              <w:rPr>
                <w:sz w:val="22"/>
                <w:szCs w:val="22"/>
              </w:rPr>
            </w:pPr>
            <w:r>
              <w:rPr>
                <w:sz w:val="22"/>
                <w:szCs w:val="22"/>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105"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jc w:val="center"/>
              <w:rPr>
                <w:sz w:val="22"/>
                <w:szCs w:val="22"/>
              </w:rPr>
            </w:pPr>
            <w:r>
              <w:rPr>
                <w:sz w:val="22"/>
                <w:szCs w:val="22"/>
              </w:rPr>
              <w:t>2.1.1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Объекты гаражного назначения</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2.7.1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Социальное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pPr>
              <w:pStyle w:val="ConsPlusNormal1"/>
              <w:ind w:hanging="0"/>
              <w:rPr>
                <w:sz w:val="22"/>
                <w:szCs w:val="22"/>
              </w:rPr>
            </w:pPr>
            <w:r>
              <w:rPr>
                <w:sz w:val="22"/>
                <w:szCs w:val="22"/>
              </w:rPr>
              <w:t>размещение объектов капитального строительства для размещения отделений почты и телеграфа;</w:t>
            </w:r>
          </w:p>
          <w:p>
            <w:pPr>
              <w:pStyle w:val="ConsPlusNormal1"/>
              <w:ind w:hanging="0"/>
              <w:rPr>
                <w:sz w:val="22"/>
                <w:szCs w:val="22"/>
              </w:rPr>
            </w:pPr>
            <w:r>
              <w:rPr>
                <w:sz w:val="22"/>
                <w:szCs w:val="22"/>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3.2</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Бытовое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3.3</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Религиозное использование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pPr>
              <w:pStyle w:val="ConsPlusNormal1"/>
              <w:ind w:hanging="0"/>
              <w:rPr>
                <w:sz w:val="22"/>
                <w:szCs w:val="22"/>
              </w:rPr>
            </w:pPr>
            <w:r>
              <w:rPr>
                <w:sz w:val="22"/>
                <w:szCs w:val="22"/>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3.7</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Амбулаторное ветеринарное обслуживание</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оказания ветеринарных услуг без содержания животных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3.10.1</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Магазины</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продажи товаров, торговая площадь которых составляет до 800 кв. м</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4.4</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Банковская и страховая деятельность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предназначенных для размещения организаций, оказывающих банковские и страховые</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4.5</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Общественное питание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4.6</w:t>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 xml:space="preserve">Гостиничное обслуживание </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4.7</w:t>
            </w:r>
          </w:p>
          <w:p>
            <w:pPr>
              <w:pStyle w:val="ConsPlusNormal1"/>
              <w:ind w:hanging="0"/>
              <w:rPr>
                <w:sz w:val="22"/>
                <w:szCs w:val="22"/>
              </w:rPr>
            </w:pPr>
            <w:r>
              <w:rPr>
                <w:sz w:val="22"/>
                <w:szCs w:val="22"/>
              </w:rPr>
            </w:r>
          </w:p>
        </w:tc>
      </w:tr>
      <w:tr>
        <w:trPr/>
        <w:tc>
          <w:tcPr>
            <w:tcW w:w="2521" w:type="dxa"/>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Ведение огородничества</w:t>
            </w:r>
          </w:p>
        </w:tc>
        <w:tc>
          <w:tcPr>
            <w:tcW w:w="5437" w:type="dxa"/>
            <w:gridSpan w:val="2"/>
            <w:tcBorders>
              <w:top w:val="single" w:sz="4" w:space="0" w:color="000000"/>
              <w:left w:val="single" w:sz="4" w:space="0" w:color="000000"/>
              <w:bottom w:val="single" w:sz="4" w:space="0" w:color="000000"/>
              <w:insideH w:val="single" w:sz="4" w:space="0" w:color="000000"/>
            </w:tcBorders>
            <w:shd w:fill="auto" w:val="clear"/>
          </w:tcPr>
          <w:p>
            <w:pPr>
              <w:pStyle w:val="ConsPlusNormal1"/>
              <w:ind w:hanging="0"/>
              <w:rPr>
                <w:sz w:val="22"/>
                <w:szCs w:val="22"/>
              </w:rPr>
            </w:pPr>
            <w:r>
              <w:rPr>
                <w:sz w:val="22"/>
                <w:szCs w:val="22"/>
              </w:rPr>
              <w:t>Осуществление деятельности, связанной с выращиванием ягодных, овощных, бахчевых или иных сельскохозяйственных культур и картофеля;</w:t>
            </w:r>
          </w:p>
          <w:p>
            <w:pPr>
              <w:pStyle w:val="ConsPlusNormal1"/>
              <w:ind w:hanging="0"/>
              <w:rPr>
                <w:sz w:val="22"/>
                <w:szCs w:val="22"/>
              </w:rPr>
            </w:pPr>
            <w:r>
              <w:rPr>
                <w:sz w:val="22"/>
                <w:szCs w:val="22"/>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sz w:val="22"/>
                <w:szCs w:val="22"/>
              </w:rPr>
            </w:pPr>
            <w:r>
              <w:rPr>
                <w:sz w:val="22"/>
                <w:szCs w:val="22"/>
              </w:rPr>
              <w:t>13.1</w:t>
            </w:r>
          </w:p>
        </w:tc>
      </w:tr>
    </w:tbl>
    <w:p>
      <w:pPr>
        <w:pStyle w:val="Normal"/>
        <w:rPr>
          <w:rFonts w:ascii="Arial" w:hAnsi="Arial" w:cs="Arial"/>
          <w:sz w:val="22"/>
          <w:szCs w:val="22"/>
        </w:rPr>
      </w:pPr>
      <w:bookmarkStart w:id="64" w:name="_Hlk482968589"/>
      <w:bookmarkEnd w:id="64"/>
      <w:r>
        <w:rPr>
          <w:rFonts w:cs="Arial" w:ascii="Arial" w:hAnsi="Arial"/>
          <w:sz w:val="22"/>
          <w:szCs w:val="22"/>
        </w:rPr>
        <w:t>Вспомогательные виды разрешённого использования представлены в статье 48 настоящих Правил.</w:t>
      </w:r>
    </w:p>
    <w:p>
      <w:pPr>
        <w:pStyle w:val="Normal"/>
        <w:rPr>
          <w:rFonts w:cs="Arial"/>
        </w:rPr>
      </w:pPr>
      <w:bookmarkStart w:id="65" w:name="_Hlk482968589"/>
      <w:bookmarkEnd w:id="65"/>
      <w:r>
        <w:rPr>
          <w:rFonts w:cs="Arial" w:ascii="Arial" w:hAnsi="Arial"/>
          <w:b/>
          <w:sz w:val="22"/>
          <w:szCs w:val="22"/>
          <w:u w:val="single"/>
        </w:rPr>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w:t>
      </w:r>
    </w:p>
    <w:tbl>
      <w:tblPr>
        <w:tblW w:w="10115"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126"/>
        <w:gridCol w:w="7535"/>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w:t>
            </w:r>
            <w:r>
              <w:rPr>
                <w:rFonts w:eastAsia="Arial" w:cs="Arial" w:ascii="Arial" w:hAnsi="Arial"/>
                <w:color w:val="000000"/>
                <w:sz w:val="22"/>
                <w:szCs w:val="22"/>
                <w:lang w:val="ru-RU" w:eastAsia="ru-RU"/>
              </w:rPr>
              <w:t xml:space="preserve"> </w:t>
            </w:r>
            <w:r>
              <w:rPr>
                <w:rFonts w:cs="Arial" w:ascii="Arial" w:hAnsi="Arial"/>
                <w:color w:val="000000"/>
                <w:sz w:val="22"/>
                <w:szCs w:val="22"/>
                <w:lang w:val="ru-RU" w:eastAsia="ru-RU"/>
              </w:rPr>
              <w:t>п/п</w:t>
            </w:r>
          </w:p>
        </w:tc>
        <w:tc>
          <w:tcPr>
            <w:tcW w:w="2126"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Наименование размера, параметра</w:t>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Значение, единица измерения, дополнительные условия</w:t>
            </w:r>
          </w:p>
        </w:tc>
      </w:tr>
      <w:tr>
        <w:trPr/>
        <w:tc>
          <w:tcPr>
            <w:tcW w:w="10115"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Для объектов капитального строительства</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1</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Минимальные и (или) максимальные размеры земельного участка, в том числе его площадь</w:t>
            </w:r>
          </w:p>
          <w:p>
            <w:pPr>
              <w:pStyle w:val="Style23"/>
              <w:ind w:left="23" w:hanging="0"/>
              <w:rPr>
                <w:rFonts w:ascii="Arial" w:hAnsi="Arial" w:cs="Arial"/>
                <w:b w:val="false"/>
                <w:b w:val="false"/>
                <w:sz w:val="22"/>
                <w:szCs w:val="22"/>
              </w:rPr>
            </w:pPr>
            <w:r>
              <w:rPr>
                <w:rFonts w:cs="Arial" w:ascii="Arial" w:hAnsi="Arial"/>
                <w:b w:val="false"/>
                <w:sz w:val="22"/>
                <w:szCs w:val="22"/>
              </w:rPr>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ConsPlusNormal1"/>
              <w:ind w:hanging="0"/>
              <w:rPr/>
            </w:pPr>
            <w:r>
              <w:rPr>
                <w:rStyle w:val="78"/>
                <w:rFonts w:cs="Arial"/>
                <w:sz w:val="22"/>
                <w:szCs w:val="22"/>
              </w:rPr>
              <w:t>1) минимальная площадь земельного участка для размещения многоквартирного жилого дома, многоквартирного жилого дома со встроенными, пристроенными и встроено-пристроенными помещениями общественного назначения многоквартирного дома – 300 кв.м;</w:t>
            </w:r>
          </w:p>
          <w:p>
            <w:pPr>
              <w:pStyle w:val="Style23"/>
              <w:tabs>
                <w:tab w:val="left" w:pos="-28" w:leader="none"/>
              </w:tabs>
              <w:rPr/>
            </w:pPr>
            <w:r>
              <w:rPr>
                <w:rStyle w:val="78"/>
                <w:rFonts w:cs="Arial" w:ascii="Arial" w:hAnsi="Arial"/>
                <w:b/>
                <w:sz w:val="22"/>
                <w:szCs w:val="22"/>
              </w:rPr>
              <w:t>2) минимальный размер земельного участка для размещения индивидуального жилого дома - 500 кв. м;</w:t>
            </w:r>
          </w:p>
          <w:p>
            <w:pPr>
              <w:pStyle w:val="Style23"/>
              <w:tabs>
                <w:tab w:val="left" w:pos="-28" w:leader="none"/>
              </w:tabs>
              <w:rPr/>
            </w:pPr>
            <w:r>
              <w:rPr>
                <w:rStyle w:val="78"/>
                <w:rFonts w:cs="Arial" w:ascii="Arial" w:hAnsi="Arial"/>
                <w:b/>
                <w:sz w:val="22"/>
                <w:szCs w:val="22"/>
              </w:rPr>
              <w:t>3) максимальный размер земельного участка для размещения индивидуального жилого дома - 2500 кв. м;</w:t>
            </w:r>
          </w:p>
          <w:p>
            <w:pPr>
              <w:pStyle w:val="Style23"/>
              <w:tabs>
                <w:tab w:val="left" w:pos="-28" w:leader="none"/>
              </w:tabs>
              <w:rPr/>
            </w:pPr>
            <w:r>
              <w:rPr>
                <w:rStyle w:val="78"/>
                <w:rFonts w:cs="Arial" w:ascii="Arial" w:hAnsi="Arial"/>
                <w:b/>
                <w:sz w:val="22"/>
                <w:szCs w:val="22"/>
              </w:rPr>
              <w:t>4) минимальный размер приусадебного участка личного подсобного хозяйства - 500 кв. м;</w:t>
            </w:r>
          </w:p>
          <w:p>
            <w:pPr>
              <w:pStyle w:val="Style23"/>
              <w:tabs>
                <w:tab w:val="left" w:pos="-28" w:leader="none"/>
              </w:tabs>
              <w:rPr/>
            </w:pPr>
            <w:r>
              <w:rPr>
                <w:rStyle w:val="78"/>
                <w:rFonts w:cs="Arial" w:ascii="Arial" w:hAnsi="Arial"/>
                <w:b/>
                <w:sz w:val="22"/>
                <w:szCs w:val="22"/>
              </w:rPr>
              <w:t>5) максимальный размер приусадебного участка личного подсобного хозяйства - 3000 кв. м;</w:t>
            </w:r>
          </w:p>
          <w:p>
            <w:pPr>
              <w:pStyle w:val="ConsPlusNormal1"/>
              <w:ind w:hanging="0"/>
              <w:rPr/>
            </w:pPr>
            <w:r>
              <w:rPr>
                <w:rStyle w:val="78"/>
                <w:rFonts w:cs="Arial"/>
                <w:sz w:val="22"/>
                <w:szCs w:val="22"/>
              </w:rPr>
              <w:t>6)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кв.м</w:t>
            </w:r>
          </w:p>
          <w:p>
            <w:pPr>
              <w:pStyle w:val="Style23"/>
              <w:tabs>
                <w:tab w:val="left" w:pos="-28" w:leader="none"/>
              </w:tabs>
              <w:jc w:val="both"/>
              <w:rPr/>
            </w:pPr>
            <w:r>
              <w:rPr>
                <w:rStyle w:val="78"/>
                <w:rFonts w:cs="Arial" w:ascii="Arial" w:hAnsi="Arial"/>
                <w:b/>
                <w:sz w:val="22"/>
                <w:szCs w:val="22"/>
              </w:rPr>
              <w:t>7) минимальный размер земельного участка для объектов дошкольного образования 1600 кв.м;</w:t>
            </w:r>
          </w:p>
          <w:p>
            <w:pPr>
              <w:pStyle w:val="Style23"/>
              <w:tabs>
                <w:tab w:val="left" w:pos="-28" w:leader="none"/>
              </w:tabs>
              <w:rPr/>
            </w:pPr>
            <w:r>
              <w:rPr>
                <w:rStyle w:val="78"/>
                <w:rFonts w:cs="Arial" w:ascii="Arial" w:hAnsi="Arial"/>
                <w:b/>
                <w:sz w:val="22"/>
                <w:szCs w:val="22"/>
              </w:rPr>
              <w:t>8) минимальный размер земельного участка для объектов общеобразовательного назначения 6000 кв.м.;</w:t>
            </w:r>
          </w:p>
          <w:p>
            <w:pPr>
              <w:pStyle w:val="Style23"/>
              <w:tabs>
                <w:tab w:val="left" w:pos="-28" w:leader="none"/>
              </w:tabs>
              <w:rPr/>
            </w:pPr>
            <w:r>
              <w:rPr>
                <w:rStyle w:val="78"/>
                <w:rFonts w:cs="Arial" w:ascii="Arial" w:hAnsi="Arial"/>
                <w:b/>
                <w:sz w:val="22"/>
                <w:szCs w:val="22"/>
              </w:rPr>
              <w:t>9) минимальный размер земельного участка для фельдшерско-акушерского пункта 2000 кв.м</w:t>
            </w:r>
          </w:p>
          <w:p>
            <w:pPr>
              <w:pStyle w:val="Style23"/>
              <w:tabs>
                <w:tab w:val="left" w:pos="-28" w:leader="none"/>
              </w:tabs>
              <w:rPr/>
            </w:pPr>
            <w:r>
              <w:rPr>
                <w:rStyle w:val="78"/>
                <w:rFonts w:cs="Arial" w:ascii="Arial" w:hAnsi="Arial"/>
                <w:b/>
                <w:sz w:val="22"/>
                <w:szCs w:val="22"/>
              </w:rPr>
              <w:t>10) максимальный размер земельного участка хозяйственного строения, сооружения (гаража) не более 100 кв.м</w:t>
            </w:r>
          </w:p>
          <w:p>
            <w:pPr>
              <w:pStyle w:val="Style23"/>
              <w:tabs>
                <w:tab w:val="left" w:pos="-28" w:leader="none"/>
              </w:tabs>
              <w:rPr/>
            </w:pPr>
            <w:r>
              <w:rPr>
                <w:rStyle w:val="78"/>
                <w:rFonts w:cs="Arial" w:ascii="Arial" w:hAnsi="Arial"/>
                <w:b/>
                <w:sz w:val="22"/>
                <w:szCs w:val="22"/>
              </w:rPr>
              <w:t>11) минимальный размер земельного участка для магазина 100 кв.м.;</w:t>
            </w:r>
          </w:p>
          <w:p>
            <w:pPr>
              <w:pStyle w:val="Style23"/>
              <w:tabs>
                <w:tab w:val="left" w:pos="-28" w:leader="none"/>
              </w:tabs>
              <w:rPr/>
            </w:pPr>
            <w:r>
              <w:rPr>
                <w:rStyle w:val="78"/>
                <w:rFonts w:cs="Arial" w:ascii="Arial" w:hAnsi="Arial"/>
                <w:b/>
                <w:sz w:val="22"/>
                <w:szCs w:val="22"/>
              </w:rPr>
              <w:t>12) минимальный размер земельного участка для гостиницы 1000 кв.м.;</w:t>
            </w:r>
          </w:p>
          <w:p>
            <w:pPr>
              <w:pStyle w:val="Style23"/>
              <w:tabs>
                <w:tab w:val="left" w:pos="-28" w:leader="none"/>
              </w:tabs>
              <w:rPr/>
            </w:pPr>
            <w:r>
              <w:rPr>
                <w:rStyle w:val="78"/>
                <w:rFonts w:cs="Arial" w:ascii="Arial" w:hAnsi="Arial"/>
                <w:b/>
                <w:sz w:val="22"/>
                <w:szCs w:val="22"/>
              </w:rPr>
              <w:t>13) минимальный размер земельного участка для объектов общественного питания 560 кв.м.;</w:t>
            </w:r>
          </w:p>
          <w:p>
            <w:pPr>
              <w:pStyle w:val="Style23"/>
              <w:tabs>
                <w:tab w:val="left" w:pos="-28" w:leader="none"/>
              </w:tabs>
              <w:rPr/>
            </w:pPr>
            <w:r>
              <w:rPr>
                <w:rStyle w:val="78"/>
                <w:rFonts w:cs="Arial" w:ascii="Arial" w:hAnsi="Arial"/>
                <w:b/>
                <w:sz w:val="22"/>
                <w:szCs w:val="22"/>
              </w:rPr>
              <w:t>14) минимальный размер земельного участка для объектов спорта 200 кв.м.</w:t>
            </w:r>
          </w:p>
          <w:p>
            <w:pPr>
              <w:pStyle w:val="Style23"/>
              <w:tabs>
                <w:tab w:val="left" w:pos="-28" w:leader="none"/>
              </w:tabs>
              <w:rPr>
                <w:rStyle w:val="78"/>
                <w:rFonts w:ascii="Arial" w:hAnsi="Arial" w:cs="Arial"/>
                <w:b/>
                <w:b/>
                <w:bCs/>
                <w:i/>
                <w:i/>
                <w:sz w:val="22"/>
                <w:szCs w:val="22"/>
              </w:rPr>
            </w:pPr>
            <w:r>
              <w:rPr>
                <w:rStyle w:val="78"/>
                <w:rFonts w:cs="Arial" w:ascii="Arial" w:hAnsi="Arial"/>
                <w:b/>
                <w:sz w:val="22"/>
                <w:szCs w:val="22"/>
              </w:rPr>
              <w:t>15) 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pPr>
            <w:r>
              <w:rPr>
                <w:rFonts w:cs="Arial" w:ascii="Arial" w:hAnsi="Arial"/>
                <w:color w:val="000000"/>
                <w:sz w:val="22"/>
                <w:szCs w:val="22"/>
                <w:lang w:val="ru-RU" w:eastAsia="ru-RU"/>
              </w:rPr>
              <w:t>2</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Минимальный отступ от границ земельных участков до зданий, строений, сооружений</w:t>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17" w:leader="none"/>
              </w:tabs>
              <w:ind w:left="23" w:hanging="0"/>
              <w:rPr/>
            </w:pPr>
            <w:r>
              <w:rPr>
                <w:rStyle w:val="8"/>
                <w:rFonts w:cs="Arial" w:ascii="Arial" w:hAnsi="Arial"/>
                <w:b/>
                <w:sz w:val="22"/>
                <w:szCs w:val="22"/>
              </w:rPr>
              <w:t xml:space="preserve">1) в отношении земельных участков, предназначенных для размещения индивидуальных и блокированных жилых домов, от границ земельного участка до основного строения (стены жилого дома) – </w:t>
            </w:r>
            <w:r>
              <w:rPr>
                <w:rStyle w:val="815"/>
                <w:rFonts w:cs="Arial" w:ascii="Arial" w:hAnsi="Arial"/>
                <w:sz w:val="22"/>
                <w:szCs w:val="22"/>
              </w:rPr>
              <w:t xml:space="preserve">3 </w:t>
            </w:r>
            <w:r>
              <w:rPr>
                <w:rStyle w:val="79"/>
                <w:rFonts w:cs="Arial" w:ascii="Arial" w:hAnsi="Arial"/>
                <w:sz w:val="22"/>
                <w:szCs w:val="22"/>
              </w:rPr>
              <w:t xml:space="preserve">м, </w:t>
            </w:r>
            <w:r>
              <w:rPr>
                <w:rStyle w:val="8"/>
                <w:rFonts w:cs="Arial" w:ascii="Arial" w:hAnsi="Arial"/>
                <w:b/>
                <w:sz w:val="22"/>
                <w:szCs w:val="22"/>
              </w:rPr>
              <w:t xml:space="preserve">до прочих хозяйственных построек, строений, сооружений вспомогательного использования, открытых стоянок </w:t>
            </w:r>
            <w:r>
              <w:rPr>
                <w:rStyle w:val="811"/>
                <w:rFonts w:cs="Arial" w:ascii="Arial" w:hAnsi="Arial"/>
                <w:b/>
                <w:sz w:val="22"/>
                <w:szCs w:val="22"/>
              </w:rPr>
              <w:t xml:space="preserve">– </w:t>
            </w:r>
            <w:r>
              <w:rPr>
                <w:rStyle w:val="815"/>
                <w:rFonts w:cs="Arial" w:ascii="Arial" w:hAnsi="Arial"/>
                <w:sz w:val="22"/>
                <w:szCs w:val="22"/>
              </w:rPr>
              <w:t xml:space="preserve">1 </w:t>
            </w:r>
            <w:r>
              <w:rPr>
                <w:rStyle w:val="79"/>
                <w:rFonts w:cs="Arial" w:ascii="Arial" w:hAnsi="Arial"/>
                <w:sz w:val="22"/>
                <w:szCs w:val="22"/>
              </w:rPr>
              <w:t>м;</w:t>
            </w:r>
          </w:p>
          <w:p>
            <w:pPr>
              <w:pStyle w:val="Style23"/>
              <w:tabs>
                <w:tab w:val="left" w:pos="212" w:leader="none"/>
              </w:tabs>
              <w:ind w:left="23" w:hanging="0"/>
              <w:rPr/>
            </w:pPr>
            <w:r>
              <w:rPr>
                <w:rFonts w:cs="Arial" w:ascii="Arial" w:hAnsi="Arial"/>
                <w:b w:val="false"/>
                <w:sz w:val="22"/>
                <w:szCs w:val="22"/>
                <w:shd w:fill="FFFFFF" w:val="clear"/>
              </w:rPr>
              <w:t xml:space="preserve">Минимальный отступ от </w:t>
            </w:r>
            <w:r>
              <w:rPr>
                <w:rStyle w:val="8"/>
                <w:rFonts w:cs="Arial" w:ascii="Arial" w:hAnsi="Arial"/>
                <w:b/>
                <w:color w:val="000000"/>
                <w:sz w:val="22"/>
                <w:szCs w:val="22"/>
              </w:rPr>
              <w:t>границ земельного участка</w:t>
            </w:r>
            <w:r>
              <w:rPr>
                <w:rFonts w:cs="Arial" w:ascii="Arial" w:hAnsi="Arial"/>
                <w:b w:val="false"/>
                <w:sz w:val="22"/>
                <w:szCs w:val="22"/>
                <w:shd w:fill="FFFFFF" w:val="clear"/>
              </w:rPr>
              <w:t xml:space="preserve"> до зданий строений и сооружений 5 м при осуществлении нового строительства;</w:t>
            </w:r>
          </w:p>
          <w:p>
            <w:pPr>
              <w:pStyle w:val="Style23"/>
              <w:tabs>
                <w:tab w:val="left" w:pos="212" w:leader="none"/>
              </w:tabs>
              <w:ind w:left="23" w:hanging="0"/>
              <w:rPr>
                <w:rFonts w:ascii="Arial" w:hAnsi="Arial" w:eastAsia="Lucida Sans Unicode" w:cs="Arial"/>
                <w:b w:val="false"/>
                <w:b w:val="false"/>
                <w:kern w:val="2"/>
                <w:sz w:val="22"/>
                <w:szCs w:val="22"/>
                <w:lang w:eastAsia="ar-SA"/>
              </w:rPr>
            </w:pPr>
            <w:r>
              <w:rPr>
                <w:rFonts w:eastAsia="Lucida Sans Unicode" w:cs="Arial" w:ascii="Arial" w:hAnsi="Arial"/>
                <w:b w:val="false"/>
                <w:kern w:val="2"/>
                <w:sz w:val="22"/>
                <w:szCs w:val="22"/>
                <w:lang w:eastAsia="ar-SA"/>
              </w:rPr>
              <w:t>3) расстояние между длинными сторонами зданий высотой 2-3 этажа не менее 15 м, высотой 4 этажа – не менее 20 м;</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11"/>
                <w:rFonts w:cs="Arial" w:ascii="Arial" w:hAnsi="Arial"/>
                <w:b/>
                <w:sz w:val="22"/>
                <w:szCs w:val="22"/>
              </w:rPr>
              <w:t>Предельное количество этажей</w:t>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168" w:leader="none"/>
              </w:tabs>
              <w:ind w:left="23" w:hanging="0"/>
              <w:rPr/>
            </w:pPr>
            <w:r>
              <w:rPr>
                <w:rStyle w:val="8"/>
                <w:rFonts w:cs="Arial" w:ascii="Arial" w:hAnsi="Arial"/>
                <w:b/>
                <w:sz w:val="22"/>
                <w:szCs w:val="22"/>
              </w:rPr>
              <w:t xml:space="preserve">1) ) для индивидуального жилого дома – 3 этажа </w:t>
            </w:r>
          </w:p>
          <w:p>
            <w:pPr>
              <w:pStyle w:val="Style23"/>
              <w:tabs>
                <w:tab w:val="left" w:pos="168" w:leader="none"/>
              </w:tabs>
              <w:ind w:left="23" w:hanging="0"/>
              <w:rPr/>
            </w:pPr>
            <w:r>
              <w:rPr>
                <w:rStyle w:val="8"/>
                <w:rFonts w:cs="Arial" w:ascii="Arial" w:hAnsi="Arial"/>
                <w:b/>
                <w:sz w:val="22"/>
                <w:szCs w:val="22"/>
              </w:rPr>
              <w:t>2) для объектов дошкольного образования не более 3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3) для объектов общеобразовательного назначения не более 4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4) для объектов здравоохранения не более 3 этажей, если иное не установлено техническими регламентами;</w:t>
            </w:r>
          </w:p>
          <w:p>
            <w:pPr>
              <w:pStyle w:val="Style23"/>
              <w:tabs>
                <w:tab w:val="left" w:pos="168" w:leader="none"/>
              </w:tabs>
              <w:ind w:left="23" w:hanging="0"/>
              <w:rPr/>
            </w:pPr>
            <w:r>
              <w:rPr>
                <w:rStyle w:val="8"/>
                <w:rFonts w:cs="Arial" w:ascii="Arial" w:hAnsi="Arial"/>
                <w:b/>
                <w:sz w:val="22"/>
                <w:szCs w:val="22"/>
              </w:rPr>
              <w:t>5) для магазинов не более 3 этажей;</w:t>
            </w:r>
          </w:p>
          <w:p>
            <w:pPr>
              <w:pStyle w:val="Style23"/>
              <w:tabs>
                <w:tab w:val="left" w:pos="168" w:leader="none"/>
              </w:tabs>
              <w:ind w:left="23" w:hanging="0"/>
              <w:rPr/>
            </w:pPr>
            <w:r>
              <w:rPr>
                <w:rStyle w:val="8"/>
                <w:rFonts w:cs="Arial" w:ascii="Arial" w:hAnsi="Arial"/>
                <w:b/>
                <w:sz w:val="22"/>
                <w:szCs w:val="22"/>
              </w:rPr>
              <w:t>6) для гостиницы не более 3 этажей;</w:t>
            </w:r>
          </w:p>
          <w:p>
            <w:pPr>
              <w:pStyle w:val="Style23"/>
              <w:tabs>
                <w:tab w:val="left" w:pos="168" w:leader="none"/>
              </w:tabs>
              <w:ind w:left="23" w:hanging="0"/>
              <w:rPr/>
            </w:pPr>
            <w:r>
              <w:rPr>
                <w:rStyle w:val="8"/>
                <w:rFonts w:cs="Arial" w:ascii="Arial" w:hAnsi="Arial"/>
                <w:b/>
                <w:sz w:val="22"/>
                <w:szCs w:val="22"/>
              </w:rPr>
              <w:t>7) для общественного питания не более 2 этажей.</w:t>
            </w:r>
          </w:p>
          <w:p>
            <w:pPr>
              <w:pStyle w:val="Style23"/>
              <w:tabs>
                <w:tab w:val="left" w:pos="168" w:leader="none"/>
              </w:tabs>
              <w:ind w:left="23" w:hanging="0"/>
              <w:rPr>
                <w:rFonts w:ascii="Arial" w:hAnsi="Arial" w:cs="Arial"/>
                <w:b w:val="false"/>
                <w:b w:val="false"/>
                <w:sz w:val="22"/>
                <w:szCs w:val="22"/>
              </w:rPr>
            </w:pPr>
            <w:r>
              <w:rPr>
                <w:rStyle w:val="8"/>
                <w:rFonts w:cs="Arial" w:ascii="Arial" w:hAnsi="Arial"/>
                <w:b/>
                <w:sz w:val="22"/>
                <w:szCs w:val="22"/>
              </w:rPr>
              <w:t>8) для иных объектов капитального строительства предельное количество этажей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4</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Максимальный процент застройки в границах земельного участка</w:t>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1) 20% для размещения индивидуального жилого дома;</w:t>
            </w:r>
          </w:p>
          <w:p>
            <w:pPr>
              <w:pStyle w:val="Style23"/>
              <w:tabs>
                <w:tab w:val="left" w:pos="182" w:leader="none"/>
              </w:tabs>
              <w:ind w:left="23" w:hanging="0"/>
              <w:rPr>
                <w:rFonts w:ascii="Arial" w:hAnsi="Arial" w:cs="Arial"/>
                <w:b w:val="false"/>
                <w:b w:val="false"/>
                <w:sz w:val="22"/>
                <w:szCs w:val="22"/>
              </w:rPr>
            </w:pPr>
            <w:r>
              <w:rPr>
                <w:rStyle w:val="8"/>
                <w:rFonts w:cs="Arial" w:ascii="Arial" w:hAnsi="Arial"/>
                <w:b/>
                <w:sz w:val="22"/>
                <w:szCs w:val="22"/>
              </w:rPr>
              <w:t>2) 30% для размещения объектов дошкольного образования;</w:t>
            </w:r>
          </w:p>
          <w:p>
            <w:pPr>
              <w:pStyle w:val="Style23"/>
              <w:tabs>
                <w:tab w:val="left" w:pos="187" w:leader="none"/>
              </w:tabs>
              <w:ind w:left="23" w:hanging="0"/>
              <w:rPr/>
            </w:pPr>
            <w:r>
              <w:rPr>
                <w:rStyle w:val="79"/>
                <w:rFonts w:cs="Arial" w:ascii="Arial" w:hAnsi="Arial"/>
                <w:sz w:val="22"/>
                <w:szCs w:val="22"/>
              </w:rPr>
              <w:t xml:space="preserve">3) 40% </w:t>
            </w:r>
            <w:r>
              <w:rPr>
                <w:rStyle w:val="8"/>
                <w:rFonts w:cs="Arial" w:ascii="Arial" w:hAnsi="Arial"/>
                <w:b/>
                <w:sz w:val="22"/>
                <w:szCs w:val="22"/>
              </w:rPr>
              <w:t>для размещения объектов общеобразовательного назначения;</w:t>
            </w:r>
          </w:p>
          <w:p>
            <w:pPr>
              <w:pStyle w:val="Style23"/>
              <w:tabs>
                <w:tab w:val="left" w:pos="187" w:leader="none"/>
              </w:tabs>
              <w:ind w:left="23" w:hanging="0"/>
              <w:rPr/>
            </w:pPr>
            <w:r>
              <w:rPr>
                <w:rStyle w:val="79"/>
                <w:rFonts w:cs="Arial" w:ascii="Arial" w:hAnsi="Arial"/>
                <w:sz w:val="22"/>
                <w:szCs w:val="22"/>
              </w:rPr>
              <w:t xml:space="preserve">4) 40% </w:t>
            </w:r>
            <w:r>
              <w:rPr>
                <w:rStyle w:val="8"/>
                <w:rFonts w:cs="Arial" w:ascii="Arial" w:hAnsi="Arial"/>
                <w:b/>
                <w:sz w:val="22"/>
                <w:szCs w:val="22"/>
              </w:rPr>
              <w:t>для размещения объектов здравоохранения;</w:t>
            </w:r>
          </w:p>
          <w:p>
            <w:pPr>
              <w:pStyle w:val="Style23"/>
              <w:tabs>
                <w:tab w:val="left" w:pos="187" w:leader="none"/>
              </w:tabs>
              <w:ind w:left="23" w:hanging="0"/>
              <w:rPr/>
            </w:pPr>
            <w:r>
              <w:rPr>
                <w:rStyle w:val="8"/>
                <w:rFonts w:cs="Arial" w:ascii="Arial" w:hAnsi="Arial"/>
                <w:b/>
                <w:sz w:val="22"/>
                <w:szCs w:val="22"/>
              </w:rPr>
              <w:t>5) 50% для размещения блокированной жилой застройки.</w:t>
            </w:r>
          </w:p>
          <w:p>
            <w:pPr>
              <w:pStyle w:val="Style23"/>
              <w:tabs>
                <w:tab w:val="left" w:pos="187" w:leader="none"/>
              </w:tabs>
              <w:ind w:left="23" w:hanging="0"/>
              <w:rPr>
                <w:rFonts w:ascii="Arial" w:hAnsi="Arial" w:cs="Arial"/>
                <w:b w:val="false"/>
                <w:b w:val="false"/>
                <w:sz w:val="22"/>
                <w:szCs w:val="22"/>
              </w:rPr>
            </w:pPr>
            <w:r>
              <w:rPr>
                <w:rStyle w:val="8"/>
                <w:rFonts w:cs="Arial" w:ascii="Arial" w:hAnsi="Arial"/>
                <w:b/>
                <w:sz w:val="22"/>
                <w:szCs w:val="22"/>
              </w:rPr>
              <w:t>6) 40% для многоквартирного жилого дома</w:t>
            </w:r>
          </w:p>
          <w:p>
            <w:pPr>
              <w:pStyle w:val="Style23"/>
              <w:tabs>
                <w:tab w:val="left" w:pos="207" w:leader="none"/>
              </w:tabs>
              <w:ind w:left="23" w:hanging="0"/>
              <w:rPr/>
            </w:pPr>
            <w:r>
              <w:rPr>
                <w:rStyle w:val="8"/>
                <w:rFonts w:cs="Arial" w:ascii="Arial" w:hAnsi="Arial"/>
                <w:b/>
                <w:sz w:val="22"/>
                <w:szCs w:val="22"/>
              </w:rPr>
              <w:t xml:space="preserve">7) для иных объектов капитального строительства </w:t>
            </w:r>
            <w:r>
              <w:rPr>
                <w:rFonts w:cs="Arial" w:ascii="Arial" w:hAnsi="Arial"/>
                <w:b w:val="false"/>
                <w:sz w:val="22"/>
                <w:szCs w:val="22"/>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5</w:t>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pPr>
            <w:r>
              <w:rPr>
                <w:rStyle w:val="8"/>
                <w:rFonts w:cs="Arial" w:ascii="Arial" w:hAnsi="Arial"/>
                <w:b/>
                <w:sz w:val="22"/>
                <w:szCs w:val="22"/>
              </w:rPr>
              <w:t>Условия размещения и (или) максимальные размеры (площадь) отдельных объектов</w:t>
            </w:r>
          </w:p>
        </w:tc>
        <w:tc>
          <w:tcPr>
            <w:tcW w:w="7535"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ind w:left="23" w:hanging="0"/>
              <w:rPr/>
            </w:pPr>
            <w:r>
              <w:rPr>
                <w:rStyle w:val="8"/>
                <w:rFonts w:cs="Arial" w:ascii="Arial" w:hAnsi="Arial"/>
                <w:b/>
                <w:sz w:val="22"/>
                <w:szCs w:val="22"/>
              </w:rPr>
              <w:t>1) магазин общей площадью не более 150 кв. м;</w:t>
            </w:r>
          </w:p>
          <w:p>
            <w:pPr>
              <w:pStyle w:val="Style23"/>
              <w:ind w:left="23" w:hanging="0"/>
              <w:rPr/>
            </w:pPr>
            <w:r>
              <w:rPr>
                <w:rStyle w:val="8"/>
                <w:rFonts w:cs="Arial" w:ascii="Arial" w:hAnsi="Arial"/>
                <w:b/>
                <w:sz w:val="22"/>
                <w:szCs w:val="22"/>
              </w:rPr>
              <w:t>2) предприятия общественного питания не более 25 мест;</w:t>
            </w:r>
          </w:p>
          <w:p>
            <w:pPr>
              <w:pStyle w:val="Style23"/>
              <w:ind w:left="23" w:hanging="0"/>
              <w:rPr/>
            </w:pPr>
            <w:r>
              <w:rPr>
                <w:rStyle w:val="8"/>
                <w:rFonts w:cs="Arial" w:ascii="Arial" w:hAnsi="Arial"/>
                <w:b/>
                <w:sz w:val="22"/>
                <w:szCs w:val="22"/>
              </w:rPr>
              <w:t>3) культовые здания и сооружения для совершения обрядов вместимостью не более 100 мест;</w:t>
            </w:r>
          </w:p>
          <w:p>
            <w:pPr>
              <w:pStyle w:val="Style23"/>
              <w:ind w:left="23" w:hanging="0"/>
              <w:rPr/>
            </w:pPr>
            <w:r>
              <w:rPr>
                <w:rStyle w:val="8"/>
                <w:rFonts w:cs="Arial" w:ascii="Arial" w:hAnsi="Arial"/>
                <w:b/>
                <w:sz w:val="22"/>
                <w:szCs w:val="22"/>
              </w:rPr>
              <w:t>4) амбулатории, поликлиники не более 100 посещений в смену;</w:t>
            </w:r>
          </w:p>
          <w:p>
            <w:pPr>
              <w:pStyle w:val="Style23"/>
              <w:ind w:left="23" w:hanging="0"/>
              <w:rPr/>
            </w:pPr>
            <w:r>
              <w:rPr>
                <w:rStyle w:val="8"/>
                <w:rFonts w:cs="Arial" w:ascii="Arial" w:hAnsi="Arial"/>
                <w:b/>
                <w:sz w:val="22"/>
                <w:szCs w:val="22"/>
              </w:rPr>
              <w:t>5) автостоянки для хранения легковых автомобилей размещаются в пределах земельного участка индивидуального жилого дома, в пристройке к нему или в отдельной постройке – помещении, предназначенном для хранения или парковки автомобилей, не оборудованном для их ремонта или технического обслуживания;</w:t>
            </w:r>
          </w:p>
          <w:p>
            <w:pPr>
              <w:pStyle w:val="Style23"/>
              <w:ind w:left="23" w:hanging="0"/>
              <w:rPr/>
            </w:pPr>
            <w:r>
              <w:rPr>
                <w:rStyle w:val="8"/>
                <w:rFonts w:cs="Arial" w:ascii="Arial" w:hAnsi="Arial"/>
                <w:b/>
                <w:sz w:val="22"/>
                <w:szCs w:val="22"/>
              </w:rPr>
              <w:t>6) высота помещений хозяйственных построек для содержания скота и птицы должна быть не менее 2,4 м и не более 7 метров;</w:t>
            </w:r>
          </w:p>
          <w:p>
            <w:pPr>
              <w:pStyle w:val="Style23"/>
              <w:ind w:left="23" w:hanging="0"/>
              <w:rPr/>
            </w:pPr>
            <w:r>
              <w:rPr>
                <w:rStyle w:val="8"/>
                <w:rFonts w:cs="Arial" w:ascii="Arial" w:hAnsi="Arial"/>
                <w:b/>
                <w:sz w:val="22"/>
                <w:szCs w:val="22"/>
              </w:rPr>
              <w:t>7) объекты обслуживания жилой застройки не должны превышать 20% от общей площади наземных этажей объектов квартала;</w:t>
            </w:r>
          </w:p>
          <w:p>
            <w:pPr>
              <w:pStyle w:val="Style23"/>
              <w:ind w:left="23" w:hanging="0"/>
              <w:rPr/>
            </w:pPr>
            <w:r>
              <w:rPr>
                <w:rStyle w:val="8"/>
                <w:rFonts w:cs="Arial" w:ascii="Arial" w:hAnsi="Arial"/>
                <w:b/>
                <w:sz w:val="22"/>
                <w:szCs w:val="22"/>
              </w:rPr>
              <w:t>8) не допускается размещение хозяйственных и бытовых построек за линией регулирования застройки или линией главного фасада индивидуального жилого дома, за исключением гаражей для легковых автомобилей</w:t>
            </w:r>
          </w:p>
        </w:tc>
      </w:tr>
    </w:tbl>
    <w:p>
      <w:pPr>
        <w:pStyle w:val="Style23"/>
        <w:tabs>
          <w:tab w:val="left" w:pos="168" w:leader="none"/>
        </w:tabs>
        <w:ind w:left="23" w:hanging="0"/>
        <w:jc w:val="both"/>
        <w:rPr>
          <w:rStyle w:val="8"/>
          <w:rFonts w:ascii="Arial" w:hAnsi="Arial" w:cs="Arial"/>
          <w:b/>
          <w:b/>
          <w:bCs w:val="false"/>
          <w:sz w:val="22"/>
          <w:szCs w:val="22"/>
        </w:rPr>
      </w:pPr>
      <w:r>
        <w:rPr/>
      </w:r>
    </w:p>
    <w:p>
      <w:pPr>
        <w:pStyle w:val="Style23"/>
        <w:tabs>
          <w:tab w:val="left" w:pos="168" w:leader="none"/>
        </w:tabs>
        <w:ind w:left="23" w:hanging="0"/>
        <w:jc w:val="both"/>
        <w:rPr>
          <w:rFonts w:ascii="Arial" w:hAnsi="Arial" w:cs="Arial"/>
          <w:bCs w:val="false"/>
          <w:sz w:val="22"/>
          <w:szCs w:val="22"/>
        </w:rPr>
      </w:pPr>
      <w:r>
        <w:rPr>
          <w:rFonts w:cs="Arial" w:ascii="Arial" w:hAnsi="Arial"/>
          <w:sz w:val="22"/>
          <w:szCs w:val="22"/>
        </w:rPr>
        <w:t xml:space="preserve">14.1 Для зоны Ж-2   </w:t>
      </w:r>
      <w:r>
        <w:rPr>
          <w:rFonts w:cs="Arial" w:ascii="Arial" w:hAnsi="Arial"/>
          <w:sz w:val="22"/>
          <w:szCs w:val="22"/>
          <w:u w:val="single"/>
        </w:rPr>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 позиция «Предельное количество этажей»   </w:t>
      </w:r>
      <w:r>
        <w:rPr>
          <w:rFonts w:cs="Arial" w:ascii="Arial" w:hAnsi="Arial"/>
          <w:sz w:val="22"/>
          <w:szCs w:val="22"/>
        </w:rPr>
        <w:t>дополнить пунктом «1.1.) для индивидуального жилого дома – 3 этажа»</w:t>
      </w:r>
    </w:p>
    <w:p>
      <w:pPr>
        <w:pStyle w:val="Normal"/>
        <w:rPr>
          <w:rFonts w:ascii="Arial" w:hAnsi="Arial" w:cs="Arial"/>
          <w:bCs/>
          <w:sz w:val="22"/>
          <w:szCs w:val="22"/>
        </w:rPr>
      </w:pPr>
      <w:r>
        <w:rPr>
          <w:rFonts w:cs="Arial" w:ascii="Arial" w:hAnsi="Arial"/>
          <w:bCs/>
          <w:sz w:val="22"/>
          <w:szCs w:val="22"/>
        </w:rPr>
      </w:r>
    </w:p>
    <w:p>
      <w:pPr>
        <w:pStyle w:val="Normal"/>
        <w:autoSpaceDE w:val="false"/>
        <w:ind w:firstLine="540"/>
        <w:jc w:val="both"/>
        <w:rPr>
          <w:rFonts w:cs="Arial"/>
        </w:rPr>
      </w:pPr>
      <w:r>
        <w:rPr>
          <w:rFonts w:cs="Arial" w:ascii="Arial" w:hAnsi="Arial"/>
          <w:b/>
          <w:bCs/>
          <w:i/>
          <w:sz w:val="22"/>
          <w:szCs w:val="22"/>
        </w:rPr>
        <w:t xml:space="preserve">15. В статье 42 раздел «О-3. Зона объектов культового назначения» в таблице  «Виды разрешенного использования земельных участков и объектов капитального строительства»  позицию «Основные виды разрешенного использования не установлены»  заменить позицией: </w:t>
      </w:r>
    </w:p>
    <w:tbl>
      <w:tblPr>
        <w:tblW w:w="9581" w:type="dxa"/>
        <w:jc w:val="left"/>
        <w:tblInd w:w="-11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874"/>
        <w:gridCol w:w="5650"/>
        <w:gridCol w:w="2057"/>
      </w:tblGrid>
      <w:tr>
        <w:trPr>
          <w:trHeight w:val="1771" w:hRule="atLeast"/>
        </w:trPr>
        <w:tc>
          <w:tcPr>
            <w:tcW w:w="1874"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jc w:val="both"/>
              <w:rPr>
                <w:rFonts w:ascii="Arial" w:hAnsi="Arial" w:cs="Arial"/>
                <w:b/>
                <w:b/>
                <w:bCs/>
                <w:i/>
                <w:i/>
                <w:sz w:val="22"/>
                <w:szCs w:val="22"/>
              </w:rPr>
            </w:pPr>
            <w:r>
              <w:rPr>
                <w:rFonts w:cs="Arial" w:ascii="Arial" w:hAnsi="Arial"/>
                <w:sz w:val="22"/>
                <w:szCs w:val="22"/>
              </w:rPr>
              <w:t>Земельные участки (территории) общего пользования</w:t>
            </w:r>
          </w:p>
        </w:tc>
        <w:tc>
          <w:tcPr>
            <w:tcW w:w="5650" w:type="dxa"/>
            <w:tcBorders>
              <w:top w:val="single" w:sz="4" w:space="0" w:color="000000"/>
              <w:left w:val="single" w:sz="4" w:space="0" w:color="000000"/>
              <w:bottom w:val="single" w:sz="4" w:space="0" w:color="000000"/>
              <w:insideH w:val="single" w:sz="4" w:space="0" w:color="000000"/>
            </w:tcBorders>
            <w:shd w:fill="auto" w:val="clear"/>
          </w:tcPr>
          <w:p>
            <w:pPr>
              <w:pStyle w:val="Normal"/>
              <w:autoSpaceDE w:val="false"/>
              <w:jc w:val="both"/>
              <w:rPr>
                <w:rFonts w:ascii="Arial" w:hAnsi="Arial" w:cs="Arial"/>
                <w:b/>
                <w:b/>
                <w:bCs/>
                <w:i/>
                <w:i/>
                <w:sz w:val="22"/>
                <w:szCs w:val="22"/>
              </w:rPr>
            </w:pPr>
            <w:r>
              <w:rPr>
                <w:rFonts w:cs="Arial" w:ascii="Arial" w:hAnsi="Arial"/>
                <w:sz w:val="22"/>
                <w:szCs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5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autoSpaceDE w:val="false"/>
              <w:jc w:val="both"/>
              <w:rPr>
                <w:rFonts w:ascii="Arial" w:hAnsi="Arial" w:cs="Arial"/>
                <w:b/>
                <w:b/>
                <w:bCs/>
                <w:i/>
                <w:i/>
                <w:sz w:val="22"/>
                <w:szCs w:val="22"/>
              </w:rPr>
            </w:pPr>
            <w:r>
              <w:rPr>
                <w:rFonts w:cs="Arial" w:ascii="Arial" w:hAnsi="Arial"/>
                <w:sz w:val="22"/>
                <w:szCs w:val="22"/>
              </w:rPr>
              <w:t>12.0</w:t>
            </w:r>
          </w:p>
        </w:tc>
      </w:tr>
    </w:tbl>
    <w:p>
      <w:pPr>
        <w:pStyle w:val="Normal"/>
        <w:ind w:firstLine="567"/>
        <w:jc w:val="both"/>
        <w:rPr>
          <w:rFonts w:ascii="Arial" w:hAnsi="Arial" w:cs="Arial"/>
          <w:sz w:val="22"/>
          <w:szCs w:val="22"/>
        </w:rPr>
      </w:pPr>
      <w:r>
        <w:rPr>
          <w:rFonts w:cs="Arial" w:ascii="Arial" w:hAnsi="Arial"/>
          <w:sz w:val="22"/>
          <w:szCs w:val="22"/>
        </w:rPr>
        <w:t xml:space="preserve">16. В статью 43 Правил для территориальной зоны П-6. Зона размещения объектов коммунального назначения и иных объектов, не имеющих класса опасности  для позиций таблицы Виды разрешенного использования земельных участков и объектов капитального строительства с кодами 4.9, 6.9 добавить абзац (после указанной таблицы)           «Примечание: * - Размещение объектов капитального строительства допускается, если их размещение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  </w:t>
      </w:r>
    </w:p>
    <w:p>
      <w:pPr>
        <w:pStyle w:val="Normal"/>
        <w:ind w:firstLine="567"/>
        <w:rPr>
          <w:rFonts w:ascii="Arial" w:hAnsi="Arial" w:cs="Arial"/>
          <w:sz w:val="22"/>
          <w:szCs w:val="22"/>
        </w:rPr>
      </w:pPr>
      <w:r>
        <w:rPr>
          <w:rFonts w:cs="Arial" w:ascii="Arial" w:hAnsi="Arial"/>
          <w:sz w:val="22"/>
          <w:szCs w:val="22"/>
        </w:rPr>
      </w:r>
    </w:p>
    <w:p>
      <w:pPr>
        <w:pStyle w:val="Normal"/>
        <w:ind w:firstLine="567"/>
        <w:rPr>
          <w:rFonts w:ascii="Arial" w:hAnsi="Arial" w:cs="Arial"/>
          <w:sz w:val="22"/>
          <w:szCs w:val="22"/>
        </w:rPr>
      </w:pPr>
      <w:r>
        <w:rPr>
          <w:rFonts w:cs="Arial" w:ascii="Arial" w:hAnsi="Arial"/>
          <w:sz w:val="22"/>
          <w:szCs w:val="22"/>
        </w:rPr>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17. Статью 46 изложить в следующей редакции:</w:t>
      </w:r>
    </w:p>
    <w:p>
      <w:pPr>
        <w:pStyle w:val="3"/>
        <w:numPr>
          <w:ilvl w:val="2"/>
          <w:numId w:val="1"/>
        </w:numPr>
        <w:spacing w:before="0" w:after="0"/>
        <w:jc w:val="both"/>
        <w:rPr>
          <w:rFonts w:ascii="Arial" w:hAnsi="Arial" w:cs="Arial"/>
          <w:i/>
          <w:i/>
          <w:sz w:val="22"/>
          <w:szCs w:val="22"/>
        </w:rPr>
      </w:pPr>
      <w:r>
        <w:rPr>
          <w:rFonts w:cs="Arial" w:ascii="Arial" w:hAnsi="Arial"/>
          <w:i/>
          <w:sz w:val="22"/>
          <w:szCs w:val="22"/>
        </w:rPr>
        <w:t>«Статья 46. Градостроительные регламенты для зон транспортной инфраструктуры и объектов придорожного сервиса</w:t>
      </w:r>
    </w:p>
    <w:p>
      <w:pPr>
        <w:pStyle w:val="4"/>
        <w:numPr>
          <w:ilvl w:val="3"/>
          <w:numId w:val="1"/>
        </w:numPr>
        <w:spacing w:before="0" w:after="0"/>
        <w:jc w:val="both"/>
        <w:rPr>
          <w:rFonts w:ascii="Arial" w:hAnsi="Arial" w:cs="Arial"/>
          <w:bCs w:val="false"/>
          <w:sz w:val="22"/>
          <w:szCs w:val="22"/>
          <w:u w:val="single"/>
          <w:lang w:val="ru-RU" w:eastAsia="ru-RU"/>
        </w:rPr>
      </w:pPr>
      <w:r>
        <w:rPr>
          <w:rFonts w:cs="Arial" w:ascii="Arial" w:hAnsi="Arial"/>
          <w:sz w:val="22"/>
          <w:szCs w:val="22"/>
          <w:u w:val="single"/>
        </w:rPr>
        <w:t>Т-1. Зона территорий общего пользования</w:t>
      </w:r>
    </w:p>
    <w:p>
      <w:pPr>
        <w:pStyle w:val="Normal"/>
        <w:jc w:val="both"/>
        <w:rPr>
          <w:rFonts w:ascii="Arial" w:hAnsi="Arial" w:cs="Arial"/>
          <w:b/>
          <w:b/>
          <w:i/>
          <w:i/>
          <w:sz w:val="22"/>
          <w:szCs w:val="22"/>
        </w:rPr>
      </w:pPr>
      <w:r>
        <w:rPr>
          <w:rFonts w:cs="Arial" w:ascii="Arial" w:hAnsi="Arial"/>
          <w:sz w:val="22"/>
          <w:szCs w:val="22"/>
          <w:lang w:val="ru-RU" w:eastAsia="ru-RU"/>
        </w:rPr>
        <w:t>Зона территорий общего пользования Т-1 – выделена в границах красных линий для обеспечения правовых условий сохранения и формирования территорий,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r>
        <w:rPr>
          <w:rFonts w:cs="Arial" w:ascii="Arial" w:hAnsi="Arial"/>
          <w:sz w:val="22"/>
          <w:szCs w:val="22"/>
        </w:rPr>
        <w:t>.</w:t>
      </w:r>
    </w:p>
    <w:p>
      <w:pPr>
        <w:pStyle w:val="Normal"/>
        <w:jc w:val="both"/>
        <w:rPr>
          <w:rFonts w:ascii="Arial" w:hAnsi="Arial" w:cs="Arial"/>
          <w:b/>
          <w:b/>
          <w:i/>
          <w:i/>
          <w:sz w:val="22"/>
          <w:szCs w:val="22"/>
        </w:rPr>
      </w:pPr>
      <w:r>
        <w:rPr>
          <w:rFonts w:cs="Arial" w:ascii="Arial" w:hAnsi="Arial"/>
          <w:sz w:val="22"/>
          <w:szCs w:val="22"/>
        </w:rPr>
        <w:t>Использование земельных участков, на которые действие градостроительных регламентов не распространяется, определяется уполномоченными органами власти в соответствии с федеральными законами.</w:t>
      </w:r>
    </w:p>
    <w:p>
      <w:pPr>
        <w:pStyle w:val="Iauiue"/>
        <w:ind w:firstLine="709"/>
        <w:jc w:val="both"/>
        <w:rPr/>
      </w:pPr>
      <w:r>
        <w:rPr/>
        <w:t>Виды разрешенного использования земельных участков и объектов капитального строительства:</w:t>
      </w:r>
    </w:p>
    <w:tbl>
      <w:tblPr>
        <w:tblW w:w="10200"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2522"/>
        <w:gridCol w:w="5438"/>
        <w:gridCol w:w="2240"/>
      </w:tblGrid>
      <w:tr>
        <w:trPr>
          <w:tblHeader w:val="true"/>
        </w:trPr>
        <w:tc>
          <w:tcPr>
            <w:tcW w:w="2522"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rPr>
                <w:rFonts w:ascii="Arial" w:hAnsi="Arial" w:cs="Arial"/>
                <w:b/>
                <w:b/>
                <w:color w:val="000000"/>
                <w:sz w:val="22"/>
                <w:szCs w:val="22"/>
                <w:lang w:val="ru-RU" w:eastAsia="ru-RU"/>
              </w:rPr>
            </w:pPr>
            <w:r>
              <w:rPr>
                <w:rFonts w:cs="Arial" w:ascii="Arial" w:hAnsi="Arial"/>
                <w:b/>
                <w:color w:val="000000"/>
                <w:sz w:val="22"/>
                <w:szCs w:val="22"/>
                <w:lang w:val="ru-RU" w:eastAsia="ru-RU"/>
              </w:rPr>
              <w:t>Наименование вида разрешенного использования земельного участка</w:t>
            </w:r>
          </w:p>
        </w:tc>
        <w:tc>
          <w:tcPr>
            <w:tcW w:w="5438"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rPr>
                <w:rFonts w:ascii="Arial" w:hAnsi="Arial" w:cs="Arial"/>
                <w:b/>
                <w:b/>
                <w:color w:val="000000"/>
                <w:sz w:val="22"/>
                <w:szCs w:val="22"/>
                <w:lang w:val="ru-RU" w:eastAsia="ru-RU"/>
              </w:rPr>
            </w:pPr>
            <w:r>
              <w:rPr>
                <w:rFonts w:cs="Arial" w:ascii="Arial" w:hAnsi="Arial"/>
                <w:b/>
                <w:color w:val="000000"/>
                <w:sz w:val="22"/>
                <w:szCs w:val="22"/>
                <w:lang w:val="ru-RU" w:eastAsia="ru-RU"/>
              </w:rPr>
              <w:t>Описание вида разрешенного использования земельного участка</w:t>
            </w:r>
          </w:p>
        </w:tc>
        <w:tc>
          <w:tcPr>
            <w:tcW w:w="224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rPr>
                <w:rFonts w:ascii="Arial" w:hAnsi="Arial" w:cs="Arial"/>
                <w:b/>
                <w:b/>
                <w:color w:val="000000"/>
                <w:sz w:val="22"/>
                <w:szCs w:val="22"/>
                <w:lang w:val="ru-RU" w:eastAsia="ru-RU"/>
              </w:rPr>
            </w:pPr>
            <w:r>
              <w:rPr>
                <w:rFonts w:cs="Arial" w:ascii="Arial" w:hAnsi="Arial"/>
                <w:b/>
                <w:color w:val="000000"/>
                <w:sz w:val="22"/>
                <w:szCs w:val="22"/>
                <w:lang w:val="ru-RU" w:eastAsia="ru-RU"/>
              </w:rPr>
              <w:t>Код (числовое обозначение вида разрешенного использования земельного участка)</w:t>
            </w:r>
          </w:p>
        </w:tc>
      </w:tr>
      <w:tr>
        <w:trPr/>
        <w:tc>
          <w:tcPr>
            <w:tcW w:w="1020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rPr>
                <w:rFonts w:ascii="Arial" w:hAnsi="Arial" w:cs="Arial"/>
                <w:b/>
                <w:b/>
                <w:color w:val="000000"/>
                <w:sz w:val="22"/>
                <w:szCs w:val="22"/>
                <w:lang w:val="ru-RU" w:eastAsia="ru-RU"/>
              </w:rPr>
            </w:pPr>
            <w:r>
              <w:rPr>
                <w:rFonts w:cs="Arial" w:ascii="Arial" w:hAnsi="Arial"/>
                <w:b/>
                <w:color w:val="000000"/>
                <w:sz w:val="22"/>
                <w:szCs w:val="22"/>
                <w:lang w:val="ru-RU" w:eastAsia="ru-RU"/>
              </w:rPr>
              <w:t>Основные виды разрешенного использования</w:t>
            </w:r>
          </w:p>
        </w:tc>
      </w:tr>
      <w:tr>
        <w:trPr>
          <w:trHeight w:val="2008" w:hRule="atLeast"/>
        </w:trPr>
        <w:tc>
          <w:tcPr>
            <w:tcW w:w="2522"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rFonts w:ascii="Arial" w:hAnsi="Arial" w:cs="Arial"/>
                <w:b/>
                <w:b/>
                <w:i/>
                <w:i/>
                <w:sz w:val="22"/>
                <w:szCs w:val="22"/>
              </w:rPr>
            </w:pPr>
            <w:r>
              <w:rPr>
                <w:rFonts w:cs="Arial" w:ascii="Arial" w:hAnsi="Arial"/>
                <w:sz w:val="22"/>
                <w:szCs w:val="22"/>
              </w:rPr>
              <w:t>Земельные участки (территории) общего пользования</w:t>
            </w:r>
          </w:p>
        </w:tc>
        <w:tc>
          <w:tcPr>
            <w:tcW w:w="5438"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rFonts w:ascii="Arial" w:hAnsi="Arial" w:cs="Arial"/>
                <w:b/>
                <w:b/>
                <w:i/>
                <w:i/>
                <w:sz w:val="22"/>
                <w:szCs w:val="22"/>
              </w:rPr>
            </w:pPr>
            <w:r>
              <w:rPr>
                <w:rFonts w:cs="Arial" w:ascii="Arial" w:hAnsi="Arial"/>
                <w:sz w:val="22"/>
                <w:szCs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240"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rFonts w:ascii="Arial" w:hAnsi="Arial" w:cs="Arial"/>
                <w:b/>
                <w:b/>
                <w:i/>
                <w:i/>
                <w:sz w:val="22"/>
                <w:szCs w:val="22"/>
              </w:rPr>
            </w:pPr>
            <w:r>
              <w:rPr>
                <w:rFonts w:cs="Arial" w:ascii="Arial" w:hAnsi="Arial"/>
                <w:sz w:val="22"/>
                <w:szCs w:val="22"/>
              </w:rPr>
              <w:t>12.0</w:t>
            </w:r>
          </w:p>
        </w:tc>
      </w:tr>
      <w:tr>
        <w:trPr/>
        <w:tc>
          <w:tcPr>
            <w:tcW w:w="1020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rFonts w:ascii="Arial" w:hAnsi="Arial" w:cs="Arial"/>
                <w:i/>
                <w:i/>
                <w:sz w:val="22"/>
                <w:szCs w:val="22"/>
              </w:rPr>
            </w:pPr>
            <w:r>
              <w:rPr>
                <w:rFonts w:cs="Arial" w:ascii="Arial" w:hAnsi="Arial"/>
                <w:sz w:val="22"/>
                <w:szCs w:val="22"/>
              </w:rPr>
              <w:t>Условно разрешённые виды разрешенного использования</w:t>
            </w:r>
          </w:p>
        </w:tc>
      </w:tr>
      <w:tr>
        <w:trPr>
          <w:trHeight w:val="310" w:hRule="atLeast"/>
        </w:trPr>
        <w:tc>
          <w:tcPr>
            <w:tcW w:w="1020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rFonts w:ascii="Arial" w:hAnsi="Arial" w:cs="Arial"/>
                <w:b/>
                <w:b/>
                <w:i/>
                <w:i/>
                <w:sz w:val="22"/>
                <w:szCs w:val="22"/>
              </w:rPr>
            </w:pPr>
            <w:r>
              <w:rPr>
                <w:rFonts w:cs="Arial" w:ascii="Arial" w:hAnsi="Arial"/>
                <w:sz w:val="22"/>
                <w:szCs w:val="22"/>
              </w:rPr>
              <w:t>Условно разрешённые виды разрешенного использования не установлены</w:t>
            </w:r>
          </w:p>
        </w:tc>
      </w:tr>
    </w:tbl>
    <w:p>
      <w:pPr>
        <w:pStyle w:val="4"/>
        <w:numPr>
          <w:ilvl w:val="3"/>
          <w:numId w:val="1"/>
        </w:numPr>
        <w:spacing w:before="0" w:after="0"/>
        <w:rPr>
          <w:rFonts w:ascii="Arial" w:hAnsi="Arial" w:cs="Arial"/>
          <w:sz w:val="22"/>
          <w:szCs w:val="22"/>
          <w:u w:val="single"/>
        </w:rPr>
      </w:pPr>
      <w:r>
        <w:rPr>
          <w:rFonts w:cs="Arial" w:ascii="Arial" w:hAnsi="Arial"/>
          <w:sz w:val="22"/>
          <w:szCs w:val="22"/>
          <w:u w:val="single"/>
        </w:rPr>
      </w:r>
    </w:p>
    <w:p>
      <w:pPr>
        <w:pStyle w:val="4"/>
        <w:numPr>
          <w:ilvl w:val="3"/>
          <w:numId w:val="1"/>
        </w:numPr>
        <w:spacing w:before="0" w:after="0"/>
        <w:jc w:val="both"/>
        <w:rPr>
          <w:rFonts w:ascii="Arial" w:hAnsi="Arial" w:cs="Arial"/>
          <w:sz w:val="22"/>
          <w:szCs w:val="22"/>
          <w:u w:val="single"/>
        </w:rPr>
      </w:pPr>
      <w:r>
        <w:rPr>
          <w:rFonts w:cs="Arial" w:ascii="Arial" w:hAnsi="Arial"/>
          <w:sz w:val="22"/>
          <w:szCs w:val="22"/>
          <w:u w:val="single"/>
        </w:rPr>
      </w:r>
    </w:p>
    <w:p>
      <w:pPr>
        <w:pStyle w:val="4"/>
        <w:numPr>
          <w:ilvl w:val="3"/>
          <w:numId w:val="1"/>
        </w:numPr>
        <w:spacing w:before="0" w:after="0"/>
        <w:jc w:val="both"/>
        <w:rPr>
          <w:rFonts w:ascii="Arial" w:hAnsi="Arial" w:cs="Arial"/>
          <w:bCs w:val="false"/>
          <w:sz w:val="22"/>
          <w:szCs w:val="22"/>
          <w:u w:val="single"/>
          <w:lang w:val="ru-RU" w:eastAsia="ru-RU"/>
        </w:rPr>
      </w:pPr>
      <w:r>
        <w:rPr>
          <w:rFonts w:cs="Arial" w:ascii="Arial" w:hAnsi="Arial"/>
          <w:sz w:val="22"/>
          <w:szCs w:val="22"/>
          <w:u w:val="single"/>
        </w:rPr>
        <w:t>Т-2. Зона автомобильного транспорта и объектов придорожного сервиса</w:t>
      </w:r>
    </w:p>
    <w:p>
      <w:pPr>
        <w:pStyle w:val="Normal"/>
        <w:jc w:val="both"/>
        <w:rPr>
          <w:rFonts w:ascii="Arial" w:hAnsi="Arial" w:cs="Arial"/>
          <w:b/>
          <w:b/>
          <w:bCs/>
          <w:i/>
          <w:i/>
          <w:sz w:val="22"/>
          <w:szCs w:val="22"/>
          <w:lang w:val="ru-RU" w:eastAsia="ru-RU"/>
        </w:rPr>
      </w:pPr>
      <w:r>
        <w:rPr>
          <w:rFonts w:cs="Arial" w:ascii="Arial" w:hAnsi="Arial"/>
          <w:sz w:val="22"/>
          <w:szCs w:val="22"/>
          <w:lang w:val="ru-RU" w:eastAsia="ru-RU"/>
        </w:rPr>
        <w:t>Зона Т-2 предназначена для размещения автомобильных дорог и функционирования сооружений и коммуникаций автомобильного транспорта, также включает территории, подлежащие благоустройству и территории объектов придорожного сервиса.</w:t>
      </w:r>
    </w:p>
    <w:p>
      <w:pPr>
        <w:pStyle w:val="Iauiue"/>
        <w:ind w:firstLine="709"/>
        <w:jc w:val="both"/>
        <w:rPr>
          <w:rFonts w:ascii="Arial" w:hAnsi="Arial" w:cs="Arial"/>
          <w:b/>
          <w:b/>
          <w:bCs/>
          <w:i/>
          <w:i/>
          <w:sz w:val="22"/>
          <w:szCs w:val="22"/>
          <w:lang w:val="ru-RU" w:eastAsia="ru-RU"/>
        </w:rPr>
      </w:pPr>
      <w:r>
        <w:rPr>
          <w:rFonts w:cs="Arial" w:ascii="Arial" w:hAnsi="Arial"/>
          <w:b/>
          <w:bCs/>
          <w:i/>
          <w:sz w:val="22"/>
          <w:szCs w:val="22"/>
          <w:lang w:val="ru-RU" w:eastAsia="ru-RU"/>
        </w:rPr>
      </w:r>
    </w:p>
    <w:p>
      <w:pPr>
        <w:pStyle w:val="Iauiue"/>
        <w:ind w:firstLine="709"/>
        <w:jc w:val="both"/>
        <w:rPr/>
      </w:pPr>
      <w:r>
        <w:rPr/>
        <w:t>Виды разрешенного использования земельных участков и объектов капитального строительства:</w:t>
      </w:r>
    </w:p>
    <w:tbl>
      <w:tblPr>
        <w:tblW w:w="10531"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52" w:type="dxa"/>
          <w:bottom w:w="0" w:type="dxa"/>
          <w:right w:w="57" w:type="dxa"/>
        </w:tblCellMar>
      </w:tblPr>
      <w:tblGrid>
        <w:gridCol w:w="1917"/>
        <w:gridCol w:w="6792"/>
        <w:gridCol w:w="1822"/>
      </w:tblGrid>
      <w:tr>
        <w:trPr>
          <w:tblHeader w:val="true"/>
          <w:trHeight w:val="1562" w:hRule="atLeast"/>
        </w:trPr>
        <w:tc>
          <w:tcPr>
            <w:tcW w:w="1917"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Наименование вида разрешенного использования земельного участка</w:t>
            </w:r>
          </w:p>
        </w:tc>
        <w:tc>
          <w:tcPr>
            <w:tcW w:w="6792"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Описание вида разрешенного использования земельного участка</w:t>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Код (числовое обозначение вида разрешенного использования земельного участка)</w:t>
            </w:r>
          </w:p>
        </w:tc>
      </w:tr>
      <w:tr>
        <w:trPr>
          <w:trHeight w:val="428" w:hRule="atLeast"/>
        </w:trPr>
        <w:tc>
          <w:tcPr>
            <w:tcW w:w="10531"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Основные виды разрешенного использования</w:t>
            </w:r>
          </w:p>
        </w:tc>
      </w:tr>
      <w:tr>
        <w:trPr>
          <w:trHeight w:val="428" w:hRule="atLeast"/>
        </w:trPr>
        <w:tc>
          <w:tcPr>
            <w:tcW w:w="1917"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Коммунальное обслуживание</w:t>
            </w:r>
          </w:p>
        </w:tc>
        <w:tc>
          <w:tcPr>
            <w:tcW w:w="6792"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 </w:t>
            </w:r>
          </w:p>
          <w:p>
            <w:pPr>
              <w:pStyle w:val="Normal"/>
              <w:ind w:hanging="3"/>
              <w:rPr>
                <w:rFonts w:ascii="Arial" w:hAnsi="Arial" w:cs="Arial"/>
                <w:b/>
                <w:b/>
                <w:i/>
                <w:i/>
                <w:sz w:val="22"/>
                <w:szCs w:val="22"/>
              </w:rPr>
            </w:pPr>
            <w:r>
              <w:rPr>
                <w:rFonts w:cs="Arial" w:ascii="Arial" w:hAnsi="Arial"/>
                <w:b/>
                <w:i/>
                <w:sz w:val="22"/>
                <w:szCs w:val="22"/>
              </w:rPr>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ind w:hanging="3"/>
              <w:jc w:val="center"/>
              <w:rPr>
                <w:rFonts w:ascii="Arial" w:hAnsi="Arial" w:cs="Arial"/>
                <w:b/>
                <w:b/>
                <w:i/>
                <w:i/>
                <w:sz w:val="22"/>
                <w:szCs w:val="22"/>
              </w:rPr>
            </w:pPr>
            <w:r>
              <w:rPr>
                <w:rFonts w:cs="Arial" w:ascii="Arial" w:hAnsi="Arial"/>
                <w:sz w:val="22"/>
                <w:szCs w:val="22"/>
              </w:rPr>
              <w:t>3.1</w:t>
            </w:r>
          </w:p>
        </w:tc>
      </w:tr>
      <w:tr>
        <w:trPr>
          <w:trHeight w:val="428" w:hRule="atLeast"/>
        </w:trPr>
        <w:tc>
          <w:tcPr>
            <w:tcW w:w="1917"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Обслуживание автотранспорта</w:t>
            </w:r>
          </w:p>
        </w:tc>
        <w:tc>
          <w:tcPr>
            <w:tcW w:w="6792"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p>
            <w:pPr>
              <w:pStyle w:val="Normal"/>
              <w:ind w:hanging="3"/>
              <w:rPr>
                <w:rFonts w:ascii="Arial" w:hAnsi="Arial" w:cs="Arial"/>
                <w:b/>
                <w:b/>
                <w:i/>
                <w:i/>
                <w:sz w:val="22"/>
                <w:szCs w:val="22"/>
              </w:rPr>
            </w:pPr>
            <w:r>
              <w:rPr>
                <w:rFonts w:cs="Arial" w:ascii="Arial" w:hAnsi="Arial"/>
                <w:b/>
                <w:i/>
                <w:sz w:val="22"/>
                <w:szCs w:val="22"/>
              </w:rPr>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ind w:hanging="3"/>
              <w:jc w:val="center"/>
              <w:rPr>
                <w:rFonts w:ascii="Arial" w:hAnsi="Arial" w:cs="Arial"/>
                <w:b/>
                <w:b/>
                <w:i/>
                <w:i/>
                <w:sz w:val="22"/>
                <w:szCs w:val="22"/>
              </w:rPr>
            </w:pPr>
            <w:r>
              <w:rPr>
                <w:rFonts w:cs="Arial" w:ascii="Arial" w:hAnsi="Arial"/>
                <w:sz w:val="22"/>
                <w:szCs w:val="22"/>
              </w:rPr>
              <w:t>4.9</w:t>
            </w:r>
          </w:p>
        </w:tc>
      </w:tr>
      <w:tr>
        <w:trPr>
          <w:trHeight w:val="428" w:hRule="atLeast"/>
        </w:trPr>
        <w:tc>
          <w:tcPr>
            <w:tcW w:w="1917"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Объекты придорожного сервиса</w:t>
            </w:r>
          </w:p>
        </w:tc>
        <w:tc>
          <w:tcPr>
            <w:tcW w:w="6792"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Размещение автозаправочных станций (бензиновых, газовых);</w:t>
            </w:r>
          </w:p>
          <w:p>
            <w:pPr>
              <w:pStyle w:val="Normal"/>
              <w:ind w:hanging="3"/>
              <w:rPr>
                <w:rFonts w:ascii="Arial" w:hAnsi="Arial" w:cs="Arial"/>
                <w:b/>
                <w:b/>
                <w:i/>
                <w:i/>
                <w:sz w:val="22"/>
                <w:szCs w:val="22"/>
              </w:rPr>
            </w:pPr>
            <w:r>
              <w:rPr>
                <w:rFonts w:cs="Arial" w:ascii="Arial" w:hAnsi="Arial"/>
                <w:sz w:val="22"/>
                <w:szCs w:val="22"/>
              </w:rPr>
              <w:t>размещение магазинов сопутствующей торговли, зданий для организации общественного питания в качестве объектов придорожного сервиса;</w:t>
            </w:r>
          </w:p>
          <w:p>
            <w:pPr>
              <w:pStyle w:val="Normal"/>
              <w:ind w:hanging="3"/>
              <w:rPr>
                <w:rFonts w:ascii="Arial" w:hAnsi="Arial" w:cs="Arial"/>
                <w:b/>
                <w:b/>
                <w:i/>
                <w:i/>
                <w:sz w:val="22"/>
                <w:szCs w:val="22"/>
              </w:rPr>
            </w:pPr>
            <w:r>
              <w:rPr>
                <w:rFonts w:cs="Arial" w:ascii="Arial" w:hAnsi="Arial"/>
                <w:sz w:val="22"/>
                <w:szCs w:val="22"/>
              </w:rPr>
              <w:t>предоставление гостиничных услуг в качестве придорожного сервиса;</w:t>
            </w:r>
          </w:p>
          <w:p>
            <w:pPr>
              <w:pStyle w:val="Normal"/>
              <w:ind w:hanging="3"/>
              <w:rPr>
                <w:rFonts w:ascii="Arial" w:hAnsi="Arial" w:cs="Arial"/>
                <w:b/>
                <w:b/>
                <w:i/>
                <w:i/>
                <w:sz w:val="22"/>
                <w:szCs w:val="22"/>
              </w:rPr>
            </w:pPr>
            <w:r>
              <w:rPr>
                <w:rFonts w:cs="Arial" w:ascii="Arial" w:hAnsi="Arial"/>
                <w:sz w:val="22"/>
                <w:szCs w:val="22"/>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p>
            <w:pPr>
              <w:pStyle w:val="Normal"/>
              <w:ind w:hanging="3"/>
              <w:rPr>
                <w:rFonts w:ascii="Arial" w:hAnsi="Arial" w:cs="Arial"/>
                <w:b/>
                <w:b/>
                <w:i/>
                <w:i/>
                <w:sz w:val="22"/>
                <w:szCs w:val="22"/>
              </w:rPr>
            </w:pPr>
            <w:r>
              <w:rPr>
                <w:rFonts w:cs="Arial" w:ascii="Arial" w:hAnsi="Arial"/>
                <w:b/>
                <w:i/>
                <w:sz w:val="22"/>
                <w:szCs w:val="22"/>
              </w:rPr>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ind w:hanging="3"/>
              <w:jc w:val="center"/>
              <w:rPr>
                <w:rFonts w:ascii="Arial" w:hAnsi="Arial" w:cs="Arial"/>
                <w:b/>
                <w:b/>
                <w:i/>
                <w:i/>
                <w:sz w:val="22"/>
                <w:szCs w:val="22"/>
              </w:rPr>
            </w:pPr>
            <w:r>
              <w:rPr>
                <w:rFonts w:cs="Arial" w:ascii="Arial" w:hAnsi="Arial"/>
                <w:sz w:val="22"/>
                <w:szCs w:val="22"/>
              </w:rPr>
              <w:t>4.9.1</w:t>
            </w:r>
          </w:p>
        </w:tc>
      </w:tr>
      <w:tr>
        <w:trPr>
          <w:trHeight w:val="428" w:hRule="atLeast"/>
        </w:trPr>
        <w:tc>
          <w:tcPr>
            <w:tcW w:w="1917"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Автомобильный транспорт</w:t>
            </w:r>
          </w:p>
        </w:tc>
        <w:tc>
          <w:tcPr>
            <w:tcW w:w="6792"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Размещение автомобильных дорог и технически связанных с ними сооружений;</w:t>
            </w:r>
          </w:p>
          <w:p>
            <w:pPr>
              <w:pStyle w:val="Normal"/>
              <w:ind w:hanging="3"/>
              <w:rPr>
                <w:rFonts w:ascii="Arial" w:hAnsi="Arial" w:cs="Arial"/>
                <w:b/>
                <w:b/>
                <w:i/>
                <w:i/>
                <w:sz w:val="22"/>
                <w:szCs w:val="22"/>
              </w:rPr>
            </w:pPr>
            <w:r>
              <w:rPr>
                <w:rFonts w:cs="Arial" w:ascii="Arial" w:hAnsi="Arial"/>
                <w:sz w:val="22"/>
                <w:szCs w:val="22"/>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pPr>
              <w:pStyle w:val="Normal"/>
              <w:ind w:hanging="3"/>
              <w:rPr>
                <w:rFonts w:ascii="Arial" w:hAnsi="Arial" w:cs="Arial"/>
                <w:b/>
                <w:b/>
                <w:i/>
                <w:i/>
                <w:sz w:val="22"/>
                <w:szCs w:val="22"/>
              </w:rPr>
            </w:pPr>
            <w:r>
              <w:rPr>
                <w:rFonts w:cs="Arial" w:ascii="Arial" w:hAnsi="Arial"/>
                <w:sz w:val="22"/>
                <w:szCs w:val="22"/>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p>
            <w:pPr>
              <w:pStyle w:val="Normal"/>
              <w:ind w:hanging="3"/>
              <w:rPr>
                <w:rFonts w:ascii="Arial" w:hAnsi="Arial" w:cs="Arial"/>
                <w:b/>
                <w:b/>
                <w:i/>
                <w:i/>
                <w:sz w:val="22"/>
                <w:szCs w:val="22"/>
              </w:rPr>
            </w:pPr>
            <w:r>
              <w:rPr>
                <w:rFonts w:cs="Arial" w:ascii="Arial" w:hAnsi="Arial"/>
                <w:b/>
                <w:i/>
                <w:sz w:val="22"/>
                <w:szCs w:val="22"/>
              </w:rPr>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ind w:hanging="3"/>
              <w:jc w:val="center"/>
              <w:rPr>
                <w:rFonts w:ascii="Arial" w:hAnsi="Arial" w:cs="Arial"/>
                <w:b/>
                <w:b/>
                <w:i/>
                <w:i/>
                <w:sz w:val="22"/>
                <w:szCs w:val="22"/>
              </w:rPr>
            </w:pPr>
            <w:r>
              <w:rPr>
                <w:rFonts w:cs="Arial" w:ascii="Arial" w:hAnsi="Arial"/>
                <w:sz w:val="22"/>
                <w:szCs w:val="22"/>
              </w:rPr>
              <w:t>7.2</w:t>
            </w:r>
          </w:p>
        </w:tc>
      </w:tr>
      <w:tr>
        <w:trPr>
          <w:trHeight w:val="428" w:hRule="atLeast"/>
        </w:trPr>
        <w:tc>
          <w:tcPr>
            <w:tcW w:w="1917"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Земельные участки (территории) общего пользования</w:t>
            </w:r>
          </w:p>
        </w:tc>
        <w:tc>
          <w:tcPr>
            <w:tcW w:w="6792" w:type="dxa"/>
            <w:tcBorders>
              <w:top w:val="single" w:sz="4" w:space="0" w:color="000000"/>
              <w:left w:val="single" w:sz="4" w:space="0" w:color="000000"/>
              <w:bottom w:val="single" w:sz="4" w:space="0" w:color="000000"/>
              <w:insideH w:val="single" w:sz="4" w:space="0" w:color="000000"/>
            </w:tcBorders>
            <w:shd w:fill="auto" w:val="clear"/>
          </w:tcPr>
          <w:p>
            <w:pPr>
              <w:pStyle w:val="Normal"/>
              <w:ind w:hanging="3"/>
              <w:rPr>
                <w:rFonts w:ascii="Arial" w:hAnsi="Arial" w:cs="Arial"/>
                <w:b/>
                <w:b/>
                <w:i/>
                <w:i/>
                <w:sz w:val="22"/>
                <w:szCs w:val="22"/>
              </w:rPr>
            </w:pPr>
            <w:r>
              <w:rPr>
                <w:rFonts w:cs="Arial" w:ascii="Arial" w:hAnsi="Arial"/>
                <w:sz w:val="22"/>
                <w:szCs w:val="22"/>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p>
            <w:pPr>
              <w:pStyle w:val="Normal"/>
              <w:ind w:hanging="3"/>
              <w:rPr>
                <w:rFonts w:ascii="Arial" w:hAnsi="Arial" w:cs="Arial"/>
                <w:b/>
                <w:b/>
                <w:i/>
                <w:i/>
                <w:sz w:val="22"/>
                <w:szCs w:val="22"/>
              </w:rPr>
            </w:pPr>
            <w:r>
              <w:rPr>
                <w:rFonts w:cs="Arial" w:ascii="Arial" w:hAnsi="Arial"/>
                <w:b/>
                <w:i/>
                <w:sz w:val="22"/>
                <w:szCs w:val="22"/>
              </w:rPr>
            </w:r>
          </w:p>
        </w:tc>
        <w:tc>
          <w:tcPr>
            <w:tcW w:w="182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ind w:hanging="3"/>
              <w:jc w:val="center"/>
              <w:rPr>
                <w:rFonts w:ascii="Arial" w:hAnsi="Arial" w:cs="Arial"/>
                <w:b/>
                <w:b/>
                <w:i/>
                <w:i/>
                <w:sz w:val="22"/>
                <w:szCs w:val="22"/>
              </w:rPr>
            </w:pPr>
            <w:r>
              <w:rPr>
                <w:rFonts w:cs="Arial" w:ascii="Arial" w:hAnsi="Arial"/>
                <w:sz w:val="22"/>
                <w:szCs w:val="22"/>
              </w:rPr>
              <w:t>12.0</w:t>
            </w:r>
          </w:p>
        </w:tc>
      </w:tr>
      <w:tr>
        <w:trPr/>
        <w:tc>
          <w:tcPr>
            <w:tcW w:w="10531"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34"/>
              <w:numPr>
                <w:ilvl w:val="0"/>
                <w:numId w:val="0"/>
              </w:numPr>
              <w:tabs>
                <w:tab w:val="decimal" w:pos="284" w:leader="none"/>
                <w:tab w:val="left" w:pos="1134" w:leader="none"/>
              </w:tabs>
              <w:ind w:left="0" w:hanging="0"/>
              <w:jc w:val="center"/>
              <w:rPr>
                <w:rFonts w:ascii="Arial" w:hAnsi="Arial" w:cs="Arial"/>
                <w:b/>
                <w:b/>
                <w:color w:val="000000"/>
                <w:sz w:val="22"/>
                <w:szCs w:val="22"/>
                <w:lang w:val="ru-RU" w:eastAsia="ru-RU"/>
              </w:rPr>
            </w:pPr>
            <w:r>
              <w:rPr>
                <w:rFonts w:cs="Arial" w:ascii="Arial" w:hAnsi="Arial"/>
                <w:b/>
                <w:color w:val="000000"/>
                <w:sz w:val="22"/>
                <w:szCs w:val="22"/>
                <w:lang w:val="ru-RU" w:eastAsia="ru-RU"/>
              </w:rPr>
              <w:t>Условно разрешённые виды разрешенного использования</w:t>
            </w:r>
          </w:p>
        </w:tc>
      </w:tr>
      <w:tr>
        <w:trPr/>
        <w:tc>
          <w:tcPr>
            <w:tcW w:w="10531"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rFonts w:ascii="Arial" w:hAnsi="Arial" w:cs="Arial"/>
                <w:b/>
                <w:b/>
                <w:i/>
                <w:i/>
                <w:sz w:val="22"/>
                <w:szCs w:val="22"/>
              </w:rPr>
            </w:pPr>
            <w:r>
              <w:rPr>
                <w:rFonts w:cs="Arial" w:ascii="Arial" w:hAnsi="Arial"/>
                <w:sz w:val="22"/>
                <w:szCs w:val="22"/>
              </w:rPr>
              <w:t>Условно разрешённые виды разрешенного использования не установлены</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t>Вспомогательные виды разрешённого использования представлены в статье 48 настоящих Правил.</w:t>
      </w:r>
    </w:p>
    <w:p>
      <w:pPr>
        <w:pStyle w:val="Iauiue"/>
        <w:spacing w:before="240" w:after="0"/>
        <w:ind w:firstLine="709"/>
        <w:jc w:val="both"/>
        <w:rPr/>
      </w:pPr>
      <w:r>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54"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23" w:type="dxa"/>
          <w:bottom w:w="0" w:type="dxa"/>
          <w:right w:w="28" w:type="dxa"/>
        </w:tblCellMar>
      </w:tblPr>
      <w:tblGrid>
        <w:gridCol w:w="454"/>
        <w:gridCol w:w="2918"/>
        <w:gridCol w:w="6782"/>
      </w:tblGrid>
      <w:tr>
        <w:trPr>
          <w:tblHeader w:val="true"/>
        </w:trPr>
        <w:tc>
          <w:tcPr>
            <w:tcW w:w="454"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w:t>
            </w:r>
            <w:r>
              <w:rPr>
                <w:rFonts w:eastAsia="Arial" w:cs="Arial" w:ascii="Arial" w:hAnsi="Arial"/>
                <w:color w:val="000000"/>
                <w:sz w:val="22"/>
                <w:szCs w:val="22"/>
                <w:lang w:val="ru-RU" w:eastAsia="ru-RU"/>
              </w:rPr>
              <w:t xml:space="preserve"> </w:t>
            </w:r>
            <w:r>
              <w:rPr>
                <w:rFonts w:cs="Arial" w:ascii="Arial" w:hAnsi="Arial"/>
                <w:color w:val="000000"/>
                <w:sz w:val="22"/>
                <w:szCs w:val="22"/>
                <w:lang w:val="ru-RU" w:eastAsia="ru-RU"/>
              </w:rPr>
              <w:t>п/п</w:t>
            </w:r>
          </w:p>
        </w:tc>
        <w:tc>
          <w:tcPr>
            <w:tcW w:w="2918" w:type="dxa"/>
            <w:tcBorders>
              <w:top w:val="single" w:sz="4" w:space="0" w:color="000000"/>
              <w:left w:val="single" w:sz="4" w:space="0" w:color="000000"/>
              <w:bottom w:val="single" w:sz="4" w:space="0" w:color="000000"/>
              <w:insideH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Наименование размера, параметра</w:t>
            </w:r>
          </w:p>
        </w:tc>
        <w:tc>
          <w:tcPr>
            <w:tcW w:w="67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Style34"/>
              <w:numPr>
                <w:ilvl w:val="0"/>
                <w:numId w:val="0"/>
              </w:numPr>
              <w:tabs>
                <w:tab w:val="decimal" w:pos="284" w:leader="none"/>
                <w:tab w:val="left" w:pos="1134" w:leader="none"/>
              </w:tabs>
              <w:ind w:left="0" w:hanging="0"/>
              <w:jc w:val="center"/>
              <w:rPr>
                <w:rFonts w:ascii="Arial" w:hAnsi="Arial" w:cs="Arial"/>
                <w:color w:val="000000"/>
                <w:sz w:val="22"/>
                <w:szCs w:val="22"/>
                <w:lang w:val="ru-RU" w:eastAsia="ru-RU"/>
              </w:rPr>
            </w:pPr>
            <w:r>
              <w:rPr>
                <w:rFonts w:cs="Arial" w:ascii="Arial" w:hAnsi="Arial"/>
                <w:color w:val="000000"/>
                <w:sz w:val="22"/>
                <w:szCs w:val="22"/>
                <w:lang w:val="ru-RU" w:eastAsia="ru-RU"/>
              </w:rPr>
              <w:t>Значение, единица измерения, дополнительные условия</w:t>
            </w:r>
          </w:p>
        </w:tc>
      </w:tr>
      <w:tr>
        <w:trPr>
          <w:trHeight w:val="589" w:hRule="atLeast"/>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1</w:t>
            </w:r>
          </w:p>
        </w:tc>
        <w:tc>
          <w:tcPr>
            <w:tcW w:w="2918"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Минимальные и (или) максимальные размеры земельного участка, в том числе его площадь</w:t>
            </w:r>
          </w:p>
        </w:tc>
        <w:tc>
          <w:tcPr>
            <w:tcW w:w="67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8" w:leader="none"/>
              </w:tabs>
              <w:rPr>
                <w:rFonts w:ascii="Arial" w:hAnsi="Arial" w:cs="Arial"/>
                <w:b w:val="false"/>
                <w:b w:val="false"/>
                <w:sz w:val="22"/>
                <w:szCs w:val="22"/>
              </w:rPr>
            </w:pPr>
            <w:r>
              <w:rPr>
                <w:rStyle w:val="8"/>
                <w:rFonts w:cs="Arial" w:ascii="Arial" w:hAnsi="Arial"/>
                <w:b/>
                <w:sz w:val="22"/>
                <w:szCs w:val="22"/>
              </w:rPr>
              <w:t xml:space="preserve">1) </w:t>
            </w:r>
            <w:r>
              <w:rPr>
                <w:rStyle w:val="79"/>
                <w:rFonts w:cs="Arial" w:ascii="Arial" w:hAnsi="Arial"/>
                <w:sz w:val="22"/>
                <w:szCs w:val="22"/>
              </w:rPr>
              <w:t>максимальный размер земельного участка хозяйственного строения, сооружения (гаража) не более 100 кв.м</w:t>
            </w:r>
          </w:p>
          <w:p>
            <w:pPr>
              <w:pStyle w:val="Style23"/>
              <w:tabs>
                <w:tab w:val="left" w:pos="236" w:leader="none"/>
              </w:tabs>
              <w:rPr/>
            </w:pPr>
            <w:r>
              <w:rPr>
                <w:rStyle w:val="8"/>
                <w:rFonts w:cs="Arial" w:ascii="Arial" w:hAnsi="Arial"/>
                <w:b/>
                <w:sz w:val="22"/>
                <w:szCs w:val="22"/>
              </w:rPr>
              <w:t xml:space="preserve">2) </w:t>
            </w:r>
            <w:r>
              <w:rPr>
                <w:rFonts w:cs="Arial" w:ascii="Arial" w:hAnsi="Arial"/>
                <w:b w:val="false"/>
                <w:sz w:val="22"/>
                <w:szCs w:val="22"/>
              </w:rPr>
              <w:t>максимальный и минимальный размер земельного участка для иных объектов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2</w:t>
            </w:r>
          </w:p>
        </w:tc>
        <w:tc>
          <w:tcPr>
            <w:tcW w:w="2918"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Минимальный отступ от границ земельных участков до зданий, строений, сооружений</w:t>
            </w:r>
          </w:p>
        </w:tc>
        <w:tc>
          <w:tcPr>
            <w:tcW w:w="67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12" w:leader="none"/>
              </w:tabs>
              <w:ind w:left="23" w:hanging="0"/>
              <w:rPr>
                <w:rFonts w:ascii="Arial" w:hAnsi="Arial" w:cs="Arial"/>
                <w:b w:val="false"/>
                <w:b w:val="false"/>
                <w:sz w:val="22"/>
                <w:szCs w:val="22"/>
              </w:rPr>
            </w:pPr>
            <w:r>
              <w:rPr>
                <w:rFonts w:cs="Arial" w:ascii="Arial" w:hAnsi="Arial"/>
                <w:b w:val="false"/>
                <w:sz w:val="22"/>
                <w:szCs w:val="22"/>
                <w:highlight w:val="white"/>
              </w:rPr>
              <w:t>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3</w:t>
            </w:r>
          </w:p>
        </w:tc>
        <w:tc>
          <w:tcPr>
            <w:tcW w:w="2918"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11"/>
                <w:rFonts w:cs="Arial" w:ascii="Arial" w:hAnsi="Arial"/>
                <w:b/>
                <w:sz w:val="22"/>
                <w:szCs w:val="22"/>
              </w:rPr>
              <w:t>Предельное количество этажей</w:t>
            </w:r>
          </w:p>
        </w:tc>
        <w:tc>
          <w:tcPr>
            <w:tcW w:w="67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212" w:leader="none"/>
              </w:tabs>
              <w:ind w:left="23" w:hanging="0"/>
              <w:rPr/>
            </w:pPr>
            <w:r>
              <w:rPr>
                <w:rStyle w:val="8"/>
                <w:rFonts w:cs="Arial" w:ascii="Arial" w:hAnsi="Arial"/>
                <w:b/>
                <w:sz w:val="22"/>
                <w:szCs w:val="22"/>
              </w:rPr>
              <w:t>1) для объектов придорожного сервиса, коммунального обслуживания и объектов обслуживания автотранспорта 2 этажа</w:t>
            </w:r>
          </w:p>
          <w:p>
            <w:pPr>
              <w:pStyle w:val="Style23"/>
              <w:tabs>
                <w:tab w:val="left" w:pos="212" w:leader="none"/>
              </w:tabs>
              <w:ind w:left="23" w:hanging="0"/>
              <w:rPr/>
            </w:pPr>
            <w:r>
              <w:rPr>
                <w:rFonts w:cs="Arial" w:ascii="Arial" w:hAnsi="Arial"/>
                <w:b w:val="false"/>
                <w:sz w:val="22"/>
                <w:szCs w:val="22"/>
              </w:rPr>
              <w:t>2) для иных объектов капитального строительства предельное количество этажей не подлежит установлению</w:t>
            </w:r>
          </w:p>
        </w:tc>
      </w:tr>
      <w:tr>
        <w:trPr/>
        <w:tc>
          <w:tcPr>
            <w:tcW w:w="454" w:type="dxa"/>
            <w:tcBorders>
              <w:top w:val="single" w:sz="4" w:space="0" w:color="000000"/>
              <w:left w:val="single" w:sz="4" w:space="0" w:color="000000"/>
              <w:bottom w:val="single" w:sz="4" w:space="0" w:color="000000"/>
              <w:insideH w:val="single" w:sz="4" w:space="0" w:color="000000"/>
            </w:tcBorders>
            <w:shd w:fill="auto" w:val="clear"/>
          </w:tcPr>
          <w:p>
            <w:pPr>
              <w:pStyle w:val="Style34"/>
              <w:numPr>
                <w:ilvl w:val="0"/>
                <w:numId w:val="0"/>
              </w:numPr>
              <w:tabs>
                <w:tab w:val="decimal" w:pos="284" w:leader="none"/>
                <w:tab w:val="left" w:pos="1134" w:leader="none"/>
              </w:tabs>
              <w:ind w:left="0" w:hanging="0"/>
              <w:rPr>
                <w:rFonts w:ascii="Arial" w:hAnsi="Arial" w:cs="Arial"/>
                <w:color w:val="000000"/>
                <w:sz w:val="22"/>
                <w:szCs w:val="22"/>
                <w:lang w:val="ru-RU" w:eastAsia="ru-RU"/>
              </w:rPr>
            </w:pPr>
            <w:r>
              <w:rPr>
                <w:rFonts w:cs="Arial" w:ascii="Arial" w:hAnsi="Arial"/>
                <w:color w:val="000000"/>
                <w:sz w:val="22"/>
                <w:szCs w:val="22"/>
                <w:lang w:val="ru-RU" w:eastAsia="ru-RU"/>
              </w:rPr>
              <w:t>4</w:t>
            </w:r>
          </w:p>
        </w:tc>
        <w:tc>
          <w:tcPr>
            <w:tcW w:w="2918" w:type="dxa"/>
            <w:tcBorders>
              <w:top w:val="single" w:sz="4" w:space="0" w:color="000000"/>
              <w:left w:val="single" w:sz="4" w:space="0" w:color="000000"/>
              <w:bottom w:val="single" w:sz="4" w:space="0" w:color="000000"/>
              <w:insideH w:val="single" w:sz="4" w:space="0" w:color="000000"/>
            </w:tcBorders>
            <w:shd w:fill="auto" w:val="clear"/>
          </w:tcPr>
          <w:p>
            <w:pPr>
              <w:pStyle w:val="Style23"/>
              <w:ind w:left="23" w:hanging="0"/>
              <w:rPr>
                <w:rFonts w:ascii="Arial" w:hAnsi="Arial" w:cs="Arial"/>
                <w:b w:val="false"/>
                <w:b w:val="false"/>
                <w:sz w:val="22"/>
                <w:szCs w:val="22"/>
              </w:rPr>
            </w:pPr>
            <w:r>
              <w:rPr>
                <w:rStyle w:val="8"/>
                <w:rFonts w:cs="Arial" w:ascii="Arial" w:hAnsi="Arial"/>
                <w:b/>
                <w:sz w:val="22"/>
                <w:szCs w:val="22"/>
              </w:rPr>
              <w:t>Максимальный процент застройки в границах земельного участка</w:t>
            </w:r>
          </w:p>
        </w:tc>
        <w:tc>
          <w:tcPr>
            <w:tcW w:w="678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Style23"/>
              <w:tabs>
                <w:tab w:val="left" w:pos="187" w:leader="none"/>
              </w:tabs>
              <w:ind w:left="23" w:hanging="0"/>
              <w:rPr>
                <w:rFonts w:ascii="Arial" w:hAnsi="Arial" w:cs="Arial"/>
                <w:b w:val="false"/>
                <w:b w:val="false"/>
                <w:sz w:val="22"/>
                <w:szCs w:val="22"/>
              </w:rPr>
            </w:pPr>
            <w:r>
              <w:rPr>
                <w:rStyle w:val="8"/>
                <w:rFonts w:cs="Arial" w:ascii="Arial" w:hAnsi="Arial"/>
                <w:b/>
                <w:sz w:val="22"/>
                <w:szCs w:val="22"/>
              </w:rPr>
              <w:t>1) не более 80%</w:t>
            </w:r>
          </w:p>
        </w:tc>
      </w:tr>
    </w:tbl>
    <w:p>
      <w:pPr>
        <w:pStyle w:val="Normal"/>
        <w:ind w:firstLine="567"/>
        <w:jc w:val="both"/>
        <w:rPr>
          <w:rFonts w:ascii="Arial" w:hAnsi="Arial" w:cs="Arial"/>
          <w:b/>
          <w:b/>
          <w:i/>
          <w:i/>
          <w:sz w:val="22"/>
          <w:szCs w:val="22"/>
        </w:rPr>
      </w:pPr>
      <w:r>
        <w:rPr>
          <w:rFonts w:cs="Arial" w:ascii="Arial" w:hAnsi="Arial"/>
          <w:sz w:val="22"/>
          <w:szCs w:val="22"/>
        </w:rPr>
        <w:t>Действие градостроительного регламента не распространяется на земельные участки в границах территорий общего пользования и предназначенные для размещения линейных объектов и (или) занятые линейными объектами.».</w:t>
      </w:r>
    </w:p>
    <w:p>
      <w:pPr>
        <w:pStyle w:val="Normal"/>
        <w:jc w:val="both"/>
        <w:rPr>
          <w:rFonts w:ascii="Arial" w:hAnsi="Arial" w:cs="Arial"/>
          <w:b/>
          <w:b/>
          <w:i/>
          <w:i/>
          <w:sz w:val="22"/>
          <w:szCs w:val="22"/>
        </w:rPr>
      </w:pPr>
      <w:r>
        <w:rPr>
          <w:rFonts w:cs="Arial" w:ascii="Arial" w:hAnsi="Arial"/>
          <w:b/>
          <w:i/>
          <w:sz w:val="22"/>
          <w:szCs w:val="22"/>
        </w:rPr>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17. Статью 47 исключить.</w:t>
      </w:r>
    </w:p>
    <w:p>
      <w:pPr>
        <w:pStyle w:val="Normal"/>
        <w:tabs>
          <w:tab w:val="left" w:pos="-300" w:leader="none"/>
        </w:tabs>
        <w:ind w:right="1" w:hanging="0"/>
        <w:jc w:val="both"/>
        <w:rPr>
          <w:rFonts w:ascii="Arial" w:hAnsi="Arial" w:cs="Arial"/>
          <w:b/>
          <w:b/>
          <w:i/>
          <w:i/>
          <w:sz w:val="22"/>
          <w:szCs w:val="22"/>
        </w:rPr>
      </w:pPr>
      <w:r>
        <w:rPr>
          <w:rFonts w:cs="Arial" w:ascii="Arial" w:hAnsi="Arial"/>
          <w:b/>
          <w:i/>
          <w:sz w:val="22"/>
          <w:szCs w:val="22"/>
        </w:rPr>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18. В нумерации статей цифры «45, 46,47,48, 49» заменить цифрами «44, 45, 46, 47, 48».</w:t>
      </w:r>
    </w:p>
    <w:p>
      <w:pPr>
        <w:pStyle w:val="Normal"/>
        <w:tabs>
          <w:tab w:val="left" w:pos="-300" w:leader="none"/>
        </w:tabs>
        <w:ind w:right="1" w:hanging="0"/>
        <w:jc w:val="both"/>
        <w:rPr>
          <w:rFonts w:ascii="Arial" w:hAnsi="Arial" w:cs="Arial"/>
          <w:b/>
          <w:b/>
          <w:i/>
          <w:i/>
          <w:sz w:val="22"/>
          <w:szCs w:val="22"/>
        </w:rPr>
      </w:pPr>
      <w:r>
        <w:rPr>
          <w:rFonts w:cs="Arial" w:ascii="Arial" w:hAnsi="Arial"/>
          <w:b/>
          <w:i/>
          <w:sz w:val="22"/>
          <w:szCs w:val="22"/>
        </w:rPr>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19. На картах градостроительного зонирования:</w:t>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 из условных обозначений исключить строку: «Территории,  действия градостроительного регламента на которые не распространяется»;</w:t>
      </w:r>
    </w:p>
    <w:p>
      <w:pPr>
        <w:pStyle w:val="Normal"/>
        <w:tabs>
          <w:tab w:val="left" w:pos="-300" w:leader="none"/>
        </w:tabs>
        <w:ind w:right="1" w:hanging="0"/>
        <w:jc w:val="both"/>
        <w:rPr>
          <w:rFonts w:ascii="Arial" w:hAnsi="Arial" w:cs="Arial"/>
          <w:b/>
          <w:b/>
          <w:i/>
          <w:i/>
          <w:sz w:val="22"/>
          <w:szCs w:val="22"/>
        </w:rPr>
      </w:pPr>
      <w:r>
        <w:rPr>
          <w:rFonts w:cs="Arial" w:ascii="Arial" w:hAnsi="Arial"/>
          <w:sz w:val="22"/>
          <w:szCs w:val="22"/>
        </w:rPr>
        <w:t>- обозначение территориальной зоны «Зона территорий общего пользования» отнести к разделу: «Зона транспортной инфраструктуры и объектов придорожного сервиса»</w:t>
      </w:r>
    </w:p>
    <w:p>
      <w:pPr>
        <w:pStyle w:val="Normal"/>
        <w:tabs>
          <w:tab w:val="left" w:pos="-300" w:leader="none"/>
        </w:tabs>
        <w:ind w:right="1" w:hanging="0"/>
        <w:jc w:val="both"/>
        <w:rPr>
          <w:rFonts w:ascii="Arial" w:hAnsi="Arial" w:cs="Arial"/>
          <w:b/>
          <w:b/>
          <w:i/>
          <w:i/>
          <w:sz w:val="22"/>
          <w:szCs w:val="22"/>
        </w:rPr>
      </w:pPr>
      <w:r>
        <w:rPr>
          <w:rFonts w:cs="Arial" w:ascii="Arial" w:hAnsi="Arial"/>
          <w:b/>
          <w:i/>
          <w:sz w:val="22"/>
          <w:szCs w:val="22"/>
        </w:rPr>
      </w:r>
    </w:p>
    <w:p>
      <w:pPr>
        <w:pStyle w:val="Normal"/>
        <w:tabs>
          <w:tab w:val="left" w:pos="-300" w:leader="none"/>
        </w:tabs>
        <w:ind w:right="1" w:hanging="0"/>
        <w:jc w:val="both"/>
        <w:rPr>
          <w:rFonts w:ascii="Arial" w:hAnsi="Arial" w:cs="Arial"/>
          <w:sz w:val="22"/>
          <w:szCs w:val="22"/>
        </w:rPr>
      </w:pPr>
      <w:r>
        <w:rPr>
          <w:rFonts w:cs="Arial" w:ascii="Arial" w:hAnsi="Arial"/>
          <w:sz w:val="22"/>
          <w:szCs w:val="22"/>
        </w:rPr>
        <w:t>20. Правила дополнить «Картой градостроительного зонирования территории населенного пункта д.Большой Рейчваж»</w:t>
      </w:r>
    </w:p>
    <w:p>
      <w:pPr>
        <w:pStyle w:val="Style23"/>
        <w:ind w:left="900" w:hanging="0"/>
        <w:jc w:val="both"/>
        <w:rPr>
          <w:rFonts w:ascii="Arial" w:hAnsi="Arial" w:cs="Arial"/>
          <w:b w:val="false"/>
          <w:b w:val="false"/>
          <w:sz w:val="22"/>
          <w:szCs w:val="22"/>
        </w:rPr>
      </w:pPr>
      <w:r>
        <w:rPr>
          <w:rFonts w:cs="Arial" w:ascii="Arial" w:hAnsi="Arial"/>
          <w:b w:val="false"/>
          <w:sz w:val="22"/>
          <w:szCs w:val="22"/>
        </w:rPr>
      </w:r>
    </w:p>
    <w:p>
      <w:pPr>
        <w:pStyle w:val="Normal"/>
        <w:autoSpaceDE w:val="false"/>
        <w:ind w:left="540" w:hanging="0"/>
        <w:jc w:val="center"/>
        <w:rPr>
          <w:rFonts w:ascii="Arial" w:hAnsi="Arial" w:cs="Arial"/>
          <w:b/>
          <w:b/>
          <w:bCs/>
          <w:sz w:val="24"/>
          <w:szCs w:val="24"/>
        </w:rPr>
      </w:pPr>
      <w:r>
        <w:rPr>
          <w:rFonts w:cs="Arial" w:ascii="Arial" w:hAnsi="Arial"/>
          <w:b/>
          <w:bCs/>
          <w:sz w:val="24"/>
          <w:szCs w:val="24"/>
        </w:rPr>
      </w:r>
    </w:p>
    <w:sectPr>
      <w:type w:val="nextPage"/>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swiss"/>
    <w:pitch w:val="variable"/>
  </w:font>
  <w:font w:name="Arial">
    <w:charset w:val="cc"/>
    <w:family w:val="swiss"/>
    <w:pitch w:val="variable"/>
  </w:font>
  <w:font w:name="Tahoma">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numFmt w:val="none"/>
      <w:suff w:val="nothing"/>
      <w:lvlText w:val=""/>
      <w:lvlJc w:val="left"/>
      <w:pPr>
        <w:ind w:left="0" w:hanging="0"/>
      </w:pPr>
    </w:lvl>
    <w:lvl w:ilvl="6">
      <w:start w:val="1"/>
      <w:pStyle w:val="7"/>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lvlText w:val=""/>
      <w:lvlJc w:val="left"/>
      <w:pPr>
        <w:tabs>
          <w:tab w:val="num" w:pos="426"/>
        </w:tabs>
        <w:ind w:left="426" w:hanging="0"/>
      </w:pPr>
      <w:rPr>
        <w:rFonts w:ascii="Symbol" w:hAnsi="Symbol" w:cs="Symbol" w:hint="default"/>
        <w:rFonts w:cs="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rPr>
  </w:style>
  <w:style w:type="paragraph" w:styleId="2">
    <w:name w:val="Heading 2"/>
    <w:basedOn w:val="Normal"/>
    <w:next w:val="Normal"/>
    <w:qFormat/>
    <w:pPr>
      <w:keepNext w:val="true"/>
      <w:numPr>
        <w:ilvl w:val="1"/>
        <w:numId w:val="1"/>
      </w:numPr>
      <w:tabs>
        <w:tab w:val="left" w:pos="851" w:leader="none"/>
      </w:tabs>
      <w:spacing w:before="240" w:after="60"/>
      <w:ind w:firstLine="709"/>
      <w:jc w:val="both"/>
      <w:outlineLvl w:val="1"/>
    </w:pPr>
    <w:rPr>
      <w:rFonts w:ascii="Cambria" w:hAnsi="Cambria" w:cs="Cambria"/>
      <w:b/>
      <w:bCs/>
      <w:i/>
      <w:iCs/>
      <w:sz w:val="28"/>
      <w:szCs w:val="28"/>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paragraph" w:styleId="4">
    <w:name w:val="Heading 4"/>
    <w:basedOn w:val="Normal"/>
    <w:next w:val="Normal"/>
    <w:qFormat/>
    <w:pPr>
      <w:keepNext w:val="true"/>
      <w:numPr>
        <w:ilvl w:val="3"/>
        <w:numId w:val="1"/>
      </w:numPr>
      <w:spacing w:before="240" w:after="60"/>
      <w:outlineLvl w:val="3"/>
    </w:pPr>
    <w:rPr>
      <w:rFonts w:ascii="Calibri" w:hAnsi="Calibri" w:eastAsia="Times New Roman" w:cs="Times New Roman"/>
      <w:b/>
      <w:bCs/>
      <w:sz w:val="28"/>
      <w:szCs w:val="28"/>
    </w:rPr>
  </w:style>
  <w:style w:type="paragraph" w:styleId="5">
    <w:name w:val="Heading 5"/>
    <w:basedOn w:val="Normal"/>
    <w:next w:val="Normal"/>
    <w:qFormat/>
    <w:pPr>
      <w:keepNext w:val="true"/>
      <w:widowControl w:val="false"/>
      <w:numPr>
        <w:ilvl w:val="4"/>
        <w:numId w:val="1"/>
      </w:numPr>
      <w:tabs>
        <w:tab w:val="left" w:pos="851" w:leader="none"/>
      </w:tabs>
      <w:autoSpaceDE w:val="false"/>
      <w:spacing w:before="240" w:after="60"/>
      <w:ind w:firstLine="709"/>
      <w:jc w:val="both"/>
      <w:outlineLvl w:val="4"/>
    </w:pPr>
    <w:rPr>
      <w:b/>
      <w:bCs/>
      <w:i/>
      <w:iCs/>
      <w:sz w:val="26"/>
      <w:szCs w:val="26"/>
    </w:rPr>
  </w:style>
  <w:style w:type="paragraph" w:styleId="7">
    <w:name w:val="Heading 7"/>
    <w:basedOn w:val="Normal"/>
    <w:next w:val="Normal"/>
    <w:qFormat/>
    <w:pPr>
      <w:keepNext w:val="true"/>
      <w:numPr>
        <w:ilvl w:val="6"/>
        <w:numId w:val="1"/>
      </w:numPr>
      <w:tabs>
        <w:tab w:val="left" w:pos="851" w:leader="none"/>
      </w:tabs>
      <w:spacing w:lineRule="auto" w:line="360" w:before="240" w:after="60"/>
      <w:ind w:firstLine="709"/>
      <w:jc w:val="both"/>
      <w:outlineLvl w:val="6"/>
    </w:pPr>
    <w:rPr>
      <w:rFonts w:ascii="Calibri" w:hAnsi="Calibri" w:cs="Calibri"/>
      <w:position w:val="6"/>
      <w:sz w:val="24"/>
      <w:szCs w:val="24"/>
    </w:rPr>
  </w:style>
  <w:style w:type="character" w:styleId="WW8Num1z0">
    <w:name w:val="WW8Num1z0"/>
    <w:qFormat/>
    <w:rPr>
      <w:rFonts w:cs="Times New Roman"/>
    </w:rPr>
  </w:style>
  <w:style w:type="character" w:styleId="WW8Num1z1">
    <w:name w:val="WW8Num1z1"/>
    <w:qFormat/>
    <w:rPr>
      <w:rFonts w:cs="Times New Roman"/>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rFonts w:ascii="Arial" w:hAnsi="Arial" w:cs="Arial"/>
      <w:sz w:val="24"/>
      <w:szCs w:val="24"/>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z w:val="24"/>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b/>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rFonts w:ascii="Symbol" w:hAnsi="Symbol" w:cs="Symbol"/>
    </w:rPr>
  </w:style>
  <w:style w:type="character" w:styleId="WW8Num16z1">
    <w:name w:val="WW8Num16z1"/>
    <w:qFormat/>
    <w:rPr/>
  </w:style>
  <w:style w:type="character" w:styleId="WW8Num16z2">
    <w:name w:val="WW8Num16z2"/>
    <w:qFormat/>
    <w:rPr/>
  </w:style>
  <w:style w:type="character" w:styleId="WW8Num16z3">
    <w:name w:val="WW8Num16z3"/>
    <w:qFormat/>
    <w:rPr/>
  </w:style>
  <w:style w:type="character" w:styleId="WW8Num16z4">
    <w:name w:val="WW8Num16z4"/>
    <w:qFormat/>
    <w:rPr/>
  </w:style>
  <w:style w:type="character" w:styleId="WW8Num16z5">
    <w:name w:val="WW8Num16z5"/>
    <w:qFormat/>
    <w:rPr/>
  </w:style>
  <w:style w:type="character" w:styleId="WW8Num16z6">
    <w:name w:val="WW8Num16z6"/>
    <w:qFormat/>
    <w:rPr/>
  </w:style>
  <w:style w:type="character" w:styleId="WW8Num16z7">
    <w:name w:val="WW8Num16z7"/>
    <w:qFormat/>
    <w:rPr/>
  </w:style>
  <w:style w:type="character" w:styleId="WW8Num16z8">
    <w:name w:val="WW8Num16z8"/>
    <w:qFormat/>
    <w:rPr/>
  </w:style>
  <w:style w:type="character" w:styleId="WW8Num17z0">
    <w:name w:val="WW8Num17z0"/>
    <w:qFormat/>
    <w:rPr/>
  </w:style>
  <w:style w:type="character" w:styleId="WW8Num18z0">
    <w:name w:val="WW8Num18z0"/>
    <w:qFormat/>
    <w:rPr/>
  </w:style>
  <w:style w:type="character" w:styleId="WW8Num19z0">
    <w:name w:val="WW8Num19z0"/>
    <w:qFormat/>
    <w:rPr/>
  </w:style>
  <w:style w:type="character" w:styleId="WW8Num20z0">
    <w:name w:val="WW8Num20z0"/>
    <w:qFormat/>
    <w:rPr/>
  </w:style>
  <w:style w:type="character" w:styleId="WW8Num20z1">
    <w:name w:val="WW8Num20z1"/>
    <w:qFormat/>
    <w:rPr/>
  </w:style>
  <w:style w:type="character" w:styleId="WW8Num20z2">
    <w:name w:val="WW8Num20z2"/>
    <w:qFormat/>
    <w:rPr/>
  </w:style>
  <w:style w:type="character" w:styleId="WW8Num20z3">
    <w:name w:val="WW8Num20z3"/>
    <w:qFormat/>
    <w:rPr/>
  </w:style>
  <w:style w:type="character" w:styleId="WW8Num20z4">
    <w:name w:val="WW8Num20z4"/>
    <w:qFormat/>
    <w:rPr/>
  </w:style>
  <w:style w:type="character" w:styleId="WW8Num20z5">
    <w:name w:val="WW8Num20z5"/>
    <w:qFormat/>
    <w:rPr/>
  </w:style>
  <w:style w:type="character" w:styleId="WW8Num20z6">
    <w:name w:val="WW8Num20z6"/>
    <w:qFormat/>
    <w:rPr/>
  </w:style>
  <w:style w:type="character" w:styleId="WW8Num20z7">
    <w:name w:val="WW8Num20z7"/>
    <w:qFormat/>
    <w:rPr/>
  </w:style>
  <w:style w:type="character" w:styleId="WW8Num20z8">
    <w:name w:val="WW8Num20z8"/>
    <w:qFormat/>
    <w:rPr/>
  </w:style>
  <w:style w:type="character" w:styleId="Style8">
    <w:name w:val="Основной шрифт абзаца"/>
    <w:qFormat/>
    <w:rPr/>
  </w:style>
  <w:style w:type="character" w:styleId="11">
    <w:name w:val="Заголовок 1 Знак"/>
    <w:basedOn w:val="Style8"/>
    <w:qFormat/>
    <w:rPr>
      <w:rFonts w:ascii="Times New Roman" w:hAnsi="Times New Roman" w:eastAsia="Times New Roman" w:cs="Times New Roman"/>
      <w:b/>
      <w:kern w:val="2"/>
      <w:sz w:val="32"/>
      <w:szCs w:val="20"/>
    </w:rPr>
  </w:style>
  <w:style w:type="character" w:styleId="21">
    <w:name w:val="Заголовок 2 Знак"/>
    <w:basedOn w:val="Style8"/>
    <w:qFormat/>
    <w:rPr>
      <w:rFonts w:ascii="Cambria" w:hAnsi="Cambria" w:eastAsia="Times New Roman" w:cs="Cambria"/>
      <w:b/>
      <w:bCs/>
      <w:i/>
      <w:iCs/>
      <w:sz w:val="28"/>
      <w:szCs w:val="28"/>
    </w:rPr>
  </w:style>
  <w:style w:type="character" w:styleId="31">
    <w:name w:val="Заголовок 3 Знак"/>
    <w:basedOn w:val="Style8"/>
    <w:qFormat/>
    <w:rPr>
      <w:rFonts w:ascii="Cambria" w:hAnsi="Cambria" w:eastAsia="Times New Roman" w:cs="Times New Roman"/>
      <w:b/>
      <w:bCs/>
      <w:sz w:val="26"/>
      <w:szCs w:val="26"/>
    </w:rPr>
  </w:style>
  <w:style w:type="character" w:styleId="41">
    <w:name w:val="Заголовок 4 Знак"/>
    <w:basedOn w:val="Style8"/>
    <w:qFormat/>
    <w:rPr>
      <w:rFonts w:ascii="Calibri" w:hAnsi="Calibri" w:eastAsia="Times New Roman" w:cs="Times New Roman"/>
      <w:b/>
      <w:bCs/>
      <w:sz w:val="28"/>
      <w:szCs w:val="28"/>
    </w:rPr>
  </w:style>
  <w:style w:type="character" w:styleId="51">
    <w:name w:val="Заголовок 5 Знак"/>
    <w:basedOn w:val="Style8"/>
    <w:qFormat/>
    <w:rPr>
      <w:rFonts w:ascii="Times New Roman" w:hAnsi="Times New Roman" w:eastAsia="Times New Roman" w:cs="Times New Roman"/>
      <w:b/>
      <w:bCs/>
      <w:i/>
      <w:iCs/>
      <w:sz w:val="26"/>
      <w:szCs w:val="26"/>
    </w:rPr>
  </w:style>
  <w:style w:type="character" w:styleId="71">
    <w:name w:val="Заголовок 7 Знак"/>
    <w:basedOn w:val="Style8"/>
    <w:qFormat/>
    <w:rPr>
      <w:rFonts w:eastAsia="Times New Roman"/>
      <w:position w:val="6"/>
      <w:sz w:val="24"/>
      <w:szCs w:val="24"/>
    </w:rPr>
  </w:style>
  <w:style w:type="character" w:styleId="ConsPlusNormal">
    <w:name w:val="ConsPlusNormal Знак"/>
    <w:qFormat/>
    <w:rPr>
      <w:rFonts w:ascii="Arial" w:hAnsi="Arial" w:eastAsia="Times New Roman" w:cs="Arial"/>
      <w:lang w:val="ru-RU" w:bidi="ar-SA"/>
    </w:rPr>
  </w:style>
  <w:style w:type="character" w:styleId="Style9">
    <w:name w:val="Текст выноски Знак"/>
    <w:basedOn w:val="Style8"/>
    <w:qFormat/>
    <w:rPr>
      <w:rFonts w:ascii="Tahoma" w:hAnsi="Tahoma" w:eastAsia="Times New Roman" w:cs="Tahoma"/>
      <w:sz w:val="16"/>
      <w:szCs w:val="16"/>
    </w:rPr>
  </w:style>
  <w:style w:type="character" w:styleId="FontStyle13">
    <w:name w:val="Font Style13"/>
    <w:basedOn w:val="Style8"/>
    <w:qFormat/>
    <w:rPr>
      <w:rFonts w:ascii="Times New Roman" w:hAnsi="Times New Roman" w:cs="Times New Roman"/>
      <w:sz w:val="26"/>
      <w:szCs w:val="26"/>
    </w:rPr>
  </w:style>
  <w:style w:type="character" w:styleId="Style10">
    <w:name w:val="Основной текст Знак"/>
    <w:basedOn w:val="Style8"/>
    <w:qFormat/>
    <w:rPr>
      <w:rFonts w:ascii="Times New Roman" w:hAnsi="Times New Roman" w:eastAsia="Times New Roman" w:cs="Times New Roman"/>
      <w:b/>
      <w:bCs/>
      <w:sz w:val="28"/>
      <w:szCs w:val="24"/>
    </w:rPr>
  </w:style>
  <w:style w:type="character" w:styleId="FontStyle26">
    <w:name w:val="Font Style26"/>
    <w:basedOn w:val="Style8"/>
    <w:qFormat/>
    <w:rPr>
      <w:rFonts w:ascii="Times New Roman" w:hAnsi="Times New Roman" w:cs="Times New Roman"/>
      <w:b/>
      <w:bCs/>
      <w:sz w:val="18"/>
      <w:szCs w:val="18"/>
    </w:rPr>
  </w:style>
  <w:style w:type="character" w:styleId="Style11">
    <w:name w:val="Название Знак"/>
    <w:basedOn w:val="Style8"/>
    <w:qFormat/>
    <w:rPr>
      <w:rFonts w:ascii="Times New Roman" w:hAnsi="Times New Roman" w:eastAsia="Times New Roman" w:cs="Times New Roman"/>
      <w:b/>
      <w:sz w:val="24"/>
    </w:rPr>
  </w:style>
  <w:style w:type="character" w:styleId="Style12">
    <w:name w:val="Выделение жирным"/>
    <w:qFormat/>
    <w:rPr>
      <w:b/>
      <w:bCs/>
    </w:rPr>
  </w:style>
  <w:style w:type="character" w:styleId="Style13">
    <w:name w:val="Выделение"/>
    <w:qFormat/>
    <w:rPr>
      <w:i/>
      <w:iCs/>
    </w:rPr>
  </w:style>
  <w:style w:type="character" w:styleId="Style14">
    <w:name w:val="Сильная ссылка"/>
    <w:qFormat/>
    <w:rPr>
      <w:b/>
      <w:bCs/>
      <w:smallCaps/>
      <w:color w:val="C0504D"/>
      <w:spacing w:val="5"/>
      <w:u w:val="single"/>
    </w:rPr>
  </w:style>
  <w:style w:type="character" w:styleId="Style15">
    <w:name w:val="статья Знак"/>
    <w:basedOn w:val="31"/>
    <w:qFormat/>
    <w:rPr>
      <w:rFonts w:ascii="Times New Roman" w:hAnsi="Times New Roman" w:eastAsia="Times New Roman" w:cs="Times New Roman"/>
      <w:i/>
      <w:sz w:val="24"/>
      <w:szCs w:val="24"/>
    </w:rPr>
  </w:style>
  <w:style w:type="character" w:styleId="Style16">
    <w:name w:val="буллиты Знак"/>
    <w:qFormat/>
    <w:rPr>
      <w:rFonts w:ascii="Times New Roman" w:hAnsi="Times New Roman" w:eastAsia="Times New Roman" w:cs="Times New Roman"/>
      <w:bCs/>
      <w:color w:val="000000"/>
      <w:sz w:val="24"/>
      <w:szCs w:val="24"/>
    </w:rPr>
  </w:style>
  <w:style w:type="character" w:styleId="8">
    <w:name w:val="Основной текст + 8"/>
    <w:qFormat/>
    <w:rPr>
      <w:rFonts w:ascii="Times New Roman" w:hAnsi="Times New Roman" w:cs="Times New Roman"/>
      <w:sz w:val="17"/>
      <w:szCs w:val="17"/>
      <w:u w:val="none"/>
    </w:rPr>
  </w:style>
  <w:style w:type="character" w:styleId="811">
    <w:name w:val="Основной текст + 811"/>
    <w:qFormat/>
    <w:rPr>
      <w:rFonts w:ascii="Times New Roman" w:hAnsi="Times New Roman" w:cs="Times New Roman"/>
      <w:sz w:val="17"/>
      <w:szCs w:val="17"/>
      <w:u w:val="none"/>
    </w:rPr>
  </w:style>
  <w:style w:type="character" w:styleId="79">
    <w:name w:val="Основной текст + 79"/>
    <w:qFormat/>
    <w:rPr>
      <w:rFonts w:ascii="Times New Roman" w:hAnsi="Times New Roman" w:cs="Times New Roman"/>
      <w:b/>
      <w:bCs/>
      <w:sz w:val="15"/>
      <w:szCs w:val="15"/>
      <w:u w:val="none"/>
    </w:rPr>
  </w:style>
  <w:style w:type="character" w:styleId="815">
    <w:name w:val="Основной текст + 815"/>
    <w:qFormat/>
    <w:rPr>
      <w:rFonts w:ascii="Times New Roman" w:hAnsi="Times New Roman" w:cs="Times New Roman"/>
      <w:b/>
      <w:bCs/>
      <w:sz w:val="17"/>
      <w:szCs w:val="17"/>
      <w:u w:val="none"/>
    </w:rPr>
  </w:style>
  <w:style w:type="character" w:styleId="78">
    <w:name w:val="Основной текст + 78"/>
    <w:qFormat/>
    <w:rPr>
      <w:rFonts w:ascii="Times New Roman" w:hAnsi="Times New Roman" w:cs="Times New Roman"/>
      <w:sz w:val="15"/>
      <w:szCs w:val="15"/>
      <w:u w:val="none"/>
    </w:rPr>
  </w:style>
  <w:style w:type="character" w:styleId="Style17">
    <w:name w:val="Текст примечания Знак"/>
    <w:basedOn w:val="Style8"/>
    <w:qFormat/>
    <w:rPr>
      <w:rFonts w:ascii="Times New Roman" w:hAnsi="Times New Roman" w:cs="Times New Roman"/>
      <w:b/>
      <w:bCs/>
      <w:i/>
    </w:rPr>
  </w:style>
  <w:style w:type="character" w:styleId="Style18">
    <w:name w:val="Тема примечания Знак"/>
    <w:basedOn w:val="Style17"/>
    <w:qFormat/>
    <w:rPr/>
  </w:style>
  <w:style w:type="character" w:styleId="Style19">
    <w:name w:val="Верхний колонтитул Знак"/>
    <w:basedOn w:val="Style8"/>
    <w:qFormat/>
    <w:rPr>
      <w:rFonts w:ascii="Times New Roman" w:hAnsi="Times New Roman" w:cs="Times New Roman"/>
      <w:b/>
      <w:bCs/>
      <w:i/>
      <w:sz w:val="24"/>
      <w:szCs w:val="24"/>
    </w:rPr>
  </w:style>
  <w:style w:type="character" w:styleId="Style20">
    <w:name w:val="Нижний колонтитул Знак"/>
    <w:basedOn w:val="Style8"/>
    <w:qFormat/>
    <w:rPr>
      <w:rFonts w:ascii="Times New Roman" w:hAnsi="Times New Roman" w:cs="Times New Roman"/>
      <w:b/>
      <w:bCs/>
      <w:i/>
      <w:sz w:val="24"/>
      <w:szCs w:val="24"/>
    </w:rPr>
  </w:style>
  <w:style w:type="character" w:styleId="72">
    <w:name w:val="Основной текст (7)_"/>
    <w:qFormat/>
    <w:rPr>
      <w:sz w:val="17"/>
      <w:szCs w:val="17"/>
      <w:shd w:fill="FFFFFF" w:val="clear"/>
    </w:rPr>
  </w:style>
  <w:style w:type="character" w:styleId="Style21">
    <w:name w:val="Интернет-ссылка"/>
    <w:rPr>
      <w:color w:val="000080"/>
      <w:u w:val="single"/>
      <w:lang w:val="zxx" w:eastAsia="zxx" w:bidi="zxx"/>
    </w:rPr>
  </w:style>
  <w:style w:type="paragraph" w:styleId="Style22">
    <w:name w:val="Заголовок"/>
    <w:basedOn w:val="Normal"/>
    <w:next w:val="Style23"/>
    <w:qFormat/>
    <w:pPr>
      <w:keepNext w:val="true"/>
      <w:tabs>
        <w:tab w:val="left" w:pos="851" w:leader="none"/>
      </w:tabs>
      <w:spacing w:before="120" w:after="60"/>
      <w:ind w:firstLine="567"/>
      <w:jc w:val="center"/>
      <w:outlineLvl w:val="2"/>
    </w:pPr>
    <w:rPr>
      <w:b/>
      <w:sz w:val="24"/>
    </w:rPr>
  </w:style>
  <w:style w:type="paragraph" w:styleId="Style23">
    <w:name w:val="Body Text"/>
    <w:basedOn w:val="Normal"/>
    <w:pPr>
      <w:jc w:val="center"/>
    </w:pPr>
    <w:rPr>
      <w:b/>
      <w:bCs/>
      <w:sz w:val="28"/>
      <w:szCs w:val="24"/>
    </w:rPr>
  </w:style>
  <w:style w:type="paragraph" w:styleId="Style24">
    <w:name w:val="List"/>
    <w:basedOn w:val="Style23"/>
    <w:pPr/>
    <w:rPr>
      <w:rFonts w:cs="Mangal"/>
    </w:rPr>
  </w:style>
  <w:style w:type="paragraph" w:styleId="Style25">
    <w:name w:val="Caption"/>
    <w:basedOn w:val="Normal"/>
    <w:qFormat/>
    <w:pPr>
      <w:suppressLineNumbers/>
      <w:spacing w:before="120" w:after="120"/>
    </w:pPr>
    <w:rPr>
      <w:rFonts w:cs="Mangal"/>
      <w:i/>
      <w:iCs/>
      <w:sz w:val="24"/>
      <w:szCs w:val="24"/>
    </w:rPr>
  </w:style>
  <w:style w:type="paragraph" w:styleId="Style26">
    <w:name w:val="Указатель"/>
    <w:basedOn w:val="Normal"/>
    <w:qFormat/>
    <w:pPr>
      <w:suppressLineNumbers/>
    </w:pPr>
    <w:rPr>
      <w:rFonts w:cs="Mangal"/>
    </w:rPr>
  </w:style>
  <w:style w:type="paragraph" w:styleId="ConsPlusNormal1">
    <w:name w:val="ConsPlu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Style27">
    <w:name w:val="Текст выноски"/>
    <w:basedOn w:val="Normal"/>
    <w:qFormat/>
    <w:pPr/>
    <w:rPr>
      <w:rFonts w:ascii="Tahoma" w:hAnsi="Tahoma" w:cs="Tahoma"/>
      <w:sz w:val="16"/>
      <w:szCs w:val="16"/>
    </w:rPr>
  </w:style>
  <w:style w:type="paragraph" w:styleId="Style28">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Style29">
    <w:name w:val="Без интервала"/>
    <w:qFormat/>
    <w:pPr>
      <w:widowControl/>
    </w:pPr>
    <w:rPr>
      <w:rFonts w:ascii="Calibri" w:hAnsi="Calibri" w:eastAsia="Calibri" w:cs="Times New Roman"/>
      <w:color w:val="auto"/>
      <w:sz w:val="22"/>
      <w:szCs w:val="22"/>
      <w:lang w:val="ru-RU" w:bidi="ar-SA" w:eastAsia="zh-CN"/>
    </w:rPr>
  </w:style>
  <w:style w:type="paragraph" w:styleId="Style30">
    <w:name w:val="Название объекта"/>
    <w:basedOn w:val="Normal"/>
    <w:next w:val="Normal"/>
    <w:qFormat/>
    <w:pPr>
      <w:keepNext w:val="true"/>
      <w:tabs>
        <w:tab w:val="left" w:pos="851" w:leader="none"/>
      </w:tabs>
      <w:spacing w:lineRule="auto" w:line="360" w:before="240" w:after="0"/>
      <w:ind w:firstLine="709"/>
      <w:jc w:val="center"/>
      <w:outlineLvl w:val="2"/>
    </w:pPr>
    <w:rPr>
      <w:rFonts w:ascii="Arial" w:hAnsi="Arial" w:cs="Arial"/>
      <w:bCs/>
      <w:position w:val="6"/>
      <w:sz w:val="24"/>
      <w:szCs w:val="24"/>
    </w:rPr>
  </w:style>
  <w:style w:type="paragraph" w:styleId="Style31">
    <w:name w:val="TOA Heading"/>
    <w:basedOn w:val="1"/>
    <w:next w:val="Normal"/>
    <w:pPr>
      <w:keepLines/>
      <w:numPr>
        <w:ilvl w:val="0"/>
        <w:numId w:val="0"/>
      </w:numPr>
      <w:tabs>
        <w:tab w:val="left" w:pos="851" w:leader="none"/>
      </w:tabs>
      <w:spacing w:lineRule="auto" w:line="276" w:before="480" w:after="0"/>
      <w:ind w:firstLine="709"/>
    </w:pPr>
    <w:rPr>
      <w:rFonts w:ascii="Cambria" w:hAnsi="Cambria" w:cs="Cambria"/>
      <w:b w:val="false"/>
      <w:i/>
      <w:color w:val="365F91"/>
      <w:kern w:val="0"/>
      <w:sz w:val="28"/>
      <w:szCs w:val="28"/>
    </w:rPr>
  </w:style>
  <w:style w:type="paragraph" w:styleId="Style32">
    <w:name w:val="статья"/>
    <w:basedOn w:val="3"/>
    <w:qFormat/>
    <w:pPr>
      <w:numPr>
        <w:ilvl w:val="0"/>
        <w:numId w:val="0"/>
      </w:numPr>
      <w:tabs>
        <w:tab w:val="left" w:pos="851" w:leader="none"/>
      </w:tabs>
      <w:spacing w:lineRule="auto" w:line="360" w:before="240" w:after="120"/>
      <w:ind w:firstLine="709"/>
      <w:jc w:val="both"/>
    </w:pPr>
    <w:rPr>
      <w:rFonts w:ascii="Times New Roman" w:hAnsi="Times New Roman" w:eastAsia="Times New Roman" w:cs="Times New Roman"/>
      <w:i/>
      <w:sz w:val="24"/>
      <w:szCs w:val="24"/>
    </w:rPr>
  </w:style>
  <w:style w:type="paragraph" w:styleId="Style33">
    <w:name w:val="Обычный (веб)"/>
    <w:basedOn w:val="Normal"/>
    <w:qFormat/>
    <w:pPr>
      <w:spacing w:before="16" w:after="16"/>
      <w:ind w:firstLine="160"/>
      <w:jc w:val="both"/>
    </w:pPr>
    <w:rPr>
      <w:rFonts w:ascii="Arial" w:hAnsi="Arial" w:cs="Arial"/>
      <w:sz w:val="18"/>
      <w:szCs w:val="18"/>
    </w:rPr>
  </w:style>
  <w:style w:type="paragraph" w:styleId="Iauiue">
    <w:name w:val="Iau?iue"/>
    <w:qFormat/>
    <w:pPr>
      <w:widowControl w:val="false"/>
    </w:pPr>
    <w:rPr>
      <w:rFonts w:ascii="Calibri" w:hAnsi="Calibri" w:eastAsia="Times New Roman" w:cs="Times New Roman"/>
      <w:color w:val="auto"/>
      <w:sz w:val="20"/>
      <w:szCs w:val="20"/>
      <w:lang w:val="ru-RU" w:bidi="ar-SA" w:eastAsia="zh-CN"/>
    </w:rPr>
  </w:style>
  <w:style w:type="paragraph" w:styleId="Style34">
    <w:name w:val="буллиты"/>
    <w:basedOn w:val="Normal"/>
    <w:qFormat/>
    <w:pPr>
      <w:numPr>
        <w:ilvl w:val="0"/>
        <w:numId w:val="2"/>
      </w:numPr>
      <w:tabs>
        <w:tab w:val="decimal" w:pos="340" w:leader="none"/>
      </w:tabs>
      <w:jc w:val="both"/>
    </w:pPr>
    <w:rPr>
      <w:bCs/>
      <w:color w:val="000000"/>
      <w:sz w:val="24"/>
      <w:szCs w:val="24"/>
      <w:lang w:val="ru-RU"/>
    </w:rPr>
  </w:style>
  <w:style w:type="paragraph" w:styleId="S">
    <w:name w:val="S_Титульный"/>
    <w:basedOn w:val="Normal"/>
    <w:qFormat/>
    <w:pPr>
      <w:spacing w:lineRule="auto" w:line="360"/>
      <w:ind w:left="3060" w:hanging="0"/>
      <w:jc w:val="right"/>
    </w:pPr>
    <w:rPr>
      <w:b/>
      <w:caps/>
      <w:sz w:val="24"/>
      <w:szCs w:val="24"/>
    </w:rPr>
  </w:style>
  <w:style w:type="paragraph" w:styleId="Style35">
    <w:name w:val="Текст примечания"/>
    <w:basedOn w:val="Normal"/>
    <w:qFormat/>
    <w:pPr>
      <w:keepNext w:val="true"/>
      <w:tabs>
        <w:tab w:val="left" w:pos="851" w:leader="none"/>
      </w:tabs>
      <w:spacing w:before="240" w:after="120"/>
      <w:ind w:firstLine="709"/>
      <w:jc w:val="both"/>
      <w:outlineLvl w:val="2"/>
    </w:pPr>
    <w:rPr>
      <w:rFonts w:eastAsia="Calibri"/>
      <w:b/>
      <w:bCs/>
      <w:i/>
    </w:rPr>
  </w:style>
  <w:style w:type="paragraph" w:styleId="Style36">
    <w:name w:val="Тема примечания"/>
    <w:basedOn w:val="Style35"/>
    <w:next w:val="Style35"/>
    <w:qFormat/>
    <w:pPr/>
    <w:rPr/>
  </w:style>
  <w:style w:type="paragraph" w:styleId="Style37">
    <w:name w:val="Header"/>
    <w:basedOn w:val="Normal"/>
    <w:pPr>
      <w:keepNext w:val="true"/>
      <w:tabs>
        <w:tab w:val="center" w:pos="4677" w:leader="none"/>
        <w:tab w:val="right" w:pos="9355" w:leader="none"/>
      </w:tabs>
      <w:ind w:firstLine="709"/>
      <w:jc w:val="both"/>
      <w:outlineLvl w:val="2"/>
    </w:pPr>
    <w:rPr>
      <w:rFonts w:eastAsia="Calibri"/>
      <w:b/>
      <w:bCs/>
      <w:i/>
      <w:sz w:val="24"/>
      <w:szCs w:val="24"/>
    </w:rPr>
  </w:style>
  <w:style w:type="paragraph" w:styleId="Style38">
    <w:name w:val="Footer"/>
    <w:basedOn w:val="Normal"/>
    <w:pPr>
      <w:keepNext w:val="true"/>
      <w:tabs>
        <w:tab w:val="center" w:pos="4677" w:leader="none"/>
        <w:tab w:val="right" w:pos="9355" w:leader="none"/>
      </w:tabs>
      <w:ind w:firstLine="709"/>
      <w:jc w:val="both"/>
      <w:outlineLvl w:val="2"/>
    </w:pPr>
    <w:rPr>
      <w:rFonts w:eastAsia="Calibri"/>
      <w:b/>
      <w:bCs/>
      <w:i/>
      <w:sz w:val="24"/>
      <w:szCs w:val="24"/>
    </w:rPr>
  </w:style>
  <w:style w:type="paragraph" w:styleId="711">
    <w:name w:val="Основной текст (7)1"/>
    <w:basedOn w:val="Normal"/>
    <w:qFormat/>
    <w:pPr>
      <w:widowControl w:val="false"/>
      <w:shd w:fill="FFFFFF" w:val="clear"/>
      <w:spacing w:lineRule="atLeast" w:line="240" w:before="120" w:after="1560"/>
      <w:jc w:val="center"/>
    </w:pPr>
    <w:rPr>
      <w:rFonts w:ascii="Calibri" w:hAnsi="Calibri" w:eastAsia="Calibri" w:cs="Calibri"/>
      <w:sz w:val="17"/>
      <w:szCs w:val="17"/>
      <w:lang w:val="ru-RU"/>
    </w:rPr>
  </w:style>
  <w:style w:type="paragraph" w:styleId="Style39">
    <w:name w:val="Содержимое таблицы"/>
    <w:basedOn w:val="Normal"/>
    <w:qFormat/>
    <w:pPr>
      <w:suppressLineNumbers/>
    </w:pPr>
    <w:rPr/>
  </w:style>
  <w:style w:type="paragraph" w:styleId="Style40">
    <w:name w:val="Заголовок таблицы"/>
    <w:basedOn w:val="Style3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2A0081D4C0AFB695F2C379A4FFB160FD24D9858D5C1D596EECCCDF08C146DE3759F3269E5EE1bEM9L" TargetMode="External"/><Relationship Id="rId4" Type="http://schemas.openxmlformats.org/officeDocument/2006/relationships/hyperlink" Target="http://www.consultant.ru/document/cons_doc_LAW_51038/" TargetMode="External"/><Relationship Id="rId5" Type="http://schemas.openxmlformats.org/officeDocument/2006/relationships/hyperlink" Target="http://www.consultant.ru/document/cons_doc_LAW_182661/"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891</TotalTime>
  <Application>LibreOffice/6.0.2.1$Windows_x86 LibreOffice_project/f7f06a8f319e4b62f9bc5095aa112a65d2f3ac89</Application>
  <Pages>20</Pages>
  <Words>15860</Words>
  <Characters>117412</Characters>
  <CharactersWithSpaces>132758</CharactersWithSpaces>
  <Paragraphs>702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2014-09-25T13:40:00Z</dcterms:created>
  <dc:creator>Admin</dc:creator>
  <dc:description/>
  <cp:keywords/>
  <dc:language>ru-RU</dc:language>
  <cp:lastModifiedBy>Admin</cp:lastModifiedBy>
  <cp:lastPrinted>2018-03-05T10:30:00Z</cp:lastPrinted>
  <dcterms:modified xsi:type="dcterms:W3CDTF">2018-03-05T09:30:00Z</dcterms:modified>
  <cp:revision>59</cp:revision>
  <dc:subject/>
  <dc:title/>
</cp:coreProperties>
</file>