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  <w:lang w:val="ru-RU" w:eastAsia="ru-RU"/>
        </w:rPr>
      </w:pPr>
      <w:r>
        <w:rPr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АДМИНИСТРАЦИЯ  РАБОЧЕГО  ПОСЁЛКА  ШАРАНГА</w:t>
      </w:r>
    </w:p>
    <w:p>
      <w:pPr>
        <w:pStyle w:val="Normal"/>
        <w:jc w:val="center"/>
        <w:rPr>
          <w:b/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ШАРАНГСКОГО  МУНИЦИПАЛЬНОГО  РАЙОНА</w:t>
      </w:r>
    </w:p>
    <w:p>
      <w:pPr>
        <w:pStyle w:val="Normal"/>
        <w:jc w:val="center"/>
        <w:rPr>
          <w:b/>
          <w:b/>
          <w:sz w:val="24"/>
          <w:szCs w:val="24"/>
          <w:lang w:eastAsia="ar-SA"/>
        </w:rPr>
      </w:pPr>
      <w:r>
        <w:rPr>
          <w:b/>
          <w:sz w:val="24"/>
          <w:szCs w:val="24"/>
          <w:lang w:eastAsia="ar-SA"/>
        </w:rPr>
        <w:t>НИЖЕГОРОДСКОЙ ОБЛАСТИ</w:t>
      </w:r>
    </w:p>
    <w:p>
      <w:pPr>
        <w:pStyle w:val="Normal"/>
        <w:jc w:val="center"/>
        <w:rPr>
          <w:b/>
          <w:b/>
          <w:spacing w:val="60"/>
          <w:sz w:val="28"/>
          <w:szCs w:val="28"/>
          <w:lang w:eastAsia="ar-SA"/>
        </w:rPr>
      </w:pPr>
      <w:r>
        <w:rPr>
          <w:b/>
          <w:spacing w:val="60"/>
          <w:sz w:val="28"/>
          <w:szCs w:val="28"/>
          <w:lang w:eastAsia="ar-SA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/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24.02 .2015 г.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/>
                      </w:pPr>
                      <w:r>
                        <w:rPr>
                          <w:sz w:val="28"/>
                          <w:szCs w:val="28"/>
                        </w:rPr>
                        <w:t>24.02 .2015 г.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0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11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11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tabs>
          <w:tab w:val="clear" w:pos="708"/>
          <w:tab w:val="left" w:pos="6946" w:leader="none"/>
        </w:tabs>
        <w:rPr>
          <w:sz w:val="28"/>
        </w:rPr>
      </w:pPr>
      <w:r>
        <mc:AlternateContent>
          <mc:Choice Requires="wps">
            <w:drawing>
              <wp:anchor behindDoc="0" distT="0" distB="0" distL="114935" distR="114935" simplePos="0" locked="0" layoutInCell="0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0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flat"/>
                <v:fill o:detectmouseclick="t" on="false"/>
                <w10:wrap type="none"/>
              </v:line>
            </w:pict>
          </mc:Fallback>
        </mc:AlternateContent>
      </w:r>
      <w:r>
        <w:rPr>
          <w:sz w:val="28"/>
        </w:rPr>
        <w:t>о</w:t>
      </w:r>
      <w:r>
        <w:rPr>
          <w:sz w:val="28"/>
        </w:rPr>
        <w:t>т</w:t>
        <w:tab/>
        <w:t xml:space="preserve">№ 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widowControl w:val="false"/>
        <w:autoSpaceDE w:val="false"/>
        <w:jc w:val="center"/>
        <w:rPr/>
      </w:pPr>
      <w:r>
        <w:rPr>
          <w:b/>
          <w:bCs/>
          <w:sz w:val="28"/>
          <w:szCs w:val="28"/>
        </w:rPr>
        <w:t xml:space="preserve">Об  утверждении </w:t>
      </w:r>
    </w:p>
    <w:p>
      <w:pPr>
        <w:pStyle w:val="Normal"/>
        <w:widowControl w:val="false"/>
        <w:autoSpaceDE w:val="false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правил присвоения, изменения и аннулирования адресов </w:t>
      </w:r>
    </w:p>
    <w:p>
      <w:pPr>
        <w:pStyle w:val="Normal"/>
        <w:widowControl w:val="false"/>
        <w:autoSpaceDE w:val="false"/>
        <w:jc w:val="center"/>
        <w:rPr/>
      </w:pPr>
      <w:r>
        <w:rPr>
          <w:b/>
          <w:bCs/>
          <w:sz w:val="28"/>
          <w:szCs w:val="28"/>
        </w:rPr>
        <w:t>на территории  рабочего посёлка Шаранга</w:t>
      </w:r>
    </w:p>
    <w:p>
      <w:pPr>
        <w:pStyle w:val="Normal"/>
        <w:rPr>
          <w:b/>
          <w:b/>
          <w:bCs/>
          <w:sz w:val="28"/>
          <w:szCs w:val="28"/>
          <w:lang w:eastAsia="ar-SA"/>
        </w:rPr>
      </w:pPr>
      <w:r>
        <w:rPr>
          <w:b/>
          <w:bCs/>
          <w:sz w:val="28"/>
          <w:szCs w:val="28"/>
          <w:lang w:eastAsia="ar-SA"/>
        </w:rPr>
      </w:r>
    </w:p>
    <w:p>
      <w:pPr>
        <w:pStyle w:val="Normal"/>
        <w:widowControl w:val="false"/>
        <w:autoSpaceDE w:val="false"/>
        <w:ind w:firstLine="540"/>
        <w:jc w:val="both"/>
        <w:rPr/>
      </w:pPr>
      <w:r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В соответствии с Федеральным </w:t>
      </w:r>
      <w:hyperlink r:id="rId3">
        <w:r>
          <w:rPr>
            <w:sz w:val="28"/>
            <w:szCs w:val="28"/>
          </w:rPr>
          <w:t>законом</w:t>
        </w:r>
      </w:hyperlink>
      <w:r>
        <w:rPr>
          <w:sz w:val="28"/>
          <w:szCs w:val="28"/>
        </w:rPr>
        <w:t xml:space="preserve"> от 06.10.2003 N 131-ФЗ "Об общих принципах организации местного самоуправления в Российской Федерации", постановлением Правительства Российской Федерации от 19.11.2014 № 1221 «Об утверждении правил изменения и аннулирования адресов», в  целях установления единых правил и порядка присвоения, изменения и аннулирования адресов   на территории  рабочего посёлка Шаранга Шарангского муниципального района Нижегородской области (далее -  администрация р.п.Шаранга) администрация рабочего посёлка Шаранга Шарангского муниципального района Нижегородской области </w:t>
      </w:r>
      <w:r>
        <w:rPr>
          <w:b/>
          <w:sz w:val="28"/>
          <w:szCs w:val="28"/>
        </w:rPr>
        <w:t>постановляет</w:t>
      </w:r>
      <w:r>
        <w:rPr>
          <w:sz w:val="28"/>
          <w:szCs w:val="28"/>
        </w:rPr>
        <w:t>:</w:t>
      </w:r>
    </w:p>
    <w:p>
      <w:pPr>
        <w:pStyle w:val="Normal"/>
        <w:widowControl w:val="false"/>
        <w:autoSpaceDE w:val="false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 Утвердить прилагаемые правила присвоения, изменения и аннулирования адресов   на территории рабочего посёлка Шаранга  Шарангского муниципального района Нижегородской области.</w:t>
      </w:r>
    </w:p>
    <w:p>
      <w:pPr>
        <w:pStyle w:val="HTML1"/>
        <w:spacing w:lineRule="auto" w:line="36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Контроль за исполнением настоящего постановления оставляю за собой.</w:t>
      </w:r>
    </w:p>
    <w:p>
      <w:pPr>
        <w:pStyle w:val="Normal"/>
        <w:widowControl w:val="false"/>
        <w:autoSpaceDE w:val="false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/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Глава   администрации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рабочего посёлка Шаранга           ________________________  Н.М. Чесноков </w:t>
      </w:r>
    </w:p>
    <w:p>
      <w:pPr>
        <w:pStyle w:val="Normal"/>
        <w:ind w:firstLine="708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</w:r>
    </w:p>
    <w:p>
      <w:pPr>
        <w:pStyle w:val="Normal"/>
        <w:ind w:firstLine="708"/>
        <w:rPr/>
      </w:pPr>
      <w:r>
        <w:rPr/>
        <w:t>исп. Яморзова Е.В</w:t>
      </w:r>
    </w:p>
    <w:p>
      <w:pPr>
        <w:pStyle w:val="Normal"/>
        <w:ind w:firstLine="708"/>
        <w:rPr>
          <w:sz w:val="28"/>
          <w:szCs w:val="28"/>
        </w:rPr>
      </w:pPr>
      <w:r>
        <w:rPr/>
        <w:t>тел 8 831 55 2-12-44</w:t>
      </w:r>
    </w:p>
    <w:p>
      <w:pPr>
        <w:pStyle w:val="Normal"/>
        <w:widowControl w:val="false"/>
        <w:autoSpaceDE w:val="fals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 w:val="false"/>
        <w:autoSpaceDE w:val="false"/>
        <w:jc w:val="both"/>
        <w:rPr>
          <w:rFonts w:ascii="Calibri" w:hAnsi="Calibri" w:cs="Calibri"/>
          <w:sz w:val="28"/>
          <w:szCs w:val="28"/>
        </w:rPr>
      </w:pPr>
      <w:r>
        <w:rPr>
          <w:rFonts w:cs="Calibri" w:ascii="Calibri" w:hAnsi="Calibri"/>
          <w:sz w:val="28"/>
          <w:szCs w:val="28"/>
        </w:rPr>
      </w:r>
      <w:bookmarkStart w:id="0" w:name="Par25"/>
      <w:bookmarkStart w:id="1" w:name="Par25"/>
      <w:bookmarkEnd w:id="1"/>
    </w:p>
    <w:p>
      <w:pPr>
        <w:pStyle w:val="Normal"/>
        <w:widowControl w:val="false"/>
        <w:autoSpaceDE w:val="false"/>
        <w:jc w:val="both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widowControl w:val="false"/>
        <w:autoSpaceDE w:val="false"/>
        <w:jc w:val="both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bCs/>
          <w:sz w:val="24"/>
          <w:szCs w:val="24"/>
        </w:rPr>
      </w:pPr>
      <w:bookmarkStart w:id="2" w:name="Par29"/>
      <w:bookmarkEnd w:id="2"/>
      <w:r>
        <w:rPr>
          <w:bCs/>
          <w:sz w:val="24"/>
          <w:szCs w:val="24"/>
        </w:rPr>
        <w:t xml:space="preserve">Утверждены 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постановлением администрации 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рабочего посёлка Шаранга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>Нижегородской области</w:t>
      </w:r>
    </w:p>
    <w:p>
      <w:pPr>
        <w:pStyle w:val="Normal"/>
        <w:numPr>
          <w:ilvl w:val="0"/>
          <w:numId w:val="0"/>
        </w:numPr>
        <w:autoSpaceDE w:val="false"/>
        <w:jc w:val="right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от  24.02.2015 года  №11</w:t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Правила </w:t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присвоения, изменения и аннулирования адресов   </w:t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на территории  рабочего посёлка Шаранга </w:t>
      </w:r>
      <w:r>
        <w:rPr>
          <w:sz w:val="28"/>
          <w:szCs w:val="28"/>
        </w:rPr>
        <w:t xml:space="preserve"> </w:t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I. Общие положения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1.1. Настоящие Правила устанавливают порядок присвоения, изменения и аннулирования адресов на территории </w:t>
      </w:r>
      <w:r>
        <w:rPr>
          <w:sz w:val="24"/>
          <w:szCs w:val="24"/>
        </w:rPr>
        <w:t>рабочего посёлка Шаранга</w:t>
      </w:r>
      <w:r>
        <w:rPr>
          <w:bCs/>
          <w:sz w:val="24"/>
          <w:szCs w:val="24"/>
        </w:rPr>
        <w:t>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1.2. Понятия, используемые в настоящих Правилах, означают следующее: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"адресообразующие элементы" - страна, субъект Российской Федерации, муниципальное образование, населенный пункт, элемент улично-дорожной сети, элемент планировочной структуры и идентификационный элемент (элементы) объекта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"идентификационные элементы объекта адресации" - номер земельного участка, типы и номера зданий (сооружений), помещений и объектов незавершенного строительства;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"элемент планировочной структуры" - зона (массив), район (в том числе жилой район, микрорайон, квартал, промышленный район), территории размещения садоводческих, огороднических и дачных некоммерческих объединений;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"элемент улично-дорожной сети" - улица, проспект, переулок, проезд, набережная, площадь, бульвар, тупик, съезд, шоссе, аллея и иное.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1.3. Адрес, присвоенный объекту адресации, должен отвечать следующим требованиям: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уникальность. Один и тот же адрес не может быть присвоен более чем одному объекту адресации, за исключением случаев повторного присвоения одного и того же адреса новому объекту адресации взамен аннулированного адреса объекта адресации, а также присвоения одного и того же адреса земельному участку и расположенному на нем зданию (сооружению) или объекту незавершенного строительства;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обязательность. Каждому объекту адресации должен быть присвоен адрес в соответствии с настоящими Правилами;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легитимность. Правовую основу адреса обеспечивает соблюдение процедуры присвоения объекту адресации адреса, изменения и аннулирования такого адреса, а также внесение адреса в государственный адресный реестр.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1.4. Присвоение, изменение и аннулирование адресов осуществляется без взимания платы.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  <w:lang w:val="en-US"/>
        </w:rPr>
      </w:pPr>
      <w:bookmarkStart w:id="3" w:name="Par16"/>
      <w:bookmarkEnd w:id="3"/>
      <w:r>
        <w:rPr>
          <w:bCs/>
          <w:sz w:val="24"/>
          <w:szCs w:val="24"/>
        </w:rPr>
        <w:t>1.5. Объектами адресации являются один или несколько объектов недвижимого имущества, в том числе земельные участки, здания, сооружения, помещения и объекты незавершенного строительства.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</w:rPr>
      </w:pPr>
      <w:r>
        <w:rPr>
          <w:bCs/>
          <w:sz w:val="24"/>
          <w:szCs w:val="24"/>
        </w:rPr>
        <w:t>II. Порядок присвоения объекту адресации адреса, изменения</w:t>
      </w:r>
    </w:p>
    <w:p>
      <w:pPr>
        <w:pStyle w:val="Normal"/>
        <w:autoSpaceDE w:val="false"/>
        <w:jc w:val="center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</w:rPr>
        <w:t>и аннулирования такого адреса</w:t>
      </w:r>
    </w:p>
    <w:p>
      <w:pPr>
        <w:pStyle w:val="Normal"/>
        <w:autoSpaceDE w:val="false"/>
        <w:jc w:val="center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2.1. Присвоение объекту адресации адреса, изменение и аннулирование адреса осуществляется администрацией </w:t>
      </w:r>
      <w:r>
        <w:rPr>
          <w:sz w:val="24"/>
          <w:szCs w:val="24"/>
        </w:rPr>
        <w:t>р.п.Шаранга</w:t>
      </w:r>
      <w:r>
        <w:rPr>
          <w:bCs/>
          <w:sz w:val="24"/>
          <w:szCs w:val="24"/>
        </w:rPr>
        <w:t>, с использованием федеральной информационной адресной системы.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2.2. Присвоение объектам адресации адресов и аннулирование таких адресов осуществляется администрацией р.п.Шаранга по собственной инициативе или на основании заявлений физических или юридических лиц, указанных в </w:t>
      </w:r>
      <w:r>
        <w:rPr>
          <w:sz w:val="24"/>
          <w:szCs w:val="24"/>
        </w:rPr>
        <w:t xml:space="preserve">пункте 3.1. </w:t>
      </w:r>
      <w:r>
        <w:rPr>
          <w:bCs/>
          <w:sz w:val="24"/>
          <w:szCs w:val="24"/>
        </w:rPr>
        <w:t xml:space="preserve">настоящих Правил. 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Аннулирование адресов объектов адресации осуществляется на основании информации органа, осуществляющего кадастровый учет и ведение государственного кадастра недвижимости, о снятии с кадастрового учета объекта недвижимости. 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Изменение адресов объектов адресации осуществляется на основании принятых решений о присвоении адресообразующим элементам наименований, об изменении и аннулировании их наименований.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bookmarkStart w:id="4" w:name="Par23"/>
      <w:bookmarkEnd w:id="4"/>
      <w:r>
        <w:rPr>
          <w:bCs/>
          <w:sz w:val="24"/>
          <w:szCs w:val="24"/>
        </w:rPr>
        <w:t>2.3. Присвоение объекту адресации адреса осуществляется: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в отношении земельных участков в случаях: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подготовки документации по планировке территории в отношении застроенной и подлежащей застройке территории в соответствии с Градостроительным </w:t>
      </w:r>
      <w:hyperlink r:id="rId4">
        <w:r>
          <w:rPr>
            <w:bCs/>
            <w:sz w:val="24"/>
            <w:szCs w:val="24"/>
          </w:rPr>
          <w:t>кодексом</w:t>
        </w:r>
      </w:hyperlink>
      <w:r>
        <w:rPr>
          <w:bCs/>
          <w:sz w:val="24"/>
          <w:szCs w:val="24"/>
        </w:rPr>
        <w:t xml:space="preserve"> Российской Федерации;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выполнения в отношении земельного участка в соответствии с требованиями, установленными Федеральным </w:t>
      </w:r>
      <w:hyperlink r:id="rId5">
        <w:r>
          <w:rPr>
            <w:bCs/>
            <w:sz w:val="24"/>
            <w:szCs w:val="24"/>
          </w:rPr>
          <w:t>законом</w:t>
        </w:r>
      </w:hyperlink>
      <w:r>
        <w:rPr>
          <w:bCs/>
          <w:sz w:val="24"/>
          <w:szCs w:val="24"/>
        </w:rPr>
        <w:t xml:space="preserve"> "О государственном кадастре недвижимости", работ, в результате которых обеспечивается подготовка документов, содержащих необходимые для осуществления государственного кадастрового учета сведения о таком земельном участке, при постановке земельного участка на государственный кадастровый учет;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в отношении зданий, сооружений и объектов незавершенного строительства в случаях: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выдачи (получения) разрешения на строительство здания или сооружения;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выполнения в отношении здания, сооружения и объекта незавершенного строительства в соответствии с требованиями, установленными Федеральным </w:t>
      </w:r>
      <w:hyperlink r:id="rId6">
        <w:r>
          <w:rPr>
            <w:bCs/>
            <w:sz w:val="24"/>
            <w:szCs w:val="24"/>
          </w:rPr>
          <w:t>законом</w:t>
        </w:r>
      </w:hyperlink>
      <w:r>
        <w:rPr>
          <w:bCs/>
          <w:sz w:val="24"/>
          <w:szCs w:val="24"/>
        </w:rPr>
        <w:t xml:space="preserve"> "О государственном кадастре недвижимости", работ, в результате которых обеспечивается подготовка документов, содержащих необходимые для осуществления государственного кадастрового учета сведения о таком здании, сооружении и объекте незавершенного строительства, при постановке здания, сооружения и объекта незавершенного строительства на государственный кадастровый учет (в случае, если в соответствии с Градостроительным </w:t>
      </w:r>
      <w:hyperlink r:id="rId7">
        <w:r>
          <w:rPr>
            <w:bCs/>
            <w:sz w:val="24"/>
            <w:szCs w:val="24"/>
          </w:rPr>
          <w:t>кодексом</w:t>
        </w:r>
      </w:hyperlink>
      <w:r>
        <w:rPr>
          <w:bCs/>
          <w:sz w:val="24"/>
          <w:szCs w:val="24"/>
        </w:rPr>
        <w:t xml:space="preserve"> Российской Федерации для строительства или реконструкции здания, сооружения и объекта незавершенного строительства получение разрешения на строительство не требуется);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в отношении помещений в случаях: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подготовки и оформления в установленном Жилищным </w:t>
      </w:r>
      <w:hyperlink r:id="rId8">
        <w:r>
          <w:rPr>
            <w:bCs/>
            <w:sz w:val="24"/>
            <w:szCs w:val="24"/>
          </w:rPr>
          <w:t>кодексом</w:t>
        </w:r>
      </w:hyperlink>
      <w:r>
        <w:rPr>
          <w:bCs/>
          <w:sz w:val="24"/>
          <w:szCs w:val="24"/>
        </w:rPr>
        <w:t xml:space="preserve"> Российской Федерации порядке проекта переустройства и (или) перепланировки помещения в целях перевода жилого помещения в нежилое помещение или нежилого помещения в жилое помещение;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подготовки и оформления в отношении помещения, в том числе образуемого в результате преобразования другого помещения (помещений) в соответствии с положениями, предусмотренными Федеральным </w:t>
      </w:r>
      <w:hyperlink r:id="rId9">
        <w:r>
          <w:rPr>
            <w:bCs/>
            <w:sz w:val="24"/>
            <w:szCs w:val="24"/>
          </w:rPr>
          <w:t>законом</w:t>
        </w:r>
      </w:hyperlink>
      <w:r>
        <w:rPr>
          <w:bCs/>
          <w:sz w:val="24"/>
          <w:szCs w:val="24"/>
        </w:rPr>
        <w:t xml:space="preserve"> "О государственном кадастре недвижимости", документов, содержащих необходимые для осуществления государственного кадастрового учета сведения о таком помещении.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2.4. При присвоении адресов зданиям, сооружениям и объектам незавершенного строительства такие адреса должны соответствовать адресам земельных участков, в границах которых расположены соответствующие здания, сооружения и объекты незавершенного строительства.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2.5. В случае, если зданию или сооружению не присвоен адрес, присвоение адреса помещению, расположенному в таком здании или сооружении, осуществляется при условии одновременного присвоения адреса такому зданию или сооружению.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bookmarkStart w:id="5" w:name="Par35"/>
      <w:bookmarkEnd w:id="5"/>
      <w:r>
        <w:rPr>
          <w:bCs/>
          <w:sz w:val="24"/>
          <w:szCs w:val="24"/>
        </w:rPr>
        <w:t>2.6. В случае присвоения адреса многоквартирному дому осуществляется одновременное присвоение адресов всем расположенным в нем помещениям.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2.7. Изменение адреса объекта адресации в случае изменения наименований и границ субъектов Российской Федерации, муниципальных образований и населенных пунктов осуществляется на основании информации Государственного каталога географических названий и государственного реестра муниципальных образований Российской Федерации, предоставляемой оператору федеральной информационной адресной системы в установленном Правительством Российской Федерации порядке межведомственного информационного взаимодействия при ведении государственного адресного реестра.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2.8. Аннулирование адреса объекта адресации осуществляется в случаях: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bookmarkStart w:id="6" w:name="Par39"/>
      <w:bookmarkEnd w:id="6"/>
      <w:r>
        <w:rPr>
          <w:bCs/>
          <w:sz w:val="24"/>
          <w:szCs w:val="24"/>
        </w:rPr>
        <w:t>а) прекращения существования объекта адресации;</w:t>
      </w:r>
    </w:p>
    <w:p>
      <w:pPr>
        <w:pStyle w:val="Normal"/>
        <w:autoSpaceDE w:val="false"/>
        <w:ind w:firstLine="540"/>
        <w:jc w:val="both"/>
        <w:rPr/>
      </w:pPr>
      <w:bookmarkStart w:id="7" w:name="Par40"/>
      <w:bookmarkEnd w:id="7"/>
      <w:r>
        <w:rPr>
          <w:bCs/>
          <w:sz w:val="24"/>
          <w:szCs w:val="24"/>
        </w:rPr>
        <w:t xml:space="preserve">б) отказа в осуществлении кадастрового учета объекта адресации по основаниям, указанным в </w:t>
      </w:r>
      <w:hyperlink r:id="rId10">
        <w:r>
          <w:rPr>
            <w:bCs/>
            <w:sz w:val="24"/>
            <w:szCs w:val="24"/>
          </w:rPr>
          <w:t>пунктах 1</w:t>
        </w:r>
      </w:hyperlink>
      <w:r>
        <w:rPr>
          <w:bCs/>
          <w:sz w:val="24"/>
          <w:szCs w:val="24"/>
        </w:rPr>
        <w:t xml:space="preserve"> и </w:t>
      </w:r>
      <w:hyperlink r:id="rId11">
        <w:r>
          <w:rPr>
            <w:bCs/>
            <w:sz w:val="24"/>
            <w:szCs w:val="24"/>
          </w:rPr>
          <w:t>3 части 2 статьи 27</w:t>
        </w:r>
      </w:hyperlink>
      <w:r>
        <w:rPr>
          <w:bCs/>
          <w:sz w:val="24"/>
          <w:szCs w:val="24"/>
        </w:rPr>
        <w:t xml:space="preserve"> Федерального закона "О государственном кадастре недвижимости";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присвоения объекту адресации нового адреса.</w:t>
      </w:r>
    </w:p>
    <w:p>
      <w:pPr>
        <w:pStyle w:val="Normal"/>
        <w:autoSpaceDE w:val="false"/>
        <w:ind w:firstLine="540"/>
        <w:jc w:val="both"/>
        <w:rPr/>
      </w:pPr>
      <w:bookmarkStart w:id="8" w:name="Par38"/>
      <w:bookmarkEnd w:id="8"/>
      <w:r>
        <w:rPr>
          <w:bCs/>
          <w:sz w:val="24"/>
          <w:szCs w:val="24"/>
        </w:rPr>
        <w:t xml:space="preserve">2.9.  Аннулирование адреса объекта адресации в случае прекращения существования объекта адресации осуществляется после снятия этого объекта адресации с кадастрового учета, за исключением случаев аннулирования и исключения сведений об объекте адресации, указанных в </w:t>
      </w:r>
      <w:hyperlink r:id="rId12">
        <w:r>
          <w:rPr>
            <w:bCs/>
            <w:sz w:val="24"/>
            <w:szCs w:val="24"/>
          </w:rPr>
          <w:t>частях 4</w:t>
        </w:r>
      </w:hyperlink>
      <w:r>
        <w:rPr>
          <w:bCs/>
          <w:sz w:val="24"/>
          <w:szCs w:val="24"/>
        </w:rPr>
        <w:t xml:space="preserve"> и </w:t>
      </w:r>
      <w:hyperlink r:id="rId13">
        <w:r>
          <w:rPr>
            <w:bCs/>
            <w:sz w:val="24"/>
            <w:szCs w:val="24"/>
          </w:rPr>
          <w:t>5 статьи 24</w:t>
        </w:r>
      </w:hyperlink>
      <w:r>
        <w:rPr>
          <w:bCs/>
          <w:sz w:val="24"/>
          <w:szCs w:val="24"/>
        </w:rPr>
        <w:t xml:space="preserve"> Федерального закона "О государственном кадастре недвижимости", из государственного кадастра недвижимости.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2.10. Аннулирование адреса существующего объекта адресации без одновременного присвоения этому объекту адресации нового адреса не допускается.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2.11. Аннулирование адресов объектов адресации, являющихся преобразуемыми объектами недвижимости (за исключением объектов адресации, сохраняющихся в измененных границах), осуществляется после снятия с учета таких преобразуемых объектов недвижимости. Аннулирование и повторное присвоение адресов объектам адресации, являющимся преобразуемыми объектами недвижимости, которые после преобразования сохраняются в измененных границах, не производится.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2.12. В случае аннулирования адреса здания или сооружения в связи с прекращением его существования как объекта недвижимости одновременно аннулируются адреса всех помещений в таком здании или сооружении.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bookmarkStart w:id="9" w:name="Par45"/>
      <w:bookmarkEnd w:id="9"/>
      <w:r>
        <w:rPr>
          <w:bCs/>
          <w:sz w:val="24"/>
          <w:szCs w:val="24"/>
        </w:rPr>
        <w:t>2.13. При присвоении объекту адресации адреса или аннулировании его адреса администрация  обязана: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определить возможность присвоения объекту адресации адреса или аннулирования его адреса;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провести осмотр местонахождения объекта адресации (при необходимости);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принять решение о присвоении объекту адресации адреса или его аннулировании в соответствии с требованиями к структуре адреса и порядком, которые установлены настоящими Правилами, или об отказе в присвоении объекту адресации адреса или аннулировании его адреса.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2.14. Присвоение объекту адресации адреса или аннулирование его адреса подтверждается решением администрации  (далее – решение) о присвоении объекту адресации адреса или аннулировании его адреса.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2.15. Решение о присвоении объекту адресации адреса принимается одновременно: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с утверждением   схемы расположения земельного участка, являющегося объектом адресации, на кадастровом плане или кадастровой карте соответствующей территории;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б) с заключением  соглашения о перераспределении земельных участков, являющихся объектами адресации, в соответствии с Земельным </w:t>
      </w:r>
      <w:hyperlink r:id="rId14">
        <w:r>
          <w:rPr>
            <w:bCs/>
            <w:sz w:val="24"/>
            <w:szCs w:val="24"/>
          </w:rPr>
          <w:t>кодексом</w:t>
        </w:r>
      </w:hyperlink>
      <w:r>
        <w:rPr>
          <w:bCs/>
          <w:sz w:val="24"/>
          <w:szCs w:val="24"/>
        </w:rPr>
        <w:t xml:space="preserve"> Российской Федерации;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в) с заключением  договора о развитии застроенной территории в соответствии с Градостроительным </w:t>
      </w:r>
      <w:hyperlink r:id="rId15">
        <w:r>
          <w:rPr>
            <w:bCs/>
            <w:sz w:val="24"/>
            <w:szCs w:val="24"/>
          </w:rPr>
          <w:t>кодексом</w:t>
        </w:r>
      </w:hyperlink>
      <w:r>
        <w:rPr>
          <w:bCs/>
          <w:sz w:val="24"/>
          <w:szCs w:val="24"/>
        </w:rPr>
        <w:t xml:space="preserve"> Российской Федерации;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с утверждением проекта планировки территории;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д) с принятием решения о строительстве объекта адресации.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2.16. Решение   о присвоении объекту адресации адреса содержит: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присвоенный объекту адресации адрес;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реквизиты и наименования документов, на основании которых принято решение о присвоении адреса;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описание местоположения объекта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кадастровые номера, адреса и сведения об объектах недвижимости, из которых образуется объект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аннулируемый адрес объекта адресации (в случае присвоения нового адреса объекту адресации);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другие необходимые сведения, определенные уполномоченным органом.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 случае присвоения адреса поставленному на государственный кадастровый учет объекту недвижимости в решении   о присвоении адреса объекту адресации также указывается кадастровый номер объекта недвижимости, являющегося объектом адресации.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2.17.  Решение об аннулировании адреса объекта адресации содержит: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аннулируемый адрес объекта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причину аннулирования адреса объекта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кадастровый номер объекта адресации и дату его снятия с кадастрового учета в случае аннулирования адреса объекта адресации в связи с прекращением существования объекта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реквизиты решения о присвоении объекту адресации адреса и кадастровый номер объекта адресации в случае аннулирования адреса объекта адресации на основании присвоения этому объекту адресации нового адреса;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другие необходимые сведения, определенные уполномоченным органом.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Решение об аннулировании адреса объекта адресации в случае присвоения объекту адресации нового адреса может быть по решению администрации  объединено с решением о присвоении этому объекту адресации нового адреса.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2.18. Решение о присвоении объекту адресации адреса или аннулировании его адреса подлежит обязательному внесению администрацией  в государственный адресный реестр в течение 3 рабочих дней со дня принятия такого решения.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2.19. Датой присвоения объекту адресации адреса, изменения или аннулирования его адреса признается дата внесения сведений об адресе объекта адресации в государственный адресный реестр.</w:t>
      </w:r>
    </w:p>
    <w:p>
      <w:pPr>
        <w:pStyle w:val="Normal"/>
        <w:autoSpaceDE w:val="false"/>
        <w:ind w:firstLine="540"/>
        <w:jc w:val="both"/>
        <w:rPr/>
      </w:pPr>
      <w:bookmarkStart w:id="10" w:name="Par76"/>
      <w:bookmarkEnd w:id="10"/>
      <w:r>
        <w:rPr>
          <w:sz w:val="24"/>
          <w:szCs w:val="24"/>
        </w:rPr>
        <w:t xml:space="preserve">2.20. </w:t>
      </w:r>
      <w:r>
        <w:rPr>
          <w:bCs/>
          <w:sz w:val="24"/>
          <w:szCs w:val="24"/>
        </w:rPr>
        <w:t xml:space="preserve"> Заявление о присвоении объекту адресации адреса или об аннулировании его адреса (далее - заявление) подается собственником объекта адресации по собственной инициативе либо лицом, обладающим одним из следующих вещных прав на объект адресации: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право хозяйственного ведения;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право оперативного управления;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право пожизненно наследуемого владения;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право постоянного (бессрочного) пользования.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2.21. </w:t>
      </w:r>
      <w:bookmarkStart w:id="11" w:name="Par86"/>
      <w:bookmarkEnd w:id="11"/>
      <w:r>
        <w:rPr>
          <w:bCs/>
          <w:sz w:val="24"/>
          <w:szCs w:val="24"/>
        </w:rPr>
        <w:t xml:space="preserve"> С заявлением вправе обратиться </w:t>
      </w:r>
      <w:hyperlink r:id="rId16">
        <w:r>
          <w:rPr>
            <w:bCs/>
            <w:sz w:val="24"/>
            <w:szCs w:val="24"/>
          </w:rPr>
          <w:t>представители</w:t>
        </w:r>
      </w:hyperlink>
      <w:r>
        <w:rPr>
          <w:bCs/>
          <w:sz w:val="24"/>
          <w:szCs w:val="24"/>
        </w:rPr>
        <w:t xml:space="preserve"> заявителя, действующие в силу полномочий, основанных на оформленной в установленном законодательством Российской Федерации порядке доверенности, на указании федерального закона либо на акте уполномоченного на то государственного органа или органа местного самоуправления (далее - представитель заявителя).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От имени собственников помещений в многоквартирном доме с заявлением вправе обратиться представитель таких собственников, уполномоченный на подачу такого заявления принятым в установленном </w:t>
      </w:r>
      <w:hyperlink r:id="rId17">
        <w:r>
          <w:rPr>
            <w:bCs/>
            <w:sz w:val="24"/>
            <w:szCs w:val="24"/>
          </w:rPr>
          <w:t>законодательством</w:t>
        </w:r>
      </w:hyperlink>
      <w:r>
        <w:rPr>
          <w:bCs/>
          <w:sz w:val="24"/>
          <w:szCs w:val="24"/>
        </w:rPr>
        <w:t xml:space="preserve"> Российской Федерации порядке решением общего собрания указанных собственников.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2.22. В случае образования 2 или более объектов адресации в результате преобразования существующего объекта или объектов адресации представляется одно заявление на все одновременно образуемые объекты адресации.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2.23. Заявление направляется заявителем (представителем заявителя) в администрацию </w:t>
      </w:r>
      <w:r>
        <w:rPr>
          <w:sz w:val="24"/>
          <w:szCs w:val="24"/>
        </w:rPr>
        <w:t>р.п.Шаранга</w:t>
      </w:r>
      <w:r>
        <w:rPr>
          <w:bCs/>
          <w:sz w:val="24"/>
          <w:szCs w:val="24"/>
        </w:rPr>
        <w:t xml:space="preserve">  на бумажном носителе посредством почтового отправления с описью вложения и уведомлением о вручении или представляется заявителем лично или в форме электронного документа с использованием информационно-телекоммуникационных сетей общего пользования, в том числе федеральной государственной информационной системы "Единый портал государственных и муниципальных услуг (функций)" (далее - единый портал) или региональных порталов государственных и муниципальных услуг (функций) (далее - региональный портал), портала федеральной информационной адресной системы в информационно-телекоммуникационной сети "Интернет" (далее - портал адресной системы).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Заявление представляется заявителем (представителем заявителя) в администрацию  </w:t>
      </w:r>
      <w:r>
        <w:rPr>
          <w:sz w:val="24"/>
          <w:szCs w:val="24"/>
        </w:rPr>
        <w:t>р.п.Шаранга</w:t>
      </w:r>
      <w:r>
        <w:rPr>
          <w:bCs/>
          <w:sz w:val="24"/>
          <w:szCs w:val="24"/>
        </w:rPr>
        <w:t xml:space="preserve"> или многофункциональный центр предоставления государственных и муниципальных услуг Шарангского муниципального района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Заявление представляется по месту нахождения объекта адресации.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2.24. Заявление подписывается заявителем либо представителем заявителя.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При представлении заявления представителем заявителя к такому заявлению прилагается доверенность, выданная представителю заявителя, оформленная в порядке, предусмотренном </w:t>
      </w:r>
      <w:hyperlink r:id="rId18">
        <w:r>
          <w:rPr>
            <w:bCs/>
            <w:sz w:val="24"/>
            <w:szCs w:val="24"/>
          </w:rPr>
          <w:t>законодательством</w:t>
        </w:r>
      </w:hyperlink>
      <w:r>
        <w:rPr>
          <w:bCs/>
          <w:sz w:val="24"/>
          <w:szCs w:val="24"/>
        </w:rPr>
        <w:t xml:space="preserve"> Российской Федерации.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Заявление в форме электронного документа подписывается заявителем либо представителем заявителя с использованием усиленной квалифицированной электронной подписи.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При предоставлении заявления представителем заявителя в форме электронного документа к такому заявлению прилагается надлежащим образом оформленная доверенность в форме электронного документа, подписанного лицом, выдавшим (подписавшим) доверенность, с использованием усиленной квалифицированной электронной подписи (в случае, если представитель заявителя действует на основании доверенности).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2.25. В случае представления заявления при личном обращении заявителя или представителя заявителя предъявляется документ, удостоверяющий соответственно личность заявителя или представителя заявителя.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Лицо, имеющее право действовать без доверенности от имени юридического лица, предъявляет документ, удостоверяющий его личность, и сообщает реквизиты свидетельства о государственной регистрации юридического лица, а представитель юридического лица предъявляет также документ, подтверждающий его полномочия действовать от имени этого юридического лица, или копию этого документа, заверенную печатью и подписью руководителя этого юридического лица.</w:t>
      </w:r>
    </w:p>
    <w:p>
      <w:pPr>
        <w:pStyle w:val="Normal"/>
        <w:autoSpaceDE w:val="false"/>
        <w:ind w:firstLine="540"/>
        <w:jc w:val="both"/>
        <w:rPr/>
      </w:pPr>
      <w:bookmarkStart w:id="12" w:name="Par100"/>
      <w:bookmarkEnd w:id="12"/>
      <w:r>
        <w:rPr>
          <w:bCs/>
          <w:sz w:val="24"/>
          <w:szCs w:val="24"/>
        </w:rPr>
        <w:t>2.26. К заявлению прилагаются следующие документы: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правоустанавливающие и (или) правоудостоверяющие документы на объект (объекты) адресации;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кадастровые паспорта объектов недвижимости, следствием преобразования которых является образование одного и более объекта адресации (в случае преобразования объектов недвижимости с образованием одного и более новых объектов адресации);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разрешение на строительство объекта адресации (при присвоении адреса строящимся объектам адресации) и (или) разрешение на ввод объекта адресации в эксплуатацию;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схема расположения объекта адресации на кадастровом плане или кадастровой карте соответствующей территории (в случае присвоения земельному участку адреса);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д) кадастровый паспорт объекта адресации (в случае присвоения адреса объекту адресации, поставленному на кадастровый учет);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е) решение органа местного самоуправления о переводе жилого помещения в нежилое помещение или нежилого помещения в жилое помещение (в случае присвоения помещению адреса, изменения и аннулирования такого адреса вследствие его перевода из жилого помещения в нежилое помещение или нежилого помещения в жилое помещение);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ж) акт приемочной комиссии при переустройстве и (или) перепланировке помещения, приводящих к образованию одного и более новых объектов адресации (в случае преобразования объектов недвижимости (помещений) с образованием одного и более новых объектов адресации);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з) кадастровая выписка об объекте недвижимости, который снят с учета (в случае аннулирования адреса объекта адресации по основаниям, указанным в </w:t>
      </w:r>
      <w:hyperlink w:anchor="Par39">
        <w:r>
          <w:rPr>
            <w:bCs/>
            <w:sz w:val="24"/>
            <w:szCs w:val="24"/>
          </w:rPr>
          <w:t>подпункте "а" пункта 2.9.</w:t>
        </w:r>
      </w:hyperlink>
      <w:r>
        <w:rPr>
          <w:bCs/>
          <w:sz w:val="24"/>
          <w:szCs w:val="24"/>
        </w:rPr>
        <w:t xml:space="preserve"> настоящих Правил);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и) уведомление об отсутствии в государственном кадастре недвижимости запрашиваемых сведений по объекту адресации (в случае аннулирования адреса объекта адресации по основаниям, указанным в </w:t>
      </w:r>
      <w:hyperlink w:anchor="Par40">
        <w:r>
          <w:rPr>
            <w:bCs/>
            <w:sz w:val="24"/>
            <w:szCs w:val="24"/>
          </w:rPr>
          <w:t>подпункте "б" пункта 2.9.</w:t>
        </w:r>
      </w:hyperlink>
      <w:r>
        <w:rPr>
          <w:bCs/>
          <w:sz w:val="24"/>
          <w:szCs w:val="24"/>
        </w:rPr>
        <w:t xml:space="preserve">  настоящих Правил).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2.27. Администрация </w:t>
      </w:r>
      <w:r>
        <w:rPr>
          <w:sz w:val="24"/>
          <w:szCs w:val="24"/>
        </w:rPr>
        <w:t>р.п.Шаранга</w:t>
      </w:r>
      <w:r>
        <w:rPr>
          <w:bCs/>
          <w:sz w:val="24"/>
          <w:szCs w:val="24"/>
        </w:rPr>
        <w:t xml:space="preserve"> запрашивает документы, указанные в </w:t>
      </w:r>
      <w:hyperlink w:anchor="Par100">
        <w:r>
          <w:rPr>
            <w:bCs/>
            <w:sz w:val="24"/>
            <w:szCs w:val="24"/>
          </w:rPr>
          <w:t>пункте 3.7.</w:t>
        </w:r>
      </w:hyperlink>
      <w:r>
        <w:rPr>
          <w:bCs/>
          <w:sz w:val="24"/>
          <w:szCs w:val="24"/>
        </w:rPr>
        <w:t xml:space="preserve"> настоящих Правил, в органах государственной власти, органах местного самоуправления и подведомственных государственным органам или органам местного самоуправления организациях, в распоряжении которых находятся указанные документы (их копии, сведения, содержащиеся в них).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Заявители (представители заявителя) при подаче заявления вправе приложить к нему документы, если такие документы не находятся в распоряжении органа государственной власти, органа местного самоуправления либо подведомственных государственным органам или органам местного самоуправления организаций.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Документы, представляемые в  форме электронных документов, удостоверяются заявителем (представителем заявителя) с использованием усиленной квалифицированной электронной подписи.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2.28. Если заявление и документы, представляются заявителем (представителем заявителя)  лично, то заявителю или его представителю выдается расписка в получении документов с указанием их перечня и даты получения. Расписка выдается заявителю (представителю заявителя) в день получения документов.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 случае, если заявление и документы, представлены посредством почтового отправления или представлены заявителем (представителем заявителя) лично через многофункциональный центр, расписка в получении таких заявления и документов направляется по указанному в заявлении почтовому адресу в течение рабочего дня, следующего за днем получения документов.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Получение заявления и документов, представляемых в форме электронных документов, подтверждается путем направления заявителю (представителю заявителя) сообщения о получении заявления и документов с указанием входящего регистрационного номера заявления, даты получения заявления и документов, а также перечень наименований файлов, представленных в форме электронных документов, с указанием их объема.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Сообщение о получении заявления и документов, направляется по указанному в заявлении адресу электронной почты или в личный кабинет заявителя (представителя заявителя) в едином портале или в федеральной информационной адресной системе в случае представления заявления и документов соответственно через единый портал, региональный портал или портал адресной системы.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Сообщение о получении заявления и документов направляется заявителю (представителю заявителя) не позднее рабочего дня, следующего за днем поступления заявления в администрацию</w:t>
      </w:r>
      <w:r>
        <w:rPr>
          <w:sz w:val="24"/>
          <w:szCs w:val="24"/>
        </w:rPr>
        <w:t xml:space="preserve"> р.п.Шаранга</w:t>
      </w:r>
      <w:r>
        <w:rPr>
          <w:bCs/>
          <w:sz w:val="24"/>
          <w:szCs w:val="24"/>
        </w:rPr>
        <w:t>.</w:t>
      </w:r>
    </w:p>
    <w:p>
      <w:pPr>
        <w:pStyle w:val="Normal"/>
        <w:autoSpaceDE w:val="false"/>
        <w:ind w:firstLine="540"/>
        <w:jc w:val="both"/>
        <w:rPr/>
      </w:pPr>
      <w:bookmarkStart w:id="13" w:name="Par118"/>
      <w:bookmarkEnd w:id="13"/>
      <w:r>
        <w:rPr>
          <w:bCs/>
          <w:sz w:val="24"/>
          <w:szCs w:val="24"/>
        </w:rPr>
        <w:t xml:space="preserve">2.29. Решение о присвоении объекту адресации адреса или аннулировании его адреса, а также решение об отказе в таком присвоении или аннулировании принимаются администрацией </w:t>
      </w:r>
      <w:r>
        <w:rPr>
          <w:sz w:val="24"/>
          <w:szCs w:val="24"/>
        </w:rPr>
        <w:t xml:space="preserve">р.п.Шаранга </w:t>
      </w:r>
      <w:r>
        <w:rPr>
          <w:bCs/>
          <w:sz w:val="24"/>
          <w:szCs w:val="24"/>
        </w:rPr>
        <w:t xml:space="preserve"> в срок не более чем 18 рабочих дней со дня поступления заявления.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2.30.  В случае представления заявления через многофункциональный центр срок, указанный в </w:t>
      </w:r>
      <w:hyperlink w:anchor="Par118">
        <w:r>
          <w:rPr>
            <w:bCs/>
            <w:sz w:val="24"/>
            <w:szCs w:val="24"/>
          </w:rPr>
          <w:t>пункте 3.8.</w:t>
        </w:r>
      </w:hyperlink>
      <w:r>
        <w:rPr>
          <w:bCs/>
          <w:sz w:val="24"/>
          <w:szCs w:val="24"/>
        </w:rPr>
        <w:t xml:space="preserve"> настоящих Правил, исчисляется со дня передачи многофункциональным центром заявления и документов в администрацию.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2.31.  Решение администрации </w:t>
      </w:r>
      <w:r>
        <w:rPr>
          <w:sz w:val="24"/>
          <w:szCs w:val="24"/>
        </w:rPr>
        <w:t>р.п.Шаранга</w:t>
      </w:r>
      <w:r>
        <w:rPr>
          <w:bCs/>
          <w:sz w:val="24"/>
          <w:szCs w:val="24"/>
        </w:rPr>
        <w:t xml:space="preserve"> о присвоении объекту адресации адреса или аннулировании его адреса, а также решение об отказе в таком присвоении или аннулировании адреса направляются заявителю (представителю заявителя) одним из способов, указанным в заявлении: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в форме электронного документа с использованием информационно-телекоммуникационных сетей общего пользования, в том числе единого портала, региональных порталов или портала адресной системы, не позднее одного рабочего дня со дня истечения срока, указанного в </w:t>
      </w:r>
      <w:hyperlink w:anchor="Par118">
        <w:r>
          <w:rPr>
            <w:bCs/>
            <w:sz w:val="24"/>
            <w:szCs w:val="24"/>
          </w:rPr>
          <w:t>пунктах 3.8.</w:t>
        </w:r>
      </w:hyperlink>
      <w:r>
        <w:rPr>
          <w:bCs/>
          <w:sz w:val="24"/>
          <w:szCs w:val="24"/>
        </w:rPr>
        <w:t xml:space="preserve">   и 3.11. настоящих Правил;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в форме документа на бумажном носителе посредством выдачи заявителю (представителю заявителя) лично под расписку либо направления документа не позднее рабочего дня, следующего за 10-м рабочим днем со дня истечения установленного </w:t>
      </w:r>
      <w:hyperlink w:anchor="Par118">
        <w:r>
          <w:rPr>
            <w:bCs/>
            <w:sz w:val="24"/>
            <w:szCs w:val="24"/>
          </w:rPr>
          <w:t>пунктами 3.8.</w:t>
        </w:r>
      </w:hyperlink>
      <w:r>
        <w:rPr>
          <w:bCs/>
          <w:sz w:val="24"/>
          <w:szCs w:val="24"/>
        </w:rPr>
        <w:t xml:space="preserve">   и 3.11. настоящих Правил срока посредством почтового отправления по указанному в заявлении почтовому адресу.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При наличии в заявлении указания о выдаче решения о присвоении объекту адресации адреса или аннулировании его адреса, решения об отказе в таком присвоении или аннулировании через многофункциональный центр по месту представления заявления администрация  обеспечивает передачу документа в многофункциональный центр для выдачи заявителю не позднее рабочего дня, следующего за днем истечения срока, установленного </w:t>
      </w:r>
      <w:r>
        <w:rPr>
          <w:sz w:val="24"/>
          <w:szCs w:val="24"/>
        </w:rPr>
        <w:t xml:space="preserve">пунктом 3.10. </w:t>
      </w:r>
      <w:r>
        <w:rPr>
          <w:bCs/>
          <w:sz w:val="24"/>
          <w:szCs w:val="24"/>
        </w:rPr>
        <w:t>настоящих Правил.</w:t>
      </w:r>
    </w:p>
    <w:p>
      <w:pPr>
        <w:pStyle w:val="Normal"/>
        <w:autoSpaceDE w:val="false"/>
        <w:ind w:firstLine="540"/>
        <w:jc w:val="both"/>
        <w:rPr/>
      </w:pPr>
      <w:bookmarkStart w:id="14" w:name="Par124"/>
      <w:bookmarkEnd w:id="14"/>
      <w:r>
        <w:rPr>
          <w:bCs/>
          <w:sz w:val="24"/>
          <w:szCs w:val="24"/>
        </w:rPr>
        <w:t>2.32. В присвоении объекту адресации адреса или аннулировании его адреса может быть отказано в случаях, если: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а) с заявлением о присвоении объекту адресации адреса обратилось лицо, не указанное в </w:t>
      </w:r>
      <w:r>
        <w:rPr>
          <w:sz w:val="24"/>
          <w:szCs w:val="24"/>
        </w:rPr>
        <w:t xml:space="preserve">пункте </w:t>
      </w:r>
      <w:r>
        <w:rPr>
          <w:bCs/>
          <w:sz w:val="24"/>
          <w:szCs w:val="24"/>
        </w:rPr>
        <w:t>3.1.  настоящих Правил;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ответ на межведомственный запрос свидетельствует об отсутствии документа и (или) информации, необходимых для присвоения объекту адресации адреса или аннулирования его адреса, и соответствующий документ не был представлен заявителем (представителем заявителя) по собственной инициативе;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документы, обязанность по предоставлению которых для присвоения объекту адресации адреса или аннулирования его адреса возложена на заявителя (представителя заявителя), выданы с нарушением порядка, установленного законодательством Российской Федерации;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г) отсутствуют случаи и условия для присвоения объекту адресации адреса или аннулирования его адреса, указанные в </w:t>
      </w:r>
      <w:hyperlink w:anchor="Par16">
        <w:r>
          <w:rPr>
            <w:bCs/>
            <w:sz w:val="24"/>
            <w:szCs w:val="24"/>
          </w:rPr>
          <w:t>пунктах 1.5</w:t>
        </w:r>
      </w:hyperlink>
      <w:r>
        <w:rPr>
          <w:bCs/>
          <w:sz w:val="24"/>
          <w:szCs w:val="24"/>
        </w:rPr>
        <w:t xml:space="preserve">., </w:t>
      </w:r>
      <w:hyperlink w:anchor="Par23">
        <w:r>
          <w:rPr>
            <w:bCs/>
            <w:sz w:val="24"/>
            <w:szCs w:val="24"/>
          </w:rPr>
          <w:t>2.3-2.6.</w:t>
        </w:r>
      </w:hyperlink>
      <w:r>
        <w:rPr>
          <w:bCs/>
          <w:sz w:val="24"/>
          <w:szCs w:val="24"/>
        </w:rPr>
        <w:t xml:space="preserve">  </w:t>
      </w:r>
      <w:hyperlink w:anchor="Par38">
        <w:r>
          <w:rPr>
            <w:bCs/>
            <w:sz w:val="24"/>
            <w:szCs w:val="24"/>
          </w:rPr>
          <w:t>2.9</w:t>
        </w:r>
      </w:hyperlink>
      <w:r>
        <w:rPr>
          <w:bCs/>
          <w:sz w:val="24"/>
          <w:szCs w:val="24"/>
        </w:rPr>
        <w:t xml:space="preserve"> – </w:t>
      </w:r>
      <w:hyperlink w:anchor="Par45">
        <w:r>
          <w:rPr>
            <w:bCs/>
            <w:sz w:val="24"/>
            <w:szCs w:val="24"/>
          </w:rPr>
          <w:t>2.11.</w:t>
        </w:r>
      </w:hyperlink>
      <w:r>
        <w:rPr>
          <w:bCs/>
          <w:sz w:val="24"/>
          <w:szCs w:val="24"/>
        </w:rPr>
        <w:t xml:space="preserve"> настоящих Правил.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2.33. Решение об отказе в присвоении объекту адресации адреса или аннулировании его адреса должно содержать причину отказа с обязательной ссылкой на положения </w:t>
      </w:r>
      <w:hyperlink w:anchor="Par124">
        <w:r>
          <w:rPr>
            <w:bCs/>
            <w:sz w:val="24"/>
            <w:szCs w:val="24"/>
          </w:rPr>
          <w:t>пункта</w:t>
        </w:r>
      </w:hyperlink>
      <w:r>
        <w:rPr>
          <w:bCs/>
          <w:sz w:val="24"/>
          <w:szCs w:val="24"/>
        </w:rPr>
        <w:t xml:space="preserve"> 3.13 настоящих Правил, являющиеся основанием для принятия такого решения.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2.34. Решение об отказе в присвоении объекту адресации адреса или аннулировании его адреса может быть обжаловано в судебном порядке.</w:t>
      </w:r>
    </w:p>
    <w:p>
      <w:pPr>
        <w:pStyle w:val="Normal"/>
        <w:widowControl w:val="false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>
          <w:bCs/>
          <w:sz w:val="24"/>
          <w:szCs w:val="24"/>
          <w:lang w:val="en-US"/>
        </w:rPr>
      </w:pPr>
      <w:r>
        <w:rPr>
          <w:bCs/>
          <w:sz w:val="24"/>
          <w:szCs w:val="24"/>
          <w:lang w:val="en-US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>
          <w:bCs/>
          <w:sz w:val="24"/>
          <w:szCs w:val="24"/>
        </w:rPr>
        <w:t>I</w:t>
      </w:r>
      <w:r>
        <w:rPr>
          <w:bCs/>
          <w:sz w:val="24"/>
          <w:szCs w:val="24"/>
          <w:lang w:val="en-US"/>
        </w:rPr>
        <w:t>II</w:t>
      </w:r>
      <w:r>
        <w:rPr>
          <w:bCs/>
          <w:sz w:val="24"/>
          <w:szCs w:val="24"/>
        </w:rPr>
        <w:t>. Структура адреса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/>
      </w:pPr>
      <w:bookmarkStart w:id="15" w:name="Par135"/>
      <w:bookmarkEnd w:id="15"/>
      <w:r>
        <w:rPr>
          <w:bCs/>
          <w:sz w:val="24"/>
          <w:szCs w:val="24"/>
        </w:rPr>
        <w:t>3.1. Структура адреса включает в себя следующую последовательность адресообразующих элементов, описанных идентифицирующими их реквизитами (далее - реквизит адреса):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наименование страны (Российская Федерация);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наименование субъекта Российской Федерации;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наименование муниципального района;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наименование населенного пункта;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д) наименование элемента планировочной структуры;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е) наименование элемента улично-дорожной сети;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ж) номер земельного участка;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з) тип и номер здания, сооружения или объекта незавершенного строительства;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и) тип и номер помещения, расположенного в здании или сооружении.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3.2. При описании адреса используется определенная последовательность написания адреса, соответствующая последовательности адресообразующих элементов в структуре адреса, указанная в </w:t>
      </w:r>
      <w:hyperlink w:anchor="Par135">
        <w:r>
          <w:rPr>
            <w:bCs/>
            <w:sz w:val="24"/>
            <w:szCs w:val="24"/>
          </w:rPr>
          <w:t>пункте 3.1.</w:t>
        </w:r>
      </w:hyperlink>
      <w:r>
        <w:rPr>
          <w:bCs/>
          <w:sz w:val="24"/>
          <w:szCs w:val="24"/>
        </w:rPr>
        <w:t xml:space="preserve"> настоящих Правил.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3.3. Перечень адресообразующих элементов, используемых при описании адреса объекта адресации, зависит от вида объекта адресации.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3.4. Обязательными адресообразующими элементами для всех видов объектов адресации являются: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страна;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субъект Российской Федерации;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муниципальный район;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населенный пункт.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3.5. Иные адресообразующие элементы применяются в зависимости от вида объекта адресации.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3.6. Структура адреса земельного участка в дополнение к обязательным адресообразующим элементам включает в себя следующие адресообразующие элементы, описанные идентифицирующими их реквизитами: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наименование элемента планировочной структуры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наименование элемента улично-дорожной сети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номер земельного участка.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3.7. Структура адреса здания, сооружения или объекта незавершенного строительства в дополнение к обязательным адресообразующим элементам включает в себя следующие адресообразующие элементы, описанные идентифицирующими их реквизитами: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наименование элемента планировочной структуры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наименование элемента улично-дорожной сети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тип и номер здания, сооружения или объекта незавершенного строительства.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3.8. Структура адреса помещения в пределах здания (сооружения) в дополнение к обязательным адресообразующим элементам включает в себя следующие адресообразующие элементы, описанные идентифицирующими их реквизитами: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наименование элемента планировочной структуры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наименование элемента улично-дорожной сети (при наличии);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тип и номер здания, сооружения;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тип и номер помещения в пределах здания, сооружения;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д) тип и номер помещения в пределах квартиры (в отношении коммунальных квартир).</w:t>
      </w:r>
    </w:p>
    <w:p>
      <w:pPr>
        <w:pStyle w:val="Normal"/>
        <w:autoSpaceDE w:val="fals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numPr>
          <w:ilvl w:val="0"/>
          <w:numId w:val="0"/>
        </w:numPr>
        <w:autoSpaceDE w:val="false"/>
        <w:jc w:val="center"/>
        <w:outlineLvl w:val="0"/>
        <w:rPr/>
      </w:pPr>
      <w:r>
        <w:rPr>
          <w:bCs/>
          <w:sz w:val="24"/>
          <w:szCs w:val="24"/>
          <w:lang w:val="en-US"/>
        </w:rPr>
        <w:t>I</w:t>
      </w:r>
      <w:r>
        <w:rPr>
          <w:bCs/>
          <w:sz w:val="24"/>
          <w:szCs w:val="24"/>
        </w:rPr>
        <w:t>V. Правила написания наименований и нумерации</w:t>
      </w:r>
    </w:p>
    <w:p>
      <w:pPr>
        <w:pStyle w:val="Normal"/>
        <w:autoSpaceDE w:val="fals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  <w:t>объектов адресации</w:t>
      </w:r>
    </w:p>
    <w:p>
      <w:pPr>
        <w:pStyle w:val="Normal"/>
        <w:autoSpaceDE w:val="false"/>
        <w:jc w:val="center"/>
        <w:rPr>
          <w:bCs/>
          <w:sz w:val="24"/>
          <w:szCs w:val="24"/>
        </w:rPr>
      </w:pPr>
      <w:r>
        <w:rPr>
          <w:bCs/>
          <w:sz w:val="24"/>
          <w:szCs w:val="24"/>
        </w:rPr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  <w:lang w:val="en-US"/>
        </w:rPr>
        <w:t>4</w:t>
      </w:r>
      <w:r>
        <w:rPr>
          <w:bCs/>
          <w:sz w:val="24"/>
          <w:szCs w:val="24"/>
        </w:rPr>
        <w:t>.1.  В структуре адреса наименования страны, субъекта Российской Федерации, муниципального района, населенного пункта, элементов планировочной структуры и элементов улично-дорожной сети указываются с использованием букв русского алфавита. Дополнительные наименования элементов планировочной структуры и элементов улично-дорожной сети могут быть указаны с использованием букв латинского алфавита.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Наименование муниципального района должно соответствовать соответствующим наименованиям государственного реестра муниципальных образований Российской Федерации.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Наименования населенных пунктов должны соответствовать соответствующим наименованиям, внесенным в Государственный каталог географических названий.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 xml:space="preserve">Наименования страны и субъектов Российской Федерации должны соответствовать соответствующим наименованиям в </w:t>
      </w:r>
      <w:hyperlink r:id="rId19">
        <w:r>
          <w:rPr>
            <w:bCs/>
            <w:sz w:val="24"/>
            <w:szCs w:val="24"/>
          </w:rPr>
          <w:t>Конституции</w:t>
        </w:r>
      </w:hyperlink>
      <w:r>
        <w:rPr>
          <w:bCs/>
          <w:sz w:val="24"/>
          <w:szCs w:val="24"/>
        </w:rPr>
        <w:t xml:space="preserve"> Российской Федерации.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Перечень наименований муниципальных районов  в соответствии с государственным реестром муниципальных образований Российской Федерации, перечень наименований населенных пунктов в соответствии с Государственным каталогом географических названий размещаются в федеральной информационной адресной системе на основании сведений соответственно государственного реестра муниципальных образований Российской Федерации и Государственного каталога географических названий, полученных оператором федеральной информационной адресной системы в порядке межведомственного информационного взаимодействия оператора федеральной информационной адресной системы с органами государственной власти и органами местного самоуправления при ведении государственного адресного реестра.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4.2. В наименованиях элемента планировочной структуры и элемента улично-дорожной сети допускается использовать прописные и строчные буквы русского алфавита, арабские цифры, а также следующие символы: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а) "-" - дефис;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б) "." - точка;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в) "(" - открывающая круглая скобка;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г) ")" - закрывающая круглая скобка;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д) "N" - знак номера.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  <w:lang w:val="en-US"/>
        </w:rPr>
        <w:t>4</w:t>
      </w:r>
      <w:r>
        <w:rPr>
          <w:bCs/>
          <w:sz w:val="24"/>
          <w:szCs w:val="24"/>
        </w:rPr>
        <w:t>.3.  Наименования элементов планировочной структуры и элементов улично-дорожной сети должны отвечать словообразовательным, произносительным и стилистическим нормам современного русского литературного языка.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4.4. Входящее в состав собственного наименования элемента улично-дорожной сети порядковое числительное указывается в начале наименования элемента улично-дорожной сети с использованием арабских цифр и дополнением буквы (букв) грамматического окончания через дефис.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4.5. Цифры в собственных наименованиях элементов улично-дорожной сети, присвоенных в честь знаменательных дат, а также цифры, обозначающие порядковые числительные в родительном падеже, не сопровождаются дополнением цифры грамматическим окончанием.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4.6. Собственные наименования элементов планировочной структуры и улично-дорожной сети, присвоенные в честь выдающихся деятелей, оформляются в родительном падеже.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4.7. Собственное наименование элемента планировочной структуры и элемента улично-дорожной сети, состоящее из имени и фамилии, не заменяется начальными буквами имени и фамилии. Наименования в честь несовершеннолетних героев оформляются с сокращенным вариантом имени.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4.8. Составные части наименований элементов планировочной структуры и элементов улично-дорожной сети, представляющие собой имя и фамилию или звание и фамилию употребляются с полным написанием имени и фамилии или звания и фамилии.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</w:rPr>
        <w:t>4.9. В структуре адресации для нумерации объектов адресации используется целое и (или) дробное числительное с добавлением буквенного индекса (при необходимости).</w:t>
      </w:r>
    </w:p>
    <w:p>
      <w:pPr>
        <w:pStyle w:val="Normal"/>
        <w:autoSpaceDE w:val="false"/>
        <w:ind w:firstLine="540"/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>При формировании номерной части адреса используются арабские цифры и при необходимости буквы русского алфавита, за исключением букв "е", "з", "й", "ъ", "ы" и "ь", а также символ "/" - косая черта.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  <w:lang w:val="en-US"/>
        </w:rPr>
        <w:t>4</w:t>
      </w:r>
      <w:r>
        <w:rPr>
          <w:bCs/>
          <w:sz w:val="24"/>
          <w:szCs w:val="24"/>
        </w:rPr>
        <w:t>.10. Объектам адресации, находящимся на пересечении элементов улично-дорожной сети, присваивается адрес по элементу улично-дорожной сети, на который выходит фасад объекта адресации.</w:t>
      </w:r>
    </w:p>
    <w:p>
      <w:pPr>
        <w:pStyle w:val="Normal"/>
        <w:autoSpaceDE w:val="false"/>
        <w:ind w:firstLine="540"/>
        <w:jc w:val="both"/>
        <w:rPr/>
      </w:pPr>
      <w:r>
        <w:rPr>
          <w:bCs/>
          <w:sz w:val="24"/>
          <w:szCs w:val="24"/>
          <w:lang w:val="en-US"/>
        </w:rPr>
        <w:t>4</w:t>
      </w:r>
      <w:r>
        <w:rPr>
          <w:bCs/>
          <w:sz w:val="24"/>
          <w:szCs w:val="24"/>
        </w:rPr>
        <w:t>.11. Нумерация объектов адресации, расположенных между двумя объектами адресации, которым присвоен адрес с последовательными номерами, производится с использованием меньшего номера соответствующего объекта адресации путем добавления к нему буквенного индекса.</w:t>
      </w:r>
    </w:p>
    <w:p>
      <w:pPr>
        <w:pStyle w:val="Normal"/>
        <w:widowControl w:val="false"/>
        <w:autoSpaceDE w:val="false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jc w:val="both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Courier New">
    <w:charset w:val="cc"/>
    <w:family w:val="modern"/>
    <w:pitch w:val="default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HTML">
    <w:name w:val="Стандартный HTML Знак"/>
    <w:basedOn w:val="Style13"/>
    <w:qFormat/>
    <w:rPr>
      <w:rFonts w:ascii="Courier New" w:hAnsi="Courier New" w:eastAsia="Times New Roman" w:cs="Courier New"/>
    </w:rPr>
  </w:style>
  <w:style w:type="character" w:styleId="Style15">
    <w:name w:val="Интернет-ссылка"/>
    <w:rPr>
      <w:color w:val="000080"/>
      <w:u w:val="single"/>
      <w:lang w:val="zxx" w:eastAsia="zxx" w:bidi="zxx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HTML1">
    <w:name w:val="Стандартный HTML"/>
    <w:basedOn w:val="Normal"/>
    <w:qFormat/>
    <w:pPr>
      <w:tabs>
        <w:tab w:val="clear" w:pos="708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cs="Courier New"/>
    </w:rPr>
  </w:style>
  <w:style w:type="paragraph" w:styleId="Style22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1E207A74B457671E95F0D6AF6C1F6E1F0A095E9C6D528701CDDD243212e2qFH" TargetMode="External"/><Relationship Id="rId4" Type="http://schemas.openxmlformats.org/officeDocument/2006/relationships/hyperlink" Target="consultantplus://offline/ref=934AFC6A3D4CBC5D299BD2667D2D48E611D9AA7DA702C9E29F6ADF0304CADFA65A2FFF997FD1DB52oA23H" TargetMode="External"/><Relationship Id="rId5" Type="http://schemas.openxmlformats.org/officeDocument/2006/relationships/hyperlink" Target="consultantplus://offline/ref=934AFC6A3D4CBC5D299BD2667D2D48E611D9AA7DA700C9E29F6ADF0304CADFA65A2FFF997FD1DF56oA29H" TargetMode="External"/><Relationship Id="rId6" Type="http://schemas.openxmlformats.org/officeDocument/2006/relationships/hyperlink" Target="consultantplus://offline/ref=934AFC6A3D4CBC5D299BD2667D2D48E611D9AA7DA700C9E29F6ADF0304CADFA65A2FFF997FD1DF56oA29H" TargetMode="External"/><Relationship Id="rId7" Type="http://schemas.openxmlformats.org/officeDocument/2006/relationships/hyperlink" Target="consultantplus://offline/ref=934AFC6A3D4CBC5D299BD2667D2D48E611D9AA7DA702C9E29F6ADF0304oC2AH" TargetMode="External"/><Relationship Id="rId8" Type="http://schemas.openxmlformats.org/officeDocument/2006/relationships/hyperlink" Target="consultantplus://offline/ref=934AFC6A3D4CBC5D299BD2667D2D48E611D9A97DAC07C9E29F6ADF0304CADFA65A2FFF997FD1DC58oA2CH" TargetMode="External"/><Relationship Id="rId9" Type="http://schemas.openxmlformats.org/officeDocument/2006/relationships/hyperlink" Target="consultantplus://offline/ref=934AFC6A3D4CBC5D299BD2667D2D48E611D9AA7DA700C9E29F6ADF0304oC2AH" TargetMode="External"/><Relationship Id="rId10" Type="http://schemas.openxmlformats.org/officeDocument/2006/relationships/hyperlink" Target="consultantplus://offline/ref=934AFC6A3D4CBC5D299BD2667D2D48E611D9AA7DA700C9E29F6ADF0304CADFA65A2FFF997FD1DF52oA23H" TargetMode="External"/><Relationship Id="rId11" Type="http://schemas.openxmlformats.org/officeDocument/2006/relationships/hyperlink" Target="consultantplus://offline/ref=934AFC6A3D4CBC5D299BD2667D2D48E611D9AA7DA700C9E29F6ADF0304CADFA65A2FFF99o72FH" TargetMode="External"/><Relationship Id="rId12" Type="http://schemas.openxmlformats.org/officeDocument/2006/relationships/hyperlink" Target="consultantplus://offline/ref=934AFC6A3D4CBC5D299BD2667D2D48E611D9AA7DA700C9E29F6ADF0304CADFA65A2FFF9A7DoD27H" TargetMode="External"/><Relationship Id="rId13" Type="http://schemas.openxmlformats.org/officeDocument/2006/relationships/hyperlink" Target="consultantplus://offline/ref=934AFC6A3D4CBC5D299BD2667D2D48E611D9AA7DA700C9E29F6ADF0304CADFA65A2FFF9Fo72DH" TargetMode="External"/><Relationship Id="rId14" Type="http://schemas.openxmlformats.org/officeDocument/2006/relationships/hyperlink" Target="consultantplus://offline/ref=934AFC6A3D4CBC5D299BD2667D2D48E611D9AA7EA107C9E29F6ADF0304CADFA65A2FFF997AoD20H" TargetMode="External"/><Relationship Id="rId15" Type="http://schemas.openxmlformats.org/officeDocument/2006/relationships/hyperlink" Target="consultantplus://offline/ref=934AFC6A3D4CBC5D299BD2667D2D48E611D9AA7DA702C9E29F6ADF0304CADFA65A2FFF9Co726H" TargetMode="External"/><Relationship Id="rId16" Type="http://schemas.openxmlformats.org/officeDocument/2006/relationships/hyperlink" Target="consultantplus://offline/ref=934AFC6A3D4CBC5D299BD2667D2D48E619D7AC79A50894E89733D301o023H" TargetMode="External"/><Relationship Id="rId17" Type="http://schemas.openxmlformats.org/officeDocument/2006/relationships/hyperlink" Target="consultantplus://offline/ref=934AFC6A3D4CBC5D299BD2667D2D48E611D9A97DAC07C9E29F6ADF0304CADFA65A2FFF997FD1DE53oA2FH" TargetMode="External"/><Relationship Id="rId18" Type="http://schemas.openxmlformats.org/officeDocument/2006/relationships/hyperlink" Target="consultantplus://offline/ref=934AFC6A3D4CBC5D299BD2667D2D48E611D9AA7EA001C9E29F6ADF0304CADFA65A2FFF9C79oD24H" TargetMode="External"/><Relationship Id="rId19" Type="http://schemas.openxmlformats.org/officeDocument/2006/relationships/hyperlink" Target="consultantplus://offline/ref=934AFC6A3D4CBC5D299BD2667D2D48E612D6AD7AAF559EE0CE3FD1o026H" TargetMode="External"/><Relationship Id="rId20" Type="http://schemas.openxmlformats.org/officeDocument/2006/relationships/numbering" Target="numbering.xml"/><Relationship Id="rId21" Type="http://schemas.openxmlformats.org/officeDocument/2006/relationships/fontTable" Target="fontTable.xml"/><Relationship Id="rId22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Application>LibreOffice/7.0.5.2$Windows_X86_64 LibreOffice_project/64390860c6cd0aca4beafafcfd84613dd9dfb63a</Application>
  <AppVersion>15.0000</AppVersion>
  <Pages>12</Pages>
  <Words>3571</Words>
  <Characters>26886</Characters>
  <CharactersWithSpaces>30349</CharactersWithSpaces>
  <Paragraphs>200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2015-03-04T15:45:00Z</cp:lastPrinted>
  <dcterms:modified xsi:type="dcterms:W3CDTF">2015-03-04T14:45:00Z</dcterms:modified>
  <cp:revision>20</cp:revision>
  <dc:subject/>
  <dc:title/>
</cp:coreProperties>
</file>