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wmf" ContentType="image/x-wmf"/>
  <Override PartName="/word/media/image4.png" ContentType="image/png"/>
  <Override PartName="/word/media/image3.wmf" ContentType="image/x-wmf"/>
  <Override PartName="/word/media/image5.png" ContentType="image/png"/>
  <Override PartName="/word/media/image6.png" ContentType="image/png"/>
  <Override PartName="/word/media/image7.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Title"/>
        <w:rPr>
          <w:rFonts w:ascii="Arial" w:hAnsi="Arial" w:cs="Arial"/>
          <w:sz w:val="32"/>
          <w:szCs w:val="32"/>
        </w:rPr>
      </w:pPr>
      <w:r>
        <w:rPr>
          <w:rFonts w:cs="Arial" w:ascii="Arial" w:hAnsi="Arial"/>
          <w:sz w:val="32"/>
          <w:szCs w:val="32"/>
        </w:rPr>
      </w:r>
    </w:p>
    <w:p>
      <w:pPr>
        <w:pStyle w:val="Normal"/>
        <w:jc w:val="center"/>
        <w:rPr>
          <w:rFonts w:ascii="Arial" w:hAnsi="Arial" w:cs="Arial"/>
          <w:b/>
          <w:b/>
          <w:kern w:val="2"/>
          <w:sz w:val="32"/>
          <w:szCs w:val="32"/>
        </w:rPr>
      </w:pPr>
      <w:r>
        <w:rPr/>
        <w:drawing>
          <wp:inline distT="0" distB="0" distL="0" distR="0">
            <wp:extent cx="626745" cy="60579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26745" cy="605790"/>
                    </a:xfrm>
                    <a:prstGeom prst="rect">
                      <a:avLst/>
                    </a:prstGeom>
                  </pic:spPr>
                </pic:pic>
              </a:graphicData>
            </a:graphic>
          </wp:inline>
        </w:drawing>
      </w:r>
    </w:p>
    <w:p>
      <w:pPr>
        <w:pStyle w:val="NoSpacing"/>
        <w:jc w:val="center"/>
        <w:rPr>
          <w:rFonts w:ascii="Arial" w:hAnsi="Arial" w:cs="Arial"/>
          <w:b/>
          <w:b/>
          <w:kern w:val="2"/>
          <w:sz w:val="32"/>
          <w:szCs w:val="32"/>
        </w:rPr>
      </w:pPr>
      <w:r>
        <w:rPr>
          <w:rFonts w:cs="Arial" w:ascii="Arial" w:hAnsi="Arial"/>
          <w:b/>
          <w:kern w:val="2"/>
          <w:sz w:val="32"/>
          <w:szCs w:val="32"/>
        </w:rPr>
        <w:t>СЕЛЬСКИЙ СОВЕТ КУШНУРСКОГО СЕЛЬСОВЕТА</w:t>
      </w:r>
    </w:p>
    <w:p>
      <w:pPr>
        <w:pStyle w:val="NoSpacing"/>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NoSpacing"/>
        <w:jc w:val="center"/>
        <w:rPr>
          <w:rFonts w:ascii="Arial" w:hAnsi="Arial" w:cs="Arial"/>
          <w:b/>
          <w:b/>
          <w:sz w:val="32"/>
          <w:szCs w:val="32"/>
        </w:rPr>
      </w:pPr>
      <w:r>
        <w:rPr>
          <w:rFonts w:cs="Arial" w:ascii="Arial" w:hAnsi="Arial"/>
          <w:b/>
          <w:sz w:val="32"/>
          <w:szCs w:val="32"/>
        </w:rPr>
        <w:t>НИЖЕГОРОДСКОЙ ОБЛАСТИ</w:t>
      </w:r>
    </w:p>
    <w:p>
      <w:pPr>
        <w:pStyle w:val="NoSpacing"/>
        <w:jc w:val="center"/>
        <w:rPr>
          <w:rFonts w:ascii="Arial" w:hAnsi="Arial" w:cs="Arial"/>
          <w:b/>
          <w:b/>
          <w:spacing w:val="60"/>
          <w:sz w:val="32"/>
          <w:szCs w:val="32"/>
        </w:rPr>
      </w:pPr>
      <w:r>
        <w:rPr>
          <w:rFonts w:cs="Arial" w:ascii="Arial" w:hAnsi="Arial"/>
          <w:b/>
          <w:spacing w:val="60"/>
          <w:sz w:val="32"/>
          <w:szCs w:val="32"/>
        </w:rPr>
        <w:t>РЕШЕНИЕ</w:t>
      </w:r>
    </w:p>
    <w:p>
      <w:pPr>
        <w:pStyle w:val="NoSpacing"/>
        <w:rPr>
          <w:rFonts w:ascii="Arial" w:hAnsi="Arial" w:cs="Arial"/>
          <w:spacing w:val="60"/>
          <w:sz w:val="24"/>
          <w:szCs w:val="24"/>
        </w:rPr>
      </w:pPr>
      <w:r>
        <w:rPr>
          <w:rFonts w:cs="Arial" w:ascii="Arial" w:hAnsi="Arial"/>
          <w:spacing w:val="60"/>
          <w:sz w:val="24"/>
          <w:szCs w:val="24"/>
        </w:rPr>
        <w:t>от 08.12.2017 года                                            № 26</w:t>
      </w:r>
    </w:p>
    <w:p>
      <w:pPr>
        <w:pStyle w:val="NoSpacing"/>
        <w:jc w:val="center"/>
        <w:rPr>
          <w:rFonts w:ascii="Arial" w:hAnsi="Arial" w:cs="Arial"/>
          <w:b/>
          <w:b/>
          <w:sz w:val="32"/>
          <w:szCs w:val="32"/>
        </w:rPr>
      </w:pPr>
      <w:r>
        <w:rPr>
          <w:rFonts w:cs="Arial" w:ascii="Arial" w:hAnsi="Arial"/>
          <w:b/>
          <w:sz w:val="32"/>
          <w:szCs w:val="32"/>
        </w:rPr>
        <w:t>Об утверждении местных нормативов градостроительного проектирования Кушнурского сельсовета Шарангского муниципального района Нижегородской области</w:t>
      </w:r>
    </w:p>
    <w:p>
      <w:pPr>
        <w:pStyle w:val="ConsPlusTitle"/>
        <w:ind w:left="0" w:right="0" w:firstLine="540"/>
        <w:jc w:val="both"/>
        <w:rPr>
          <w:rFonts w:ascii="Arial" w:hAnsi="Arial" w:cs="Arial"/>
        </w:rPr>
      </w:pPr>
      <w:r>
        <w:rPr>
          <w:rFonts w:cs="Arial" w:ascii="Arial" w:hAnsi="Arial"/>
        </w:rPr>
      </w:r>
    </w:p>
    <w:p>
      <w:pPr>
        <w:pStyle w:val="ConsPlusTitle"/>
        <w:ind w:left="0" w:right="0" w:firstLine="540"/>
        <w:jc w:val="both"/>
        <w:rPr/>
      </w:pPr>
      <w:r>
        <w:rPr>
          <w:rFonts w:cs="Arial" w:ascii="Arial" w:hAnsi="Arial"/>
          <w:b w:val="false"/>
        </w:rPr>
        <w:t xml:space="preserve">В соответствии со </w:t>
      </w:r>
      <w:hyperlink r:id="rId3">
        <w:r>
          <w:rPr>
            <w:rStyle w:val="Style9"/>
            <w:rFonts w:cs="Arial" w:ascii="Arial" w:hAnsi="Arial"/>
            <w:b w:val="false"/>
          </w:rPr>
          <w:t>статьей 29.4</w:t>
        </w:r>
      </w:hyperlink>
      <w:r>
        <w:rPr>
          <w:rFonts w:cs="Arial" w:ascii="Arial" w:hAnsi="Arial"/>
          <w:b w:val="false"/>
        </w:rPr>
        <w:t xml:space="preserve"> Градостроительного кодекса Российской Федерации сельский Совет Кушнурского сельсовета </w:t>
      </w:r>
      <w:r>
        <w:rPr>
          <w:rFonts w:cs="Arial" w:ascii="Arial" w:hAnsi="Arial"/>
        </w:rPr>
        <w:t>р е ш и л</w:t>
      </w:r>
      <w:r>
        <w:rPr>
          <w:rFonts w:cs="Arial" w:ascii="Arial" w:hAnsi="Arial"/>
          <w:b w:val="false"/>
        </w:rPr>
        <w:t>:</w:t>
      </w:r>
    </w:p>
    <w:p>
      <w:pPr>
        <w:pStyle w:val="ConsPlusTitle"/>
        <w:ind w:left="0" w:right="0" w:firstLine="540"/>
        <w:jc w:val="both"/>
        <w:rPr/>
      </w:pPr>
      <w:r>
        <w:rPr>
          <w:rFonts w:cs="Arial" w:ascii="Arial" w:hAnsi="Arial"/>
          <w:b w:val="false"/>
        </w:rPr>
        <w:t xml:space="preserve">1. Утвердить прилагаемые Местные </w:t>
      </w:r>
      <w:r>
        <w:fldChar w:fldCharType="begin"/>
      </w:r>
      <w:r>
        <w:instrText> HYPERLINK "file:///D:/! Вадим/! www.sharanga.nnov.ru/Sel'skie poseleniya/Kushnur/2017/Re//C:/Users/Специалист/Desktop/Мои документы/декабрь 2017/26 08.12.2017.docx" \l "P29"</w:instrText>
      </w:r>
      <w:r>
        <w:fldChar w:fldCharType="separate"/>
      </w:r>
      <w:r>
        <w:rPr>
          <w:rStyle w:val="Style9"/>
          <w:rFonts w:cs="Arial" w:ascii="Arial" w:hAnsi="Arial"/>
          <w:b w:val="false"/>
        </w:rPr>
        <w:t>нормативы</w:t>
      </w:r>
      <w:r>
        <w:fldChar w:fldCharType="end"/>
      </w:r>
      <w:r>
        <w:rPr>
          <w:rFonts w:cs="Arial" w:ascii="Arial" w:hAnsi="Arial"/>
          <w:b w:val="false"/>
        </w:rPr>
        <w:t xml:space="preserve"> градостроительного проектирования Кушнурского сельсовета Шарангского муниципального района Нижегородской области.</w:t>
      </w:r>
    </w:p>
    <w:p>
      <w:pPr>
        <w:pStyle w:val="ConsPlusTitle"/>
        <w:ind w:left="0" w:right="0" w:firstLine="540"/>
        <w:jc w:val="both"/>
        <w:rPr/>
      </w:pPr>
      <w:r>
        <w:rPr>
          <w:rFonts w:cs="Arial" w:ascii="Arial" w:hAnsi="Arial"/>
          <w:b w:val="false"/>
        </w:rPr>
        <w:t xml:space="preserve">2. Поручить администрации Кушнурского сельсовета разместить Местные нормативы градостроительного проектирования Кушнурского сельсовета Шарангского муниципального района Нижегородской области в федеральной государственной информационной системе территориального планирования в срок, не превышающий пяти дней со дня утверждения указанных </w:t>
      </w:r>
      <w:r>
        <w:fldChar w:fldCharType="begin"/>
      </w:r>
      <w:r>
        <w:instrText> HYPERLINK "file:///D:/! Вадим/! www.sharanga.nnov.ru/Sel'skie poseleniya/Kushnur/2017/Re//C:/Users/Специалист/Desktop/Мои документы/декабрь 2017/26 08.12.2017.docx" \l "P29"</w:instrText>
      </w:r>
      <w:r>
        <w:fldChar w:fldCharType="separate"/>
      </w:r>
      <w:r>
        <w:rPr>
          <w:rStyle w:val="Style9"/>
          <w:rFonts w:cs="Arial" w:ascii="Arial" w:hAnsi="Arial"/>
          <w:b w:val="false"/>
        </w:rPr>
        <w:t>нормативов</w:t>
      </w:r>
      <w:r>
        <w:fldChar w:fldCharType="end"/>
      </w:r>
      <w:r>
        <w:rPr>
          <w:rFonts w:cs="Arial" w:ascii="Arial" w:hAnsi="Arial"/>
          <w:b w:val="false"/>
        </w:rPr>
        <w:t>.</w:t>
      </w:r>
    </w:p>
    <w:p>
      <w:pPr>
        <w:pStyle w:val="ConsPlusTitle"/>
        <w:ind w:left="0" w:right="0" w:firstLine="540"/>
        <w:jc w:val="both"/>
        <w:rPr>
          <w:rFonts w:ascii="Arial" w:hAnsi="Arial" w:cs="Arial"/>
          <w:b w:val="false"/>
          <w:b w:val="false"/>
        </w:rPr>
      </w:pPr>
      <w:r>
        <w:rPr>
          <w:rFonts w:cs="Arial" w:ascii="Arial" w:hAnsi="Arial"/>
          <w:b w:val="false"/>
        </w:rPr>
        <w:t>3. Настоящее решение вступает в силу со дня его обнародования.</w:t>
      </w:r>
    </w:p>
    <w:p>
      <w:pPr>
        <w:pStyle w:val="ConsPlusTitle"/>
        <w:ind w:left="0" w:right="0" w:firstLine="540"/>
        <w:jc w:val="both"/>
        <w:rPr>
          <w:rFonts w:ascii="Arial" w:hAnsi="Arial" w:cs="Arial"/>
          <w:b w:val="false"/>
          <w:b w:val="false"/>
        </w:rPr>
      </w:pPr>
      <w:r>
        <w:rPr>
          <w:rFonts w:cs="Arial" w:ascii="Arial" w:hAnsi="Arial"/>
          <w:b w:val="false"/>
        </w:rPr>
        <w:t>4. Контроль за исполнением настоящего решения возложить на постоянную комиссию по бюджетной, финансовой, налоговой политике, социально-экономической политике, социальной защите населения и аграрным вопросам.</w:t>
      </w:r>
    </w:p>
    <w:p>
      <w:pPr>
        <w:pStyle w:val="ConsPlusTitle"/>
        <w:ind w:left="0" w:right="0" w:firstLine="540"/>
        <w:jc w:val="both"/>
        <w:rPr>
          <w:rFonts w:ascii="Arial" w:hAnsi="Arial" w:cs="Arial"/>
          <w:b w:val="false"/>
          <w:b w:val="false"/>
        </w:rPr>
      </w:pPr>
      <w:r>
        <w:rPr>
          <w:rFonts w:cs="Arial" w:ascii="Arial" w:hAnsi="Arial"/>
          <w:b w:val="false"/>
        </w:rPr>
      </w:r>
    </w:p>
    <w:p>
      <w:pPr>
        <w:pStyle w:val="ConsPlusTitle"/>
        <w:jc w:val="both"/>
        <w:rPr>
          <w:rFonts w:ascii="Arial" w:hAnsi="Arial" w:cs="Arial"/>
          <w:b w:val="false"/>
          <w:b w:val="false"/>
        </w:rPr>
      </w:pPr>
      <w:r>
        <w:rPr>
          <w:rFonts w:cs="Arial" w:ascii="Arial" w:hAnsi="Arial"/>
          <w:b w:val="false"/>
        </w:rPr>
      </w:r>
    </w:p>
    <w:p>
      <w:pPr>
        <w:pStyle w:val="ConsPlusTitle"/>
        <w:ind w:left="0" w:right="0" w:firstLine="540"/>
        <w:jc w:val="both"/>
        <w:rPr>
          <w:rFonts w:ascii="Arial" w:hAnsi="Arial" w:cs="Arial"/>
          <w:b w:val="false"/>
          <w:b w:val="false"/>
        </w:rPr>
      </w:pPr>
      <w:r>
        <w:rPr>
          <w:rFonts w:cs="Arial" w:ascii="Arial" w:hAnsi="Arial"/>
          <w:b w:val="false"/>
        </w:rPr>
        <w:t>Глава местного самоуправления</w:t>
        <w:tab/>
        <w:tab/>
        <w:tab/>
        <w:tab/>
        <w:t>Г.В.Падерова</w:t>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r>
    </w:p>
    <w:p>
      <w:pPr>
        <w:pStyle w:val="ConsPlusTitle"/>
        <w:jc w:val="right"/>
        <w:rPr>
          <w:rFonts w:ascii="Arial" w:hAnsi="Arial" w:cs="Arial"/>
          <w:sz w:val="32"/>
          <w:szCs w:val="32"/>
        </w:rPr>
      </w:pPr>
      <w:r>
        <w:rPr>
          <w:rFonts w:cs="Arial" w:ascii="Arial" w:hAnsi="Arial"/>
          <w:sz w:val="32"/>
          <w:szCs w:val="32"/>
        </w:rPr>
        <w:t>УТВЕРЖДЕНЫ</w:t>
      </w:r>
    </w:p>
    <w:p>
      <w:pPr>
        <w:pStyle w:val="ConsPlusTitle"/>
        <w:jc w:val="right"/>
        <w:rPr>
          <w:rFonts w:ascii="Arial" w:hAnsi="Arial" w:cs="Arial"/>
          <w:b w:val="false"/>
          <w:b w:val="false"/>
        </w:rPr>
      </w:pPr>
      <w:r>
        <w:rPr>
          <w:rFonts w:cs="Arial" w:ascii="Arial" w:hAnsi="Arial"/>
          <w:b w:val="false"/>
        </w:rPr>
        <w:t>решением сельского Совета</w:t>
      </w:r>
    </w:p>
    <w:p>
      <w:pPr>
        <w:pStyle w:val="ConsPlusTitle"/>
        <w:jc w:val="right"/>
        <w:rPr>
          <w:rFonts w:ascii="Arial" w:hAnsi="Arial" w:cs="Arial"/>
          <w:b w:val="false"/>
          <w:b w:val="false"/>
        </w:rPr>
      </w:pPr>
      <w:r>
        <w:rPr>
          <w:rFonts w:cs="Arial" w:ascii="Arial" w:hAnsi="Arial"/>
          <w:b w:val="false"/>
        </w:rPr>
        <w:t>Кушнурского сельсовета</w:t>
      </w:r>
    </w:p>
    <w:p>
      <w:pPr>
        <w:pStyle w:val="Normal"/>
        <w:spacing w:lineRule="auto" w:line="240" w:before="0" w:after="0"/>
        <w:jc w:val="right"/>
        <w:rPr/>
      </w:pPr>
      <w:r>
        <w:rPr>
          <w:rFonts w:eastAsia="Arial" w:cs="Arial" w:ascii="Arial" w:hAnsi="Arial"/>
          <w:sz w:val="24"/>
          <w:szCs w:val="24"/>
        </w:rPr>
        <w:t xml:space="preserve">                                                                                            </w:t>
      </w:r>
      <w:r>
        <w:rPr>
          <w:rFonts w:cs="Arial" w:ascii="Arial" w:hAnsi="Arial"/>
          <w:sz w:val="24"/>
          <w:szCs w:val="24"/>
        </w:rPr>
        <w:t>от 08.12.2017г № 26</w:t>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Arial" w:hAnsi="Arial" w:cs="Arial"/>
          <w:b/>
          <w:b/>
          <w:sz w:val="32"/>
          <w:szCs w:val="32"/>
        </w:rPr>
      </w:pPr>
      <w:r>
        <w:rPr>
          <w:rFonts w:cs="Arial" w:ascii="Arial" w:hAnsi="Arial"/>
          <w:b/>
          <w:sz w:val="32"/>
          <w:szCs w:val="32"/>
        </w:rPr>
        <w:t>Местные нормативы градостроительного проектирования Кушнурского сельсовета Шарангского муниципального района Нижегородской области</w:t>
      </w:r>
    </w:p>
    <w:p>
      <w:pPr>
        <w:pStyle w:val="Normal"/>
        <w:tabs>
          <w:tab w:val="left" w:pos="6240" w:leader="none"/>
        </w:tabs>
        <w:spacing w:lineRule="auto" w:line="240" w:before="0" w:after="0"/>
        <w:rPr>
          <w:rFonts w:ascii="Arial" w:hAnsi="Arial" w:cs="Arial"/>
          <w:b/>
          <w:b/>
          <w:color w:val="663300"/>
          <w:sz w:val="32"/>
          <w:szCs w:val="32"/>
        </w:rPr>
      </w:pPr>
      <w:r>
        <w:rPr>
          <w:rFonts w:cs="Arial" w:ascii="Arial" w:hAnsi="Arial"/>
          <w:b/>
          <w:color w:val="663300"/>
          <w:sz w:val="32"/>
          <w:szCs w:val="32"/>
        </w:rPr>
        <w:tab/>
      </w:r>
    </w:p>
    <w:p>
      <w:pPr>
        <w:pStyle w:val="Normal"/>
        <w:spacing w:lineRule="auto" w:line="240" w:before="0" w:after="0"/>
        <w:jc w:val="center"/>
        <w:rPr>
          <w:rFonts w:ascii="Times New Roman" w:hAnsi="Times New Roman" w:cs="Times New Roman"/>
          <w:b/>
          <w:b/>
          <w:color w:val="663300"/>
          <w:sz w:val="44"/>
          <w:szCs w:val="44"/>
        </w:rPr>
      </w:pPr>
      <w:r>
        <w:rPr>
          <w:rFonts w:cs="Times New Roman" w:ascii="Times New Roman" w:hAnsi="Times New Roman"/>
          <w:b/>
          <w:color w:val="663300"/>
          <w:sz w:val="44"/>
          <w:szCs w:val="44"/>
        </w:rPr>
      </w:r>
    </w:p>
    <w:p>
      <w:pPr>
        <w:pStyle w:val="Normal"/>
        <w:spacing w:lineRule="auto" w:line="240" w:before="0" w:after="0"/>
        <w:jc w:val="center"/>
        <w:rPr>
          <w:rFonts w:ascii="Times New Roman" w:hAnsi="Times New Roman" w:cs="Times New Roman"/>
          <w:b/>
          <w:b/>
          <w:color w:val="663300"/>
          <w:sz w:val="28"/>
          <w:szCs w:val="28"/>
        </w:rPr>
      </w:pPr>
      <w:r>
        <w:rPr>
          <w:rFonts w:cs="Times New Roman" w:ascii="Times New Roman" w:hAnsi="Times New Roman"/>
          <w:b/>
          <w:color w:val="663300"/>
          <w:sz w:val="28"/>
          <w:szCs w:val="28"/>
        </w:rPr>
      </w:r>
    </w:p>
    <w:p>
      <w:pPr>
        <w:pStyle w:val="Normal"/>
        <w:jc w:val="center"/>
        <w:rPr>
          <w:rFonts w:ascii="Times New Roman" w:hAnsi="Times New Roman" w:cs="Times New Roman"/>
          <w:sz w:val="48"/>
          <w:szCs w:val="48"/>
        </w:rPr>
      </w:pPr>
      <w:r>
        <w:rPr>
          <w:rFonts w:cs="Times New Roman" w:ascii="Times New Roman" w:hAnsi="Times New Roman"/>
          <w:sz w:val="48"/>
          <w:szCs w:val="48"/>
        </w:rPr>
      </w:r>
    </w:p>
    <w:p>
      <w:pPr>
        <w:pStyle w:val="Normal"/>
        <w:jc w:val="center"/>
        <w:rPr>
          <w:rFonts w:ascii="Times New Roman" w:hAnsi="Times New Roman" w:cs="Times New Roman"/>
          <w:sz w:val="24"/>
          <w:szCs w:val="24"/>
        </w:rPr>
      </w:pPr>
      <w:r>
        <w:rPr>
          <w:rFonts w:cs="Times New Roman" w:ascii="Times New Roman" w:hAnsi="Times New Roman"/>
          <w:sz w:val="24"/>
          <w:szCs w:val="24"/>
        </w:rPr>
      </w:r>
    </w:p>
    <w:p>
      <w:pPr>
        <w:pStyle w:val="Normal"/>
        <w:jc w:val="center"/>
        <w:rPr>
          <w:rFonts w:ascii="Times New Roman" w:hAnsi="Times New Roman" w:cs="Times New Roman"/>
          <w:sz w:val="24"/>
          <w:szCs w:val="24"/>
        </w:rPr>
      </w:pPr>
      <w:r>
        <w:rPr>
          <w:rFonts w:cs="Times New Roman" w:ascii="Times New Roman" w:hAnsi="Times New Roman"/>
          <w:sz w:val="24"/>
          <w:szCs w:val="24"/>
        </w:rPr>
      </w:r>
    </w:p>
    <w:p>
      <w:pPr>
        <w:pStyle w:val="Normal"/>
        <w:jc w:val="center"/>
        <w:rPr>
          <w:rFonts w:ascii="Times New Roman" w:hAnsi="Times New Roman" w:cs="Times New Roman"/>
          <w:sz w:val="24"/>
          <w:szCs w:val="24"/>
        </w:rPr>
      </w:pPr>
      <w:r>
        <w:rPr>
          <w:rFonts w:cs="Times New Roman" w:ascii="Times New Roman" w:hAnsi="Times New Roman"/>
          <w:sz w:val="24"/>
          <w:szCs w:val="24"/>
        </w:rPr>
      </w:r>
    </w:p>
    <w:p>
      <w:pPr>
        <w:pStyle w:val="Normal"/>
        <w:jc w:val="center"/>
        <w:rPr>
          <w:rFonts w:ascii="Times New Roman" w:hAnsi="Times New Roman" w:cs="Times New Roman"/>
          <w:sz w:val="24"/>
          <w:szCs w:val="24"/>
        </w:rPr>
      </w:pPr>
      <w:r>
        <w:rPr>
          <w:rFonts w:cs="Times New Roman" w:ascii="Times New Roman" w:hAnsi="Times New Roman"/>
          <w:sz w:val="24"/>
          <w:szCs w:val="24"/>
        </w:rPr>
      </w:r>
    </w:p>
    <w:p>
      <w:pPr>
        <w:pStyle w:val="Normal"/>
        <w:jc w:val="center"/>
        <w:rPr>
          <w:rFonts w:ascii="Times New Roman" w:hAnsi="Times New Roman" w:cs="Times New Roman"/>
          <w:sz w:val="24"/>
          <w:szCs w:val="24"/>
        </w:rPr>
      </w:pPr>
      <w:r>
        <w:rPr>
          <w:rFonts w:cs="Times New Roman" w:ascii="Times New Roman" w:hAnsi="Times New Roman"/>
          <w:sz w:val="24"/>
          <w:szCs w:val="24"/>
        </w:rPr>
      </w:r>
    </w:p>
    <w:p>
      <w:pPr>
        <w:pStyle w:val="Normal"/>
        <w:jc w:val="center"/>
        <w:rPr>
          <w:rFonts w:ascii="Times New Roman" w:hAnsi="Times New Roman" w:cs="Times New Roman"/>
          <w:sz w:val="24"/>
          <w:szCs w:val="24"/>
        </w:rPr>
      </w:pPr>
      <w:r>
        <w:rPr>
          <w:rFonts w:cs="Times New Roman" w:ascii="Times New Roman" w:hAnsi="Times New Roman"/>
          <w:sz w:val="24"/>
          <w:szCs w:val="24"/>
        </w:rPr>
      </w:r>
    </w:p>
    <w:p>
      <w:pPr>
        <w:pStyle w:val="Normal"/>
        <w:jc w:val="center"/>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jc w:val="center"/>
        <w:rPr/>
      </w:pPr>
      <w:r>
        <w:rPr>
          <w:rFonts w:eastAsia="Times New Roman" w:cs="Times New Roman" w:ascii="Times New Roman" w:hAnsi="Times New Roman"/>
          <w:b/>
          <w:sz w:val="24"/>
          <w:szCs w:val="24"/>
        </w:rPr>
        <w:t xml:space="preserve"> </w:t>
      </w:r>
      <w:r>
        <w:rPr>
          <w:rFonts w:cs="Arial" w:ascii="Arial" w:hAnsi="Arial"/>
          <w:b/>
          <w:sz w:val="24"/>
          <w:szCs w:val="24"/>
        </w:rPr>
        <w:t>2017 г.</w:t>
      </w:r>
      <w:r>
        <w:br w:type="page"/>
      </w:r>
    </w:p>
    <w:p>
      <w:pPr>
        <w:pStyle w:val="Normal"/>
        <w:spacing w:lineRule="auto" w:line="240" w:before="0" w:after="0"/>
        <w:jc w:val="center"/>
        <w:rPr>
          <w:rFonts w:ascii="Arial" w:hAnsi="Arial" w:eastAsia="Times New Roman" w:cs="Arial"/>
          <w:b/>
          <w:b/>
          <w:bCs/>
          <w:sz w:val="24"/>
          <w:szCs w:val="24"/>
          <w:lang w:eastAsia="ru-RU"/>
        </w:rPr>
      </w:pPr>
      <w:r>
        <w:rPr>
          <w:rFonts w:eastAsia="Times New Roman" w:cs="Arial" w:ascii="Arial" w:hAnsi="Arial"/>
          <w:b/>
          <w:bCs/>
          <w:sz w:val="24"/>
          <w:szCs w:val="24"/>
          <w:lang w:eastAsia="ru-RU"/>
        </w:rPr>
        <w:t>Местные нормативы градостроительного проектирования Кушнурского сельсовета Шарангского муниципального района Нижегородской области</w:t>
      </w:r>
    </w:p>
    <w:p>
      <w:pPr>
        <w:pStyle w:val="Normal"/>
        <w:spacing w:lineRule="auto" w:line="240" w:before="0" w:after="0"/>
        <w:jc w:val="center"/>
        <w:rPr>
          <w:rFonts w:ascii="Arial" w:hAnsi="Arial" w:eastAsia="Times New Roman" w:cs="Arial"/>
          <w:b/>
          <w:b/>
          <w:bCs/>
          <w:sz w:val="24"/>
          <w:szCs w:val="24"/>
          <w:lang w:eastAsia="ru-RU"/>
        </w:rPr>
      </w:pPr>
      <w:r>
        <w:rPr>
          <w:rFonts w:eastAsia="Times New Roman" w:cs="Arial" w:ascii="Arial" w:hAnsi="Arial"/>
          <w:b/>
          <w:bCs/>
          <w:sz w:val="24"/>
          <w:szCs w:val="24"/>
          <w:lang w:eastAsia="ru-RU"/>
        </w:rPr>
      </w:r>
    </w:p>
    <w:p>
      <w:pPr>
        <w:pStyle w:val="Normal"/>
        <w:spacing w:lineRule="auto" w:line="240" w:before="0" w:after="0"/>
        <w:jc w:val="center"/>
        <w:rPr>
          <w:rFonts w:ascii="Arial" w:hAnsi="Arial" w:eastAsia="Times New Roman" w:cs="Arial"/>
          <w:b/>
          <w:b/>
          <w:bCs/>
          <w:sz w:val="24"/>
          <w:szCs w:val="24"/>
          <w:lang w:eastAsia="ru-RU"/>
        </w:rPr>
      </w:pPr>
      <w:r>
        <w:rPr>
          <w:rFonts w:eastAsia="Times New Roman" w:cs="Arial" w:ascii="Arial" w:hAnsi="Arial"/>
          <w:b/>
          <w:bCs/>
          <w:sz w:val="24"/>
          <w:szCs w:val="24"/>
          <w:lang w:eastAsia="ru-RU"/>
        </w:rPr>
      </w:r>
    </w:p>
    <w:p>
      <w:pPr>
        <w:pStyle w:val="Normal"/>
        <w:spacing w:lineRule="auto" w:line="240" w:before="0" w:after="0"/>
        <w:jc w:val="center"/>
        <w:rPr>
          <w:rFonts w:ascii="Arial" w:hAnsi="Arial" w:eastAsia="Times New Roman" w:cs="Arial"/>
          <w:b/>
          <w:b/>
          <w:bCs/>
          <w:sz w:val="24"/>
          <w:szCs w:val="24"/>
          <w:lang w:eastAsia="ru-RU"/>
        </w:rPr>
      </w:pPr>
      <w:r>
        <w:rPr>
          <w:rFonts w:eastAsia="Times New Roman" w:cs="Arial" w:ascii="Arial" w:hAnsi="Arial"/>
          <w:b/>
          <w:bCs/>
          <w:sz w:val="24"/>
          <w:szCs w:val="24"/>
          <w:lang w:eastAsia="ru-RU"/>
        </w:rPr>
        <w:t>СОДЕРЖАНИЕ</w:t>
      </w:r>
    </w:p>
    <w:p>
      <w:pPr>
        <w:pStyle w:val="Normal"/>
        <w:spacing w:lineRule="auto" w:line="240" w:before="0" w:after="0"/>
        <w:jc w:val="both"/>
        <w:rPr>
          <w:rFonts w:ascii="Arial" w:hAnsi="Arial" w:eastAsia="Times New Roman" w:cs="Arial"/>
          <w:b/>
          <w:b/>
          <w:bCs/>
          <w:sz w:val="24"/>
          <w:szCs w:val="24"/>
          <w:lang w:eastAsia="ru-RU"/>
        </w:rPr>
      </w:pPr>
      <w:r>
        <w:rPr>
          <w:rFonts w:eastAsia="Times New Roman" w:cs="Arial" w:ascii="Arial" w:hAnsi="Arial"/>
          <w:b/>
          <w:bCs/>
          <w:sz w:val="24"/>
          <w:szCs w:val="24"/>
          <w:lang w:eastAsia="ru-RU"/>
        </w:rPr>
      </w:r>
    </w:p>
    <w:tbl>
      <w:tblPr>
        <w:tblW w:w="10183" w:type="dxa"/>
        <w:jc w:val="left"/>
        <w:tblInd w:w="0" w:type="dxa"/>
        <w:tblBorders>
          <w:top w:val="single" w:sz="4" w:space="0" w:color="00000A"/>
          <w:left w:val="single" w:sz="4" w:space="0" w:color="00000A"/>
          <w:bottom w:val="single" w:sz="4" w:space="0" w:color="00000A"/>
          <w:insideH w:val="single" w:sz="4" w:space="0" w:color="00000A"/>
        </w:tblBorders>
        <w:tblCellMar>
          <w:top w:w="0" w:type="dxa"/>
          <w:left w:w="108" w:type="dxa"/>
          <w:bottom w:w="0" w:type="dxa"/>
          <w:right w:w="108" w:type="dxa"/>
        </w:tblCellMar>
      </w:tblPr>
      <w:tblGrid>
        <w:gridCol w:w="8471"/>
        <w:gridCol w:w="1712"/>
      </w:tblGrid>
      <w:tr>
        <w:trPr>
          <w:trHeight w:val="454" w:hRule="atLeast"/>
        </w:trPr>
        <w:tc>
          <w:tcPr>
            <w:tcW w:w="847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Normal"/>
              <w:spacing w:lineRule="auto" w:line="240" w:before="0" w:after="0"/>
              <w:jc w:val="center"/>
              <w:rPr>
                <w:rFonts w:ascii="Arial" w:hAnsi="Arial" w:eastAsia="Times New Roman" w:cs="Arial"/>
                <w:b/>
                <w:b/>
                <w:bCs/>
                <w:sz w:val="24"/>
                <w:szCs w:val="24"/>
                <w:lang w:eastAsia="ru-RU"/>
              </w:rPr>
            </w:pPr>
            <w:r>
              <w:rPr>
                <w:rFonts w:eastAsia="Times New Roman" w:cs="Arial" w:ascii="Arial" w:hAnsi="Arial"/>
                <w:b/>
                <w:bCs/>
                <w:sz w:val="24"/>
                <w:szCs w:val="24"/>
                <w:lang w:eastAsia="ru-RU"/>
              </w:rPr>
              <w:t xml:space="preserve">Наименование </w:t>
            </w:r>
          </w:p>
        </w:tc>
        <w:tc>
          <w:tcPr>
            <w:tcW w:w="17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napToGrid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ascii="Times New Roman" w:hAnsi="Times New Roman"/>
                <w:b/>
                <w:bCs/>
                <w:sz w:val="24"/>
                <w:szCs w:val="24"/>
                <w:lang w:eastAsia="ru-RU"/>
              </w:rPr>
            </w:r>
          </w:p>
        </w:tc>
      </w:tr>
      <w:tr>
        <w:trPr/>
        <w:tc>
          <w:tcPr>
            <w:tcW w:w="847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Normal"/>
              <w:spacing w:lineRule="auto" w:line="240" w:before="120" w:after="0"/>
              <w:rPr>
                <w:rFonts w:ascii="Arial" w:hAnsi="Arial" w:eastAsia="Times New Roman" w:cs="Arial"/>
                <w:bCs/>
                <w:sz w:val="24"/>
                <w:szCs w:val="24"/>
                <w:lang w:eastAsia="ru-RU"/>
              </w:rPr>
            </w:pPr>
            <w:r>
              <w:rPr>
                <w:rFonts w:eastAsia="Times New Roman" w:cs="Arial" w:ascii="Arial" w:hAnsi="Arial"/>
                <w:bCs/>
                <w:sz w:val="24"/>
                <w:szCs w:val="24"/>
                <w:lang w:eastAsia="ru-RU"/>
              </w:rPr>
              <w:t xml:space="preserve">ОСНОВНАЯ ЧАСТЬ </w:t>
            </w:r>
          </w:p>
          <w:p>
            <w:pPr>
              <w:pStyle w:val="Normal"/>
              <w:spacing w:lineRule="auto" w:line="240" w:before="0" w:after="120"/>
              <w:rPr>
                <w:rFonts w:ascii="Arial" w:hAnsi="Arial" w:eastAsia="Times New Roman" w:cs="Arial"/>
                <w:bCs/>
                <w:sz w:val="24"/>
                <w:szCs w:val="24"/>
                <w:lang w:eastAsia="ru-RU"/>
              </w:rPr>
            </w:pPr>
            <w:r>
              <w:rPr>
                <w:rFonts w:eastAsia="Times New Roman" w:cs="Arial" w:ascii="Arial" w:hAnsi="Arial"/>
                <w:bCs/>
                <w:sz w:val="24"/>
                <w:szCs w:val="24"/>
                <w:lang w:eastAsia="ru-RU"/>
              </w:rPr>
              <w:t xml:space="preserve">Расчетные показатели минимально допустимого уровня обеспеченности объектами местного значения и максимально допустимого уровня территориальной доступности данных объектов </w:t>
            </w:r>
          </w:p>
        </w:tc>
        <w:tc>
          <w:tcPr>
            <w:tcW w:w="17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0"/>
              <w:jc w:val="center"/>
              <w:rPr>
                <w:rFonts w:ascii="Arial" w:hAnsi="Arial" w:eastAsia="Times New Roman" w:cs="Arial"/>
                <w:bCs/>
                <w:sz w:val="24"/>
                <w:szCs w:val="24"/>
                <w:lang w:eastAsia="ru-RU"/>
              </w:rPr>
            </w:pPr>
            <w:r>
              <w:rPr>
                <w:rFonts w:eastAsia="Times New Roman" w:cs="Arial" w:ascii="Arial" w:hAnsi="Arial"/>
                <w:bCs/>
                <w:sz w:val="24"/>
                <w:szCs w:val="24"/>
                <w:lang w:eastAsia="ru-RU"/>
              </w:rPr>
              <w:t>Часть 1</w:t>
            </w:r>
          </w:p>
        </w:tc>
      </w:tr>
      <w:tr>
        <w:trPr/>
        <w:tc>
          <w:tcPr>
            <w:tcW w:w="847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Normal"/>
              <w:spacing w:lineRule="auto" w:line="240" w:before="120" w:after="120"/>
              <w:jc w:val="both"/>
              <w:rPr>
                <w:rFonts w:ascii="Arial" w:hAnsi="Arial" w:eastAsia="Times New Roman" w:cs="Arial"/>
                <w:bCs/>
                <w:sz w:val="24"/>
                <w:szCs w:val="24"/>
                <w:lang w:eastAsia="ru-RU"/>
              </w:rPr>
            </w:pPr>
            <w:r>
              <w:rPr>
                <w:rFonts w:eastAsia="Times New Roman" w:cs="Arial" w:ascii="Arial" w:hAnsi="Arial"/>
                <w:bCs/>
                <w:sz w:val="24"/>
                <w:szCs w:val="24"/>
                <w:lang w:eastAsia="ru-RU"/>
              </w:rPr>
              <w:t>МАТЕРИАЛЫ ПО ОБОСНОВАНИЮ РАСЧЕТНЫХ ПОКАЗАТЕЛЕЙ</w:t>
            </w:r>
          </w:p>
        </w:tc>
        <w:tc>
          <w:tcPr>
            <w:tcW w:w="17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0"/>
              <w:jc w:val="center"/>
              <w:rPr>
                <w:rFonts w:ascii="Arial" w:hAnsi="Arial" w:eastAsia="Times New Roman" w:cs="Arial"/>
                <w:bCs/>
                <w:sz w:val="24"/>
                <w:szCs w:val="24"/>
                <w:lang w:eastAsia="ru-RU"/>
              </w:rPr>
            </w:pPr>
            <w:r>
              <w:rPr>
                <w:rFonts w:eastAsia="Times New Roman" w:cs="Arial" w:ascii="Arial" w:hAnsi="Arial"/>
                <w:bCs/>
                <w:sz w:val="24"/>
                <w:szCs w:val="24"/>
                <w:lang w:eastAsia="ru-RU"/>
              </w:rPr>
              <w:t>Часть 2</w:t>
            </w:r>
          </w:p>
        </w:tc>
      </w:tr>
      <w:tr>
        <w:trPr/>
        <w:tc>
          <w:tcPr>
            <w:tcW w:w="847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Normal"/>
              <w:spacing w:lineRule="auto" w:line="240" w:before="120" w:after="120"/>
              <w:jc w:val="both"/>
              <w:rPr>
                <w:rFonts w:ascii="Arial" w:hAnsi="Arial" w:eastAsia="Times New Roman" w:cs="Arial"/>
                <w:bCs/>
                <w:sz w:val="24"/>
                <w:szCs w:val="24"/>
                <w:lang w:eastAsia="ru-RU"/>
              </w:rPr>
            </w:pPr>
            <w:r>
              <w:rPr>
                <w:rFonts w:eastAsia="Times New Roman" w:cs="Arial" w:ascii="Arial" w:hAnsi="Arial"/>
                <w:bCs/>
                <w:sz w:val="24"/>
                <w:szCs w:val="24"/>
                <w:lang w:eastAsia="ru-RU"/>
              </w:rPr>
              <w:t>ПРАВИЛА И ОБЛАСТЬ ПРИМЕНЕНИЯ РАСЧЕТНЫХ ПОКАЗАТЕЛЕЙ</w:t>
            </w:r>
          </w:p>
        </w:tc>
        <w:tc>
          <w:tcPr>
            <w:tcW w:w="17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0"/>
              <w:jc w:val="center"/>
              <w:rPr>
                <w:rFonts w:ascii="Arial" w:hAnsi="Arial" w:eastAsia="Times New Roman" w:cs="Arial"/>
                <w:bCs/>
                <w:sz w:val="24"/>
                <w:szCs w:val="24"/>
                <w:lang w:eastAsia="ru-RU"/>
              </w:rPr>
            </w:pPr>
            <w:r>
              <w:rPr>
                <w:rFonts w:eastAsia="Times New Roman" w:cs="Arial" w:ascii="Arial" w:hAnsi="Arial"/>
                <w:bCs/>
                <w:sz w:val="24"/>
                <w:szCs w:val="24"/>
                <w:lang w:eastAsia="ru-RU"/>
              </w:rPr>
              <w:t>Часть 3</w:t>
            </w:r>
          </w:p>
        </w:tc>
      </w:tr>
    </w:tbl>
    <w:p>
      <w:pPr>
        <w:pStyle w:val="Normal"/>
        <w:spacing w:lineRule="auto" w:line="240" w:before="0" w:after="0"/>
        <w:jc w:val="both"/>
        <w:rPr>
          <w:rFonts w:ascii="Arial" w:hAnsi="Arial" w:eastAsia="Times New Roman" w:cs="Arial"/>
          <w:b/>
          <w:b/>
          <w:bCs/>
          <w:sz w:val="24"/>
          <w:szCs w:val="24"/>
          <w:lang w:eastAsia="ru-RU"/>
        </w:rPr>
      </w:pPr>
      <w:r>
        <w:rPr>
          <w:rFonts w:eastAsia="Times New Roman" w:cs="Arial" w:ascii="Arial" w:hAnsi="Arial"/>
          <w:b/>
          <w:bCs/>
          <w:sz w:val="24"/>
          <w:szCs w:val="24"/>
          <w:lang w:eastAsia="ru-RU"/>
        </w:rPr>
      </w:r>
    </w:p>
    <w:p>
      <w:pPr>
        <w:pStyle w:val="Normal"/>
        <w:jc w:val="center"/>
        <w:rPr>
          <w:rFonts w:ascii="Arial" w:hAnsi="Arial" w:eastAsia="Times New Roman" w:cs="Arial"/>
          <w:b/>
          <w:b/>
          <w:bCs/>
          <w:sz w:val="24"/>
          <w:szCs w:val="24"/>
          <w:lang w:eastAsia="ru-RU"/>
        </w:rPr>
      </w:pPr>
      <w:r>
        <w:rPr>
          <w:rFonts w:eastAsia="Times New Roman" w:cs="Arial" w:ascii="Arial" w:hAnsi="Arial"/>
          <w:b/>
          <w:bCs/>
          <w:sz w:val="24"/>
          <w:szCs w:val="24"/>
          <w:lang w:eastAsia="ru-RU"/>
        </w:rPr>
      </w:r>
    </w:p>
    <w:p>
      <w:pPr>
        <w:pStyle w:val="Normal"/>
        <w:jc w:val="center"/>
        <w:rPr>
          <w:rFonts w:ascii="Arial" w:hAnsi="Arial" w:cs="Arial"/>
          <w:b/>
          <w:b/>
          <w:sz w:val="24"/>
          <w:szCs w:val="24"/>
        </w:rPr>
      </w:pPr>
      <w:r>
        <w:rPr>
          <w:rFonts w:cs="Arial" w:ascii="Arial" w:hAnsi="Arial"/>
          <w:b/>
          <w:sz w:val="24"/>
          <w:szCs w:val="24"/>
        </w:rPr>
      </w:r>
    </w:p>
    <w:p>
      <w:pPr>
        <w:pStyle w:val="Normal"/>
        <w:jc w:val="center"/>
        <w:rPr>
          <w:rFonts w:ascii="Arial" w:hAnsi="Arial" w:cs="Arial"/>
          <w:b/>
          <w:b/>
          <w:sz w:val="24"/>
          <w:szCs w:val="24"/>
        </w:rPr>
      </w:pPr>
      <w:r>
        <w:rPr>
          <w:rFonts w:cs="Arial" w:ascii="Arial" w:hAnsi="Arial"/>
          <w:b/>
          <w:sz w:val="24"/>
          <w:szCs w:val="24"/>
        </w:rPr>
      </w:r>
    </w:p>
    <w:p>
      <w:pPr>
        <w:pStyle w:val="Normal"/>
        <w:jc w:val="center"/>
        <w:rPr>
          <w:rFonts w:ascii="Arial" w:hAnsi="Arial" w:cs="Arial"/>
          <w:b/>
          <w:b/>
          <w:sz w:val="24"/>
          <w:szCs w:val="24"/>
        </w:rPr>
      </w:pPr>
      <w:r>
        <w:rPr>
          <w:rFonts w:cs="Arial" w:ascii="Arial" w:hAnsi="Arial"/>
          <w:b/>
          <w:sz w:val="24"/>
          <w:szCs w:val="24"/>
        </w:rPr>
      </w:r>
    </w:p>
    <w:p>
      <w:pPr>
        <w:pStyle w:val="Normal"/>
        <w:jc w:val="center"/>
        <w:rPr>
          <w:rFonts w:ascii="Arial" w:hAnsi="Arial" w:cs="Arial"/>
          <w:b/>
          <w:b/>
          <w:sz w:val="24"/>
          <w:szCs w:val="24"/>
        </w:rPr>
      </w:pPr>
      <w:r>
        <w:rPr>
          <w:rFonts w:cs="Arial" w:ascii="Arial" w:hAnsi="Arial"/>
          <w:b/>
          <w:sz w:val="24"/>
          <w:szCs w:val="24"/>
        </w:rPr>
      </w:r>
    </w:p>
    <w:p>
      <w:pPr>
        <w:pStyle w:val="Normal"/>
        <w:jc w:val="center"/>
        <w:rPr>
          <w:rFonts w:ascii="Arial" w:hAnsi="Arial" w:cs="Arial"/>
          <w:b/>
          <w:b/>
          <w:sz w:val="24"/>
          <w:szCs w:val="24"/>
        </w:rPr>
      </w:pPr>
      <w:r>
        <w:rPr>
          <w:rFonts w:cs="Arial" w:ascii="Arial" w:hAnsi="Arial"/>
          <w:b/>
          <w:sz w:val="24"/>
          <w:szCs w:val="24"/>
        </w:rPr>
      </w:r>
    </w:p>
    <w:p>
      <w:pPr>
        <w:pStyle w:val="Normal"/>
        <w:jc w:val="center"/>
        <w:rPr>
          <w:rFonts w:ascii="Arial" w:hAnsi="Arial" w:cs="Arial"/>
          <w:b/>
          <w:b/>
          <w:sz w:val="24"/>
          <w:szCs w:val="24"/>
        </w:rPr>
      </w:pPr>
      <w:r>
        <w:rPr>
          <w:rFonts w:cs="Arial" w:ascii="Arial" w:hAnsi="Arial"/>
          <w:b/>
          <w:sz w:val="24"/>
          <w:szCs w:val="24"/>
        </w:rPr>
      </w:r>
    </w:p>
    <w:p>
      <w:pPr>
        <w:pStyle w:val="Normal"/>
        <w:spacing w:lineRule="auto" w:line="240" w:before="120" w:after="0"/>
        <w:rPr>
          <w:rFonts w:ascii="Arial" w:hAnsi="Arial" w:cs="Arial"/>
          <w:b/>
          <w:b/>
          <w:sz w:val="24"/>
          <w:szCs w:val="24"/>
        </w:rPr>
      </w:pPr>
      <w:r>
        <w:rPr>
          <w:rFonts w:cs="Arial" w:ascii="Arial" w:hAnsi="Arial"/>
          <w:b/>
          <w:sz w:val="24"/>
          <w:szCs w:val="24"/>
        </w:rPr>
      </w:r>
      <w:r>
        <w:br w:type="page"/>
      </w:r>
    </w:p>
    <w:p>
      <w:pPr>
        <w:pStyle w:val="Normal"/>
        <w:spacing w:lineRule="auto" w:line="240" w:before="0" w:after="0"/>
        <w:rPr>
          <w:rFonts w:ascii="Arial" w:hAnsi="Arial" w:eastAsia="Times New Roman" w:cs="Arial"/>
          <w:b/>
          <w:b/>
          <w:bCs/>
          <w:sz w:val="24"/>
          <w:szCs w:val="24"/>
          <w:lang w:eastAsia="ru-RU"/>
        </w:rPr>
      </w:pPr>
      <w:r>
        <w:rPr>
          <w:rFonts w:eastAsia="Times New Roman" w:cs="Arial" w:ascii="Arial" w:hAnsi="Arial"/>
          <w:b/>
          <w:bCs/>
          <w:sz w:val="24"/>
          <w:szCs w:val="24"/>
          <w:lang w:eastAsia="ru-RU"/>
        </w:rPr>
      </w:r>
    </w:p>
    <w:p>
      <w:pPr>
        <w:pStyle w:val="Normal"/>
        <w:spacing w:lineRule="auto" w:line="240" w:before="0" w:after="0"/>
        <w:jc w:val="center"/>
        <w:rPr>
          <w:rFonts w:ascii="Arial" w:hAnsi="Arial" w:eastAsia="Times New Roman" w:cs="Arial"/>
          <w:b/>
          <w:b/>
          <w:bCs/>
          <w:sz w:val="24"/>
          <w:szCs w:val="24"/>
          <w:lang w:eastAsia="ru-RU"/>
        </w:rPr>
      </w:pPr>
      <w:r>
        <w:rPr>
          <w:rFonts w:eastAsia="Times New Roman" w:cs="Arial" w:ascii="Arial" w:hAnsi="Arial"/>
          <w:b/>
          <w:bCs/>
          <w:sz w:val="24"/>
          <w:szCs w:val="24"/>
          <w:lang w:eastAsia="ru-RU"/>
        </w:rPr>
        <w:t xml:space="preserve">Местные нормативы градостроительного проектирования </w:t>
      </w:r>
    </w:p>
    <w:p>
      <w:pPr>
        <w:pStyle w:val="Normal"/>
        <w:spacing w:lineRule="auto" w:line="240" w:before="0" w:after="0"/>
        <w:jc w:val="center"/>
        <w:rPr>
          <w:rFonts w:ascii="Arial" w:hAnsi="Arial" w:eastAsia="Times New Roman" w:cs="Arial"/>
          <w:b/>
          <w:b/>
          <w:bCs/>
          <w:sz w:val="24"/>
          <w:szCs w:val="24"/>
          <w:lang w:eastAsia="ru-RU"/>
        </w:rPr>
      </w:pPr>
      <w:r>
        <w:rPr>
          <w:rFonts w:eastAsia="Times New Roman" w:cs="Arial" w:ascii="Arial" w:hAnsi="Arial"/>
          <w:b/>
          <w:bCs/>
          <w:sz w:val="24"/>
          <w:szCs w:val="24"/>
          <w:lang w:eastAsia="ru-RU"/>
        </w:rPr>
        <w:t xml:space="preserve">Кушнурского сельсовета </w:t>
      </w:r>
    </w:p>
    <w:p>
      <w:pPr>
        <w:pStyle w:val="Normal"/>
        <w:spacing w:lineRule="auto" w:line="240" w:before="0" w:after="0"/>
        <w:jc w:val="center"/>
        <w:rPr>
          <w:rFonts w:ascii="Arial" w:hAnsi="Arial" w:eastAsia="Times New Roman" w:cs="Arial"/>
          <w:b/>
          <w:b/>
          <w:bCs/>
          <w:sz w:val="24"/>
          <w:szCs w:val="24"/>
          <w:lang w:eastAsia="ru-RU"/>
        </w:rPr>
      </w:pPr>
      <w:r>
        <w:rPr>
          <w:rFonts w:eastAsia="Times New Roman" w:cs="Arial" w:ascii="Arial" w:hAnsi="Arial"/>
          <w:b/>
          <w:bCs/>
          <w:sz w:val="24"/>
          <w:szCs w:val="24"/>
          <w:lang w:eastAsia="ru-RU"/>
        </w:rPr>
        <w:t xml:space="preserve">Шарангского муниципального района </w:t>
      </w:r>
    </w:p>
    <w:p>
      <w:pPr>
        <w:pStyle w:val="Normal"/>
        <w:spacing w:lineRule="auto" w:line="240" w:before="0" w:after="0"/>
        <w:jc w:val="center"/>
        <w:rPr>
          <w:rFonts w:ascii="Arial" w:hAnsi="Arial" w:eastAsia="Times New Roman" w:cs="Arial"/>
          <w:b/>
          <w:b/>
          <w:bCs/>
          <w:sz w:val="24"/>
          <w:szCs w:val="24"/>
          <w:lang w:eastAsia="ru-RU"/>
        </w:rPr>
      </w:pPr>
      <w:r>
        <w:rPr>
          <w:rFonts w:eastAsia="Times New Roman" w:cs="Arial" w:ascii="Arial" w:hAnsi="Arial"/>
          <w:b/>
          <w:bCs/>
          <w:sz w:val="24"/>
          <w:szCs w:val="24"/>
          <w:lang w:eastAsia="ru-RU"/>
        </w:rPr>
        <w:t>Нижегородской области</w:t>
      </w:r>
    </w:p>
    <w:p>
      <w:pPr>
        <w:pStyle w:val="Normal"/>
        <w:spacing w:lineRule="auto" w:line="240" w:before="120" w:after="0"/>
        <w:jc w:val="center"/>
        <w:rPr>
          <w:rFonts w:ascii="Arial" w:hAnsi="Arial" w:cs="Arial"/>
          <w:b/>
          <w:b/>
          <w:sz w:val="24"/>
          <w:szCs w:val="24"/>
        </w:rPr>
      </w:pPr>
      <w:r>
        <w:rPr>
          <w:rFonts w:cs="Arial" w:ascii="Arial" w:hAnsi="Arial"/>
          <w:b/>
          <w:sz w:val="24"/>
          <w:szCs w:val="24"/>
        </w:rPr>
      </w:r>
    </w:p>
    <w:p>
      <w:pPr>
        <w:pStyle w:val="Normal"/>
        <w:spacing w:lineRule="auto" w:line="240" w:before="120" w:after="0"/>
        <w:jc w:val="center"/>
        <w:rPr>
          <w:rFonts w:ascii="Arial" w:hAnsi="Arial" w:cs="Arial"/>
          <w:b/>
          <w:b/>
          <w:sz w:val="24"/>
          <w:szCs w:val="24"/>
        </w:rPr>
      </w:pPr>
      <w:r>
        <w:rPr>
          <w:rFonts w:cs="Arial" w:ascii="Arial" w:hAnsi="Arial"/>
          <w:b/>
          <w:sz w:val="24"/>
          <w:szCs w:val="24"/>
        </w:rPr>
      </w:r>
    </w:p>
    <w:p>
      <w:pPr>
        <w:pStyle w:val="Normal"/>
        <w:spacing w:lineRule="auto" w:line="240" w:before="120" w:after="0"/>
        <w:jc w:val="center"/>
        <w:rPr>
          <w:rFonts w:ascii="Arial" w:hAnsi="Arial" w:cs="Arial"/>
          <w:b/>
          <w:b/>
          <w:sz w:val="24"/>
          <w:szCs w:val="24"/>
        </w:rPr>
      </w:pPr>
      <w:r>
        <w:rPr>
          <w:rFonts w:cs="Arial" w:ascii="Arial" w:hAnsi="Arial"/>
          <w:b/>
          <w:sz w:val="24"/>
          <w:szCs w:val="24"/>
        </w:rPr>
      </w:r>
    </w:p>
    <w:p>
      <w:pPr>
        <w:pStyle w:val="Normal"/>
        <w:spacing w:lineRule="auto" w:line="240" w:before="120" w:after="0"/>
        <w:jc w:val="center"/>
        <w:rPr>
          <w:rFonts w:ascii="Arial" w:hAnsi="Arial" w:cs="Arial"/>
          <w:b/>
          <w:b/>
          <w:sz w:val="24"/>
          <w:szCs w:val="24"/>
        </w:rPr>
      </w:pPr>
      <w:r>
        <w:rPr>
          <w:rFonts w:cs="Arial" w:ascii="Arial" w:hAnsi="Arial"/>
          <w:b/>
          <w:sz w:val="24"/>
          <w:szCs w:val="24"/>
        </w:rPr>
        <w:t>Часть1</w:t>
      </w:r>
    </w:p>
    <w:p>
      <w:pPr>
        <w:pStyle w:val="Normal"/>
        <w:spacing w:lineRule="auto" w:line="240" w:before="120" w:after="0"/>
        <w:jc w:val="center"/>
        <w:rPr>
          <w:rFonts w:ascii="Arial" w:hAnsi="Arial" w:cs="Arial"/>
          <w:b/>
          <w:b/>
          <w:sz w:val="24"/>
          <w:szCs w:val="24"/>
        </w:rPr>
      </w:pPr>
      <w:r>
        <w:rPr>
          <w:rFonts w:cs="Arial" w:ascii="Arial" w:hAnsi="Arial"/>
          <w:b/>
          <w:sz w:val="24"/>
          <w:szCs w:val="24"/>
        </w:rPr>
      </w:r>
    </w:p>
    <w:p>
      <w:pPr>
        <w:pStyle w:val="Normal"/>
        <w:spacing w:lineRule="auto" w:line="240" w:before="120" w:after="0"/>
        <w:jc w:val="center"/>
        <w:rPr>
          <w:rFonts w:ascii="Arial" w:hAnsi="Arial" w:cs="Arial"/>
          <w:b/>
          <w:b/>
          <w:sz w:val="24"/>
          <w:szCs w:val="24"/>
        </w:rPr>
      </w:pPr>
      <w:r>
        <w:rPr>
          <w:rFonts w:cs="Arial" w:ascii="Arial" w:hAnsi="Arial"/>
          <w:b/>
          <w:sz w:val="24"/>
          <w:szCs w:val="24"/>
        </w:rPr>
      </w:r>
    </w:p>
    <w:p>
      <w:pPr>
        <w:pStyle w:val="Normal"/>
        <w:spacing w:lineRule="auto" w:line="240" w:before="120" w:after="0"/>
        <w:jc w:val="center"/>
        <w:rPr>
          <w:rFonts w:ascii="Arial" w:hAnsi="Arial" w:cs="Arial"/>
          <w:b/>
          <w:b/>
          <w:bCs/>
          <w:sz w:val="24"/>
          <w:szCs w:val="24"/>
          <w:lang w:eastAsia="ru-RU"/>
        </w:rPr>
      </w:pPr>
      <w:r>
        <w:rPr>
          <w:rFonts w:cs="Arial" w:ascii="Arial" w:hAnsi="Arial"/>
          <w:b/>
          <w:bCs/>
          <w:sz w:val="24"/>
          <w:szCs w:val="24"/>
          <w:lang w:eastAsia="ru-RU"/>
        </w:rPr>
        <w:t>ОСНОВНАЯ ЧАСТЬ</w:t>
      </w:r>
    </w:p>
    <w:p>
      <w:pPr>
        <w:pStyle w:val="Normal"/>
        <w:spacing w:before="0" w:after="0"/>
        <w:jc w:val="center"/>
        <w:rPr>
          <w:rFonts w:ascii="Arial" w:hAnsi="Arial" w:cs="Arial"/>
          <w:b/>
          <w:b/>
          <w:bCs/>
          <w:i/>
          <w:i/>
          <w:sz w:val="24"/>
          <w:szCs w:val="24"/>
          <w:lang w:eastAsia="ru-RU"/>
        </w:rPr>
      </w:pPr>
      <w:r>
        <w:rPr>
          <w:rFonts w:cs="Arial" w:ascii="Arial" w:hAnsi="Arial"/>
          <w:b/>
          <w:bCs/>
          <w:i/>
          <w:sz w:val="24"/>
          <w:szCs w:val="24"/>
          <w:lang w:eastAsia="ru-RU"/>
        </w:rPr>
      </w:r>
    </w:p>
    <w:p>
      <w:pPr>
        <w:pStyle w:val="Normal"/>
        <w:spacing w:before="0" w:after="0"/>
        <w:jc w:val="center"/>
        <w:rPr>
          <w:rFonts w:ascii="Arial" w:hAnsi="Arial" w:cs="Arial"/>
          <w:b/>
          <w:b/>
          <w:bCs/>
          <w:i/>
          <w:i/>
          <w:sz w:val="24"/>
          <w:szCs w:val="24"/>
          <w:lang w:eastAsia="ru-RU"/>
        </w:rPr>
      </w:pPr>
      <w:r>
        <w:rPr>
          <w:rFonts w:cs="Arial" w:ascii="Arial" w:hAnsi="Arial"/>
          <w:b/>
          <w:bCs/>
          <w:i/>
          <w:sz w:val="24"/>
          <w:szCs w:val="24"/>
          <w:lang w:eastAsia="ru-RU"/>
        </w:rPr>
      </w:r>
    </w:p>
    <w:p>
      <w:pPr>
        <w:pStyle w:val="Normal"/>
        <w:spacing w:before="0" w:after="0"/>
        <w:jc w:val="center"/>
        <w:rPr>
          <w:rFonts w:ascii="Arial" w:hAnsi="Arial" w:cs="Arial"/>
          <w:b/>
          <w:b/>
          <w:bCs/>
          <w:i/>
          <w:i/>
          <w:sz w:val="24"/>
          <w:szCs w:val="24"/>
          <w:lang w:eastAsia="ru-RU"/>
        </w:rPr>
      </w:pPr>
      <w:r>
        <w:rPr>
          <w:rFonts w:cs="Arial" w:ascii="Arial" w:hAnsi="Arial"/>
          <w:b/>
          <w:bCs/>
          <w:i/>
          <w:sz w:val="24"/>
          <w:szCs w:val="24"/>
          <w:lang w:eastAsia="ru-RU"/>
        </w:rPr>
      </w:r>
    </w:p>
    <w:p>
      <w:pPr>
        <w:pStyle w:val="Normal"/>
        <w:spacing w:before="0" w:after="0"/>
        <w:jc w:val="center"/>
        <w:rPr>
          <w:rFonts w:ascii="Arial" w:hAnsi="Arial" w:cs="Arial"/>
          <w:b/>
          <w:b/>
          <w:bCs/>
          <w:i/>
          <w:i/>
          <w:sz w:val="24"/>
          <w:szCs w:val="24"/>
          <w:lang w:eastAsia="ru-RU"/>
        </w:rPr>
      </w:pPr>
      <w:r>
        <w:rPr>
          <w:rFonts w:cs="Arial" w:ascii="Arial" w:hAnsi="Arial"/>
          <w:b/>
          <w:bCs/>
          <w:i/>
          <w:sz w:val="24"/>
          <w:szCs w:val="24"/>
          <w:lang w:eastAsia="ru-RU"/>
        </w:rPr>
        <w:t xml:space="preserve">Расчетные показатели </w:t>
      </w:r>
    </w:p>
    <w:p>
      <w:pPr>
        <w:pStyle w:val="Normal"/>
        <w:spacing w:before="0" w:after="0"/>
        <w:jc w:val="center"/>
        <w:rPr>
          <w:rFonts w:ascii="Arial" w:hAnsi="Arial" w:cs="Arial"/>
          <w:b/>
          <w:b/>
          <w:bCs/>
          <w:i/>
          <w:i/>
          <w:sz w:val="24"/>
          <w:szCs w:val="24"/>
          <w:lang w:eastAsia="ru-RU"/>
        </w:rPr>
      </w:pPr>
      <w:r>
        <w:rPr>
          <w:rFonts w:cs="Arial" w:ascii="Arial" w:hAnsi="Arial"/>
          <w:b/>
          <w:bCs/>
          <w:i/>
          <w:sz w:val="24"/>
          <w:szCs w:val="24"/>
          <w:lang w:eastAsia="ru-RU"/>
        </w:rPr>
        <w:t>минимально допустимого уровня</w:t>
      </w:r>
    </w:p>
    <w:p>
      <w:pPr>
        <w:pStyle w:val="Normal"/>
        <w:spacing w:before="0" w:after="0"/>
        <w:jc w:val="center"/>
        <w:rPr/>
      </w:pPr>
      <w:r>
        <w:rPr>
          <w:rFonts w:eastAsia="Arial" w:cs="Arial" w:ascii="Arial" w:hAnsi="Arial"/>
          <w:b/>
          <w:bCs/>
          <w:i/>
          <w:sz w:val="24"/>
          <w:szCs w:val="24"/>
          <w:lang w:eastAsia="ru-RU"/>
        </w:rPr>
        <w:t xml:space="preserve"> </w:t>
      </w:r>
      <w:r>
        <w:rPr>
          <w:rFonts w:cs="Arial" w:ascii="Arial" w:hAnsi="Arial"/>
          <w:b/>
          <w:bCs/>
          <w:i/>
          <w:sz w:val="24"/>
          <w:szCs w:val="24"/>
          <w:lang w:eastAsia="ru-RU"/>
        </w:rPr>
        <w:t xml:space="preserve">обеспеченности объектами местного значения и </w:t>
      </w:r>
    </w:p>
    <w:p>
      <w:pPr>
        <w:pStyle w:val="Normal"/>
        <w:spacing w:before="0" w:after="0"/>
        <w:jc w:val="center"/>
        <w:rPr>
          <w:rFonts w:ascii="Arial" w:hAnsi="Arial" w:cs="Arial"/>
          <w:b/>
          <w:b/>
          <w:bCs/>
          <w:i/>
          <w:i/>
          <w:sz w:val="24"/>
          <w:szCs w:val="24"/>
          <w:lang w:eastAsia="ru-RU"/>
        </w:rPr>
      </w:pPr>
      <w:r>
        <w:rPr>
          <w:rFonts w:cs="Arial" w:ascii="Arial" w:hAnsi="Arial"/>
          <w:b/>
          <w:bCs/>
          <w:i/>
          <w:sz w:val="24"/>
          <w:szCs w:val="24"/>
          <w:lang w:eastAsia="ru-RU"/>
        </w:rPr>
        <w:t>максимально допустимого уровня территориальной доступности данных объектов</w:t>
      </w:r>
    </w:p>
    <w:p>
      <w:pPr>
        <w:pStyle w:val="Normal"/>
        <w:spacing w:before="0" w:after="0"/>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Normal"/>
        <w:rPr>
          <w:rFonts w:ascii="Arial" w:hAnsi="Arial" w:cs="Arial"/>
          <w:bCs/>
          <w:sz w:val="24"/>
          <w:szCs w:val="24"/>
          <w:lang w:eastAsia="ru-RU"/>
        </w:rPr>
      </w:pPr>
      <w:r>
        <w:rPr>
          <w:rFonts w:cs="Arial" w:ascii="Arial" w:hAnsi="Arial"/>
          <w:bCs/>
          <w:sz w:val="24"/>
          <w:szCs w:val="24"/>
          <w:lang w:eastAsia="ru-RU"/>
        </w:rPr>
      </w:r>
    </w:p>
    <w:p>
      <w:pPr>
        <w:pStyle w:val="TOCHeading"/>
        <w:rPr>
          <w:rFonts w:ascii="Arial" w:hAnsi="Arial" w:cs="Arial"/>
          <w:sz w:val="24"/>
          <w:szCs w:val="24"/>
        </w:rPr>
      </w:pPr>
      <w:r>
        <w:rPr>
          <w:rFonts w:cs="Arial" w:ascii="Arial" w:hAnsi="Arial"/>
          <w:sz w:val="24"/>
          <w:szCs w:val="24"/>
        </w:rPr>
        <w:t>Оглавление</w:t>
      </w:r>
    </w:p>
    <w:p>
      <w:pPr>
        <w:pStyle w:val="113"/>
        <w:tabs>
          <w:tab w:val="right" w:pos="10196" w:leader="dot"/>
        </w:tabs>
        <w:rPr/>
      </w:pPr>
      <w:r>
        <w:fldChar w:fldCharType="begin"/>
      </w:r>
      <w:r>
        <w:instrText> TOC \z \o "1-3" \u \h</w:instrText>
      </w:r>
      <w:r>
        <w:fldChar w:fldCharType="separate"/>
      </w:r>
      <w:hyperlink w:anchor="__RefHeading___Toc494193896">
        <w:r>
          <w:rPr>
            <w:rStyle w:val="Style44"/>
            <w:rFonts w:cs="Arial" w:ascii="Arial" w:hAnsi="Arial"/>
            <w:b/>
            <w:i/>
            <w:sz w:val="24"/>
            <w:szCs w:val="24"/>
          </w:rPr>
          <w:t>Введение</w:t>
        </w:r>
        <w:r>
          <w:rPr>
            <w:rStyle w:val="Style44"/>
            <w:rFonts w:cs="Arial" w:ascii="Arial" w:hAnsi="Arial"/>
            <w:vanish w:val="false"/>
            <w:sz w:val="24"/>
            <w:szCs w:val="24"/>
          </w:rPr>
          <w:tab/>
          <w:t>8</w:t>
        </w:r>
      </w:hyperlink>
    </w:p>
    <w:p>
      <w:pPr>
        <w:pStyle w:val="113"/>
        <w:tabs>
          <w:tab w:val="right" w:pos="10196" w:leader="dot"/>
        </w:tabs>
        <w:rPr/>
      </w:pPr>
      <w:hyperlink w:anchor="__RefHeading___Toc494193897">
        <w:r>
          <w:rPr>
            <w:rStyle w:val="Style44"/>
            <w:rFonts w:cs="Arial" w:ascii="Arial" w:hAnsi="Arial"/>
            <w:b/>
            <w:i/>
            <w:sz w:val="24"/>
            <w:szCs w:val="24"/>
          </w:rPr>
          <w:t>Часть 1. Основная часть (расчетные показатели)</w:t>
        </w:r>
        <w:r>
          <w:rPr>
            <w:rStyle w:val="Style44"/>
            <w:rFonts w:cs="Arial" w:ascii="Arial" w:hAnsi="Arial"/>
            <w:vanish w:val="false"/>
            <w:sz w:val="24"/>
            <w:szCs w:val="24"/>
          </w:rPr>
          <w:tab/>
          <w:t>9</w:t>
        </w:r>
      </w:hyperlink>
    </w:p>
    <w:p>
      <w:pPr>
        <w:pStyle w:val="113"/>
        <w:tabs>
          <w:tab w:val="right" w:pos="10196" w:leader="dot"/>
        </w:tabs>
        <w:rPr/>
      </w:pPr>
      <w:hyperlink w:anchor="__RefHeading___Toc494193898">
        <w:r>
          <w:rPr>
            <w:rStyle w:val="Style44"/>
            <w:rFonts w:cs="Arial" w:ascii="Arial" w:hAnsi="Arial"/>
            <w:b/>
            <w:i/>
            <w:sz w:val="24"/>
            <w:szCs w:val="24"/>
          </w:rPr>
          <w:t>1</w:t>
        </w:r>
        <w:r>
          <w:rPr>
            <w:rStyle w:val="Style44"/>
            <w:rFonts w:cs="Arial" w:ascii="Arial" w:hAnsi="Arial"/>
            <w:b/>
            <w:i/>
            <w:sz w:val="24"/>
            <w:szCs w:val="24"/>
            <w:lang w:eastAsia="ru-RU"/>
          </w:rPr>
          <w:t xml:space="preserve">. </w:t>
        </w:r>
        <w:r>
          <w:rPr>
            <w:rStyle w:val="Style44"/>
            <w:rFonts w:cs="Arial" w:ascii="Arial" w:hAnsi="Arial"/>
            <w:b/>
            <w:i/>
            <w:sz w:val="24"/>
            <w:szCs w:val="24"/>
          </w:rPr>
          <w:t>Термины и определения</w:t>
        </w:r>
        <w:r>
          <w:rPr>
            <w:rStyle w:val="Style44"/>
            <w:rFonts w:cs="Arial" w:ascii="Arial" w:hAnsi="Arial"/>
            <w:vanish w:val="false"/>
            <w:sz w:val="24"/>
            <w:szCs w:val="24"/>
          </w:rPr>
          <w:tab/>
          <w:t>9</w:t>
        </w:r>
      </w:hyperlink>
    </w:p>
    <w:p>
      <w:pPr>
        <w:pStyle w:val="113"/>
        <w:tabs>
          <w:tab w:val="right" w:pos="10196" w:leader="dot"/>
        </w:tabs>
        <w:rPr/>
      </w:pPr>
      <w:hyperlink w:anchor="__RefHeading___Toc494193899">
        <w:r>
          <w:rPr>
            <w:rStyle w:val="Style44"/>
            <w:rFonts w:cs="Arial" w:ascii="Arial" w:hAnsi="Arial"/>
            <w:sz w:val="24"/>
            <w:szCs w:val="24"/>
          </w:rPr>
          <w:t>2. Общие сведения об объекте проектирования</w:t>
        </w:r>
        <w:r>
          <w:rPr>
            <w:rStyle w:val="Style44"/>
            <w:rFonts w:cs="Arial" w:ascii="Arial" w:hAnsi="Arial"/>
            <w:vanish w:val="false"/>
            <w:sz w:val="24"/>
            <w:szCs w:val="24"/>
          </w:rPr>
          <w:tab/>
          <w:t>11</w:t>
        </w:r>
      </w:hyperlink>
    </w:p>
    <w:p>
      <w:pPr>
        <w:pStyle w:val="113"/>
        <w:tabs>
          <w:tab w:val="right" w:pos="10196" w:leader="dot"/>
        </w:tabs>
        <w:rPr/>
      </w:pPr>
      <w:hyperlink w:anchor="__RefHeading___Toc494193900">
        <w:r>
          <w:rPr>
            <w:rStyle w:val="Style44"/>
            <w:rFonts w:cs="Arial" w:ascii="Arial" w:hAnsi="Arial"/>
            <w:sz w:val="24"/>
            <w:szCs w:val="24"/>
          </w:rPr>
          <w:t>3. Расчетные показатели жилой застройки</w:t>
        </w:r>
        <w:r>
          <w:rPr>
            <w:rStyle w:val="Style44"/>
            <w:rFonts w:cs="Arial" w:ascii="Arial" w:hAnsi="Arial"/>
            <w:vanish w:val="false"/>
            <w:sz w:val="24"/>
            <w:szCs w:val="24"/>
          </w:rPr>
          <w:tab/>
          <w:t>11</w:t>
        </w:r>
      </w:hyperlink>
    </w:p>
    <w:p>
      <w:pPr>
        <w:pStyle w:val="113"/>
        <w:tabs>
          <w:tab w:val="right" w:pos="10196" w:leader="dot"/>
        </w:tabs>
        <w:rPr/>
      </w:pPr>
      <w:hyperlink w:anchor="__RefHeading___Toc494193901">
        <w:r>
          <w:rPr>
            <w:rStyle w:val="Style44"/>
            <w:rFonts w:cs="Arial" w:ascii="Arial" w:hAnsi="Arial"/>
            <w:sz w:val="24"/>
            <w:szCs w:val="24"/>
          </w:rPr>
          <w:t>Расчетные показатели минимально допустимого уровня средней жилищной обеспеченности населения для  Кушнурского   сельсовета</w:t>
        </w:r>
        <w:r>
          <w:rPr>
            <w:rStyle w:val="Style44"/>
            <w:rFonts w:cs="Arial" w:ascii="Arial" w:hAnsi="Arial"/>
            <w:vanish w:val="false"/>
            <w:sz w:val="24"/>
            <w:szCs w:val="24"/>
          </w:rPr>
          <w:tab/>
          <w:t>13</w:t>
        </w:r>
      </w:hyperlink>
    </w:p>
    <w:p>
      <w:pPr>
        <w:pStyle w:val="113"/>
        <w:tabs>
          <w:tab w:val="right" w:pos="10196" w:leader="dot"/>
        </w:tabs>
        <w:rPr/>
      </w:pPr>
      <w:hyperlink w:anchor="__RefHeading___Toc494193902">
        <w:r>
          <w:rPr>
            <w:rStyle w:val="Style44"/>
            <w:rFonts w:cs="Arial" w:ascii="Arial" w:hAnsi="Arial"/>
            <w:sz w:val="24"/>
            <w:szCs w:val="24"/>
          </w:rPr>
          <w:t>Предельные размеры земельных участков для индивидуального жилищного строительства и для ведения личного подсобного хозяйства</w:t>
        </w:r>
        <w:r>
          <w:rPr>
            <w:rStyle w:val="Style44"/>
            <w:rFonts w:cs="Arial" w:ascii="Arial" w:hAnsi="Arial"/>
            <w:vanish w:val="false"/>
            <w:sz w:val="24"/>
            <w:szCs w:val="24"/>
          </w:rPr>
          <w:tab/>
          <w:t>17</w:t>
        </w:r>
      </w:hyperlink>
    </w:p>
    <w:p>
      <w:pPr>
        <w:pStyle w:val="113"/>
        <w:tabs>
          <w:tab w:val="right" w:pos="10196" w:leader="dot"/>
        </w:tabs>
        <w:rPr/>
      </w:pPr>
      <w:hyperlink w:anchor="__RefHeading___Toc494193903">
        <w:r>
          <w:rPr>
            <w:rStyle w:val="Style44"/>
            <w:rFonts w:cs="Arial" w:ascii="Arial" w:hAnsi="Arial"/>
            <w:sz w:val="24"/>
            <w:szCs w:val="24"/>
          </w:rPr>
          <w:t>Рекомендуемые нормативы площадей участков для многоквартирных домов с количеством этажей до четырех</w:t>
        </w:r>
        <w:r>
          <w:rPr>
            <w:rStyle w:val="Style44"/>
            <w:rFonts w:cs="Arial" w:ascii="Arial" w:hAnsi="Arial"/>
            <w:vanish w:val="false"/>
            <w:sz w:val="24"/>
            <w:szCs w:val="24"/>
          </w:rPr>
          <w:tab/>
          <w:t>17</w:t>
        </w:r>
      </w:hyperlink>
    </w:p>
    <w:p>
      <w:pPr>
        <w:pStyle w:val="113"/>
        <w:tabs>
          <w:tab w:val="right" w:pos="10196" w:leader="dot"/>
        </w:tabs>
        <w:rPr/>
      </w:pPr>
      <w:hyperlink w:anchor="__RefHeading___Toc494193904">
        <w:r>
          <w:rPr>
            <w:rStyle w:val="Style44"/>
            <w:rFonts w:cs="Arial" w:ascii="Arial" w:hAnsi="Arial"/>
            <w:sz w:val="24"/>
            <w:szCs w:val="24"/>
          </w:rPr>
          <w:t>4. Расчетные показатели общественно-деловой застройки</w:t>
        </w:r>
        <w:r>
          <w:rPr>
            <w:rStyle w:val="Style44"/>
            <w:rFonts w:cs="Arial" w:ascii="Arial" w:hAnsi="Arial"/>
            <w:vanish w:val="false"/>
            <w:sz w:val="24"/>
            <w:szCs w:val="24"/>
          </w:rPr>
          <w:tab/>
          <w:t>18</w:t>
        </w:r>
      </w:hyperlink>
    </w:p>
    <w:p>
      <w:pPr>
        <w:pStyle w:val="113"/>
        <w:tabs>
          <w:tab w:val="left" w:pos="840" w:leader="none"/>
          <w:tab w:val="right" w:pos="10196" w:leader="dot"/>
        </w:tabs>
        <w:rPr/>
      </w:pPr>
      <w:hyperlink w:anchor="__RefHeading___Toc494193905">
        <w:r>
          <w:rPr>
            <w:rStyle w:val="Style44"/>
            <w:rFonts w:cs="Arial" w:ascii="Arial" w:hAnsi="Arial"/>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образования</w:t>
        </w:r>
        <w:r>
          <w:rPr>
            <w:rStyle w:val="Style44"/>
            <w:rFonts w:cs="Arial" w:ascii="Arial" w:hAnsi="Arial"/>
            <w:vanish w:val="false"/>
            <w:sz w:val="24"/>
            <w:szCs w:val="24"/>
          </w:rPr>
          <w:tab/>
          <w:t>20</w:t>
        </w:r>
      </w:hyperlink>
    </w:p>
    <w:p>
      <w:pPr>
        <w:pStyle w:val="113"/>
        <w:tabs>
          <w:tab w:val="left" w:pos="840" w:leader="none"/>
          <w:tab w:val="right" w:pos="10196" w:leader="dot"/>
        </w:tabs>
        <w:rPr/>
      </w:pPr>
      <w:hyperlink w:anchor="__RefHeading___Toc494193906">
        <w:r>
          <w:rPr>
            <w:rStyle w:val="Style44"/>
            <w:rFonts w:cs="Arial" w:ascii="Arial" w:hAnsi="Arial"/>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здравоохранения</w:t>
        </w:r>
        <w:r>
          <w:rPr>
            <w:rStyle w:val="Style44"/>
            <w:rFonts w:cs="Arial" w:ascii="Arial" w:hAnsi="Arial"/>
            <w:vanish w:val="false"/>
            <w:sz w:val="24"/>
            <w:szCs w:val="24"/>
          </w:rPr>
          <w:tab/>
          <w:t>24</w:t>
        </w:r>
      </w:hyperlink>
    </w:p>
    <w:p>
      <w:pPr>
        <w:pStyle w:val="113"/>
        <w:tabs>
          <w:tab w:val="left" w:pos="840" w:leader="none"/>
          <w:tab w:val="right" w:pos="10196" w:leader="dot"/>
        </w:tabs>
        <w:rPr/>
      </w:pPr>
      <w:hyperlink w:anchor="__RefHeading___Toc494193907">
        <w:r>
          <w:rPr>
            <w:rStyle w:val="Style44"/>
            <w:rFonts w:cs="Arial" w:ascii="Arial" w:hAnsi="Arial"/>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культуры местного значения</w:t>
        </w:r>
        <w:r>
          <w:rPr>
            <w:rStyle w:val="Style44"/>
            <w:rFonts w:cs="Arial" w:ascii="Arial" w:hAnsi="Arial"/>
            <w:vanish w:val="false"/>
            <w:sz w:val="24"/>
            <w:szCs w:val="24"/>
          </w:rPr>
          <w:tab/>
          <w:t>28</w:t>
        </w:r>
      </w:hyperlink>
    </w:p>
    <w:p>
      <w:pPr>
        <w:pStyle w:val="113"/>
        <w:tabs>
          <w:tab w:val="left" w:pos="840" w:leader="none"/>
          <w:tab w:val="right" w:pos="10196" w:leader="dot"/>
        </w:tabs>
        <w:rPr/>
      </w:pPr>
      <w:hyperlink w:anchor="__RefHeading___Toc494193908">
        <w:r>
          <w:rPr>
            <w:rStyle w:val="Style44"/>
            <w:rFonts w:cs="Arial" w:ascii="Arial" w:hAnsi="Arial"/>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торговли, общественного питания и бытового обслуживания</w:t>
        </w:r>
        <w:r>
          <w:rPr>
            <w:rStyle w:val="Style44"/>
            <w:rFonts w:cs="Arial" w:ascii="Arial" w:hAnsi="Arial"/>
            <w:vanish w:val="false"/>
            <w:sz w:val="24"/>
            <w:szCs w:val="24"/>
          </w:rPr>
          <w:tab/>
          <w:t>30</w:t>
        </w:r>
      </w:hyperlink>
    </w:p>
    <w:p>
      <w:pPr>
        <w:pStyle w:val="113"/>
        <w:tabs>
          <w:tab w:val="left" w:pos="840" w:leader="none"/>
          <w:tab w:val="right" w:pos="10196" w:leader="dot"/>
        </w:tabs>
        <w:rPr/>
      </w:pPr>
      <w:hyperlink w:anchor="__RefHeading___Toc494193909">
        <w:r>
          <w:rPr>
            <w:rStyle w:val="Style44"/>
            <w:rFonts w:cs="Arial" w:ascii="Arial" w:hAnsi="Arial"/>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кредитно-финансового обслуживания, почтовой связи, организаций и учреждений управления</w:t>
        </w:r>
        <w:r>
          <w:rPr>
            <w:rStyle w:val="Style44"/>
            <w:rFonts w:cs="Arial" w:ascii="Arial" w:hAnsi="Arial"/>
            <w:vanish w:val="false"/>
            <w:sz w:val="24"/>
            <w:szCs w:val="24"/>
          </w:rPr>
          <w:tab/>
          <w:t>34</w:t>
        </w:r>
      </w:hyperlink>
    </w:p>
    <w:p>
      <w:pPr>
        <w:pStyle w:val="113"/>
        <w:tabs>
          <w:tab w:val="left" w:pos="840" w:leader="none"/>
          <w:tab w:val="right" w:pos="10196" w:leader="dot"/>
        </w:tabs>
        <w:rPr/>
      </w:pPr>
      <w:hyperlink w:anchor="__RefHeading___Toc494193910">
        <w:r>
          <w:rPr>
            <w:rStyle w:val="Style44"/>
            <w:rFonts w:cs="Arial" w:ascii="Arial" w:hAnsi="Arial"/>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спортивного и физкультурно-оздоровительного назначения</w:t>
        </w:r>
        <w:r>
          <w:rPr>
            <w:rStyle w:val="Style44"/>
            <w:rFonts w:cs="Arial" w:ascii="Arial" w:hAnsi="Arial"/>
            <w:vanish w:val="false"/>
            <w:sz w:val="24"/>
            <w:szCs w:val="24"/>
          </w:rPr>
          <w:tab/>
          <w:t>36</w:t>
        </w:r>
      </w:hyperlink>
    </w:p>
    <w:p>
      <w:pPr>
        <w:pStyle w:val="113"/>
        <w:tabs>
          <w:tab w:val="right" w:pos="10196" w:leader="dot"/>
        </w:tabs>
        <w:rPr/>
      </w:pPr>
      <w:hyperlink w:anchor="__RefHeading___Toc494193911">
        <w:r>
          <w:rPr>
            <w:rStyle w:val="Style44"/>
            <w:rFonts w:cs="Arial" w:ascii="Arial" w:hAnsi="Arial"/>
            <w:sz w:val="24"/>
            <w:szCs w:val="24"/>
          </w:rPr>
          <w:t>5. Расчетные показатели производственных зон</w:t>
        </w:r>
        <w:r>
          <w:rPr>
            <w:rStyle w:val="Style44"/>
            <w:rFonts w:cs="Arial" w:ascii="Arial" w:hAnsi="Arial"/>
            <w:vanish w:val="false"/>
            <w:sz w:val="24"/>
            <w:szCs w:val="24"/>
          </w:rPr>
          <w:tab/>
          <w:t>39</w:t>
        </w:r>
      </w:hyperlink>
    </w:p>
    <w:p>
      <w:pPr>
        <w:pStyle w:val="113"/>
        <w:tabs>
          <w:tab w:val="left" w:pos="840" w:leader="none"/>
          <w:tab w:val="right" w:pos="10196" w:leader="dot"/>
        </w:tabs>
        <w:rPr/>
      </w:pPr>
      <w:hyperlink w:anchor="__RefHeading___Toc494193912">
        <w:r>
          <w:rPr>
            <w:rStyle w:val="Style44"/>
            <w:rFonts w:cs="Arial" w:ascii="Arial" w:hAnsi="Arial"/>
            <w:sz w:val="24"/>
            <w:szCs w:val="24"/>
            <w:lang w:eastAsia="ar-SA"/>
          </w:rPr>
          <w:t>Максимальные значения коэффициентов застройки и коэффициентов плотности застройки</w:t>
        </w:r>
        <w:r>
          <w:rPr>
            <w:rStyle w:val="Style44"/>
            <w:rFonts w:cs="Arial" w:ascii="Arial" w:hAnsi="Arial"/>
            <w:vanish w:val="false"/>
            <w:sz w:val="24"/>
            <w:szCs w:val="24"/>
          </w:rPr>
          <w:tab/>
          <w:t>40</w:t>
        </w:r>
      </w:hyperlink>
    </w:p>
    <w:p>
      <w:pPr>
        <w:pStyle w:val="113"/>
        <w:tabs>
          <w:tab w:val="right" w:pos="10196" w:leader="dot"/>
        </w:tabs>
        <w:rPr/>
      </w:pPr>
      <w:hyperlink w:anchor="__RefHeading___Toc494193913">
        <w:r>
          <w:rPr>
            <w:rStyle w:val="Style44"/>
            <w:rFonts w:cs="Arial" w:ascii="Arial" w:hAnsi="Arial"/>
            <w:sz w:val="24"/>
            <w:szCs w:val="24"/>
          </w:rPr>
          <w:t>6. Расчетные показатели зоны инженерной инфраструктуры</w:t>
        </w:r>
        <w:r>
          <w:rPr>
            <w:rStyle w:val="Style44"/>
            <w:rFonts w:cs="Arial" w:ascii="Arial" w:hAnsi="Arial"/>
            <w:vanish w:val="false"/>
            <w:sz w:val="24"/>
            <w:szCs w:val="24"/>
          </w:rPr>
          <w:tab/>
          <w:t>42</w:t>
        </w:r>
      </w:hyperlink>
    </w:p>
    <w:p>
      <w:pPr>
        <w:pStyle w:val="113"/>
        <w:tabs>
          <w:tab w:val="left" w:pos="560" w:leader="none"/>
          <w:tab w:val="right" w:pos="10196" w:leader="dot"/>
        </w:tabs>
        <w:rPr/>
      </w:pPr>
      <w:hyperlink w:anchor="__RefHeading___Toc494193914">
        <w:r>
          <w:rPr>
            <w:rStyle w:val="Style44"/>
            <w:rFonts w:cs="Arial" w:ascii="Arial" w:hAnsi="Arial"/>
            <w:sz w:val="24"/>
            <w:szCs w:val="24"/>
          </w:rPr>
          <w:t>Предельные значения расчетных показателей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объектов инженерной инфраструктуры местного значения</w:t>
        </w:r>
        <w:r>
          <w:rPr>
            <w:rStyle w:val="Style44"/>
            <w:rFonts w:cs="Arial" w:ascii="Arial" w:hAnsi="Arial"/>
            <w:vanish w:val="false"/>
            <w:sz w:val="24"/>
            <w:szCs w:val="24"/>
          </w:rPr>
          <w:tab/>
          <w:t>45</w:t>
        </w:r>
      </w:hyperlink>
    </w:p>
    <w:p>
      <w:pPr>
        <w:pStyle w:val="113"/>
        <w:tabs>
          <w:tab w:val="right" w:pos="10196" w:leader="dot"/>
        </w:tabs>
        <w:rPr/>
      </w:pPr>
      <w:hyperlink w:anchor="__RefHeading___Toc494193915">
        <w:r>
          <w:rPr>
            <w:rStyle w:val="Style44"/>
            <w:rFonts w:cs="Arial" w:ascii="Arial" w:hAnsi="Arial"/>
            <w:sz w:val="24"/>
            <w:szCs w:val="24"/>
          </w:rPr>
          <w:t>7. Расчетные показатели коммунально-складских зон</w:t>
        </w:r>
        <w:r>
          <w:rPr>
            <w:rStyle w:val="Style44"/>
            <w:rFonts w:cs="Arial" w:ascii="Arial" w:hAnsi="Arial"/>
            <w:vanish w:val="false"/>
            <w:sz w:val="24"/>
            <w:szCs w:val="24"/>
          </w:rPr>
          <w:tab/>
          <w:t>57</w:t>
        </w:r>
      </w:hyperlink>
    </w:p>
    <w:p>
      <w:pPr>
        <w:pStyle w:val="113"/>
        <w:tabs>
          <w:tab w:val="right" w:pos="10196" w:leader="dot"/>
        </w:tabs>
        <w:rPr/>
      </w:pPr>
      <w:hyperlink w:anchor="__RefHeading___Toc494193916">
        <w:r>
          <w:rPr>
            <w:rStyle w:val="Style44"/>
            <w:rFonts w:cs="Arial" w:ascii="Arial" w:hAnsi="Arial"/>
            <w:sz w:val="24"/>
            <w:szCs w:val="24"/>
            <w:lang w:eastAsia="ar-SA"/>
          </w:rPr>
          <w:t>Рекомендуемые минимальные расчётные показатели площадей территорий и размеров земельных участков  общетоварных  складов,  размещаемых на территориях сельских поселений</w:t>
        </w:r>
        <w:r>
          <w:rPr>
            <w:rStyle w:val="Style44"/>
            <w:rFonts w:cs="Arial" w:ascii="Arial" w:hAnsi="Arial"/>
            <w:vanish w:val="false"/>
            <w:sz w:val="24"/>
            <w:szCs w:val="24"/>
          </w:rPr>
          <w:tab/>
          <w:t>57</w:t>
        </w:r>
      </w:hyperlink>
    </w:p>
    <w:p>
      <w:pPr>
        <w:pStyle w:val="113"/>
        <w:tabs>
          <w:tab w:val="right" w:pos="10196" w:leader="dot"/>
        </w:tabs>
        <w:rPr/>
      </w:pPr>
      <w:hyperlink w:anchor="__RefHeading___Toc494193917">
        <w:r>
          <w:rPr>
            <w:rStyle w:val="Style44"/>
            <w:rFonts w:cs="Arial" w:ascii="Arial" w:hAnsi="Arial"/>
            <w:iCs/>
            <w:sz w:val="24"/>
            <w:szCs w:val="24"/>
          </w:rPr>
          <w:t>Рекомендуемые минимальные расчётные показатели складов строительных материалов и твердого топлива на 1 тыс. чел.</w:t>
        </w:r>
        <w:r>
          <w:rPr>
            <w:rStyle w:val="Style44"/>
            <w:rFonts w:cs="Arial" w:ascii="Arial" w:hAnsi="Arial"/>
            <w:vanish w:val="false"/>
            <w:sz w:val="24"/>
            <w:szCs w:val="24"/>
          </w:rPr>
          <w:tab/>
          <w:t>58</w:t>
        </w:r>
      </w:hyperlink>
    </w:p>
    <w:p>
      <w:pPr>
        <w:pStyle w:val="113"/>
        <w:tabs>
          <w:tab w:val="right" w:pos="10196" w:leader="dot"/>
        </w:tabs>
        <w:rPr/>
      </w:pPr>
      <w:hyperlink w:anchor="__RefHeading___Toc494193918">
        <w:r>
          <w:rPr>
            <w:rStyle w:val="Style44"/>
            <w:rFonts w:cs="Arial" w:ascii="Arial" w:hAnsi="Arial"/>
            <w:iCs/>
            <w:sz w:val="24"/>
            <w:szCs w:val="24"/>
          </w:rPr>
          <w:t>Расчетные показатели максимально допустимого уровня территориальной доступности объектов коммунально-складской зоны</w:t>
        </w:r>
        <w:r>
          <w:rPr>
            <w:rStyle w:val="Style44"/>
            <w:rFonts w:cs="Arial" w:ascii="Arial" w:hAnsi="Arial"/>
            <w:vanish w:val="false"/>
            <w:sz w:val="24"/>
            <w:szCs w:val="24"/>
          </w:rPr>
          <w:tab/>
          <w:t>59</w:t>
        </w:r>
      </w:hyperlink>
    </w:p>
    <w:p>
      <w:pPr>
        <w:pStyle w:val="113"/>
        <w:tabs>
          <w:tab w:val="right" w:pos="10196" w:leader="dot"/>
        </w:tabs>
        <w:rPr/>
      </w:pPr>
      <w:hyperlink w:anchor="__RefHeading___Toc494193919">
        <w:r>
          <w:rPr>
            <w:rStyle w:val="Style44"/>
            <w:rFonts w:cs="Arial" w:ascii="Arial" w:hAnsi="Arial"/>
            <w:sz w:val="24"/>
            <w:szCs w:val="24"/>
          </w:rPr>
          <w:t>8. Расчетные показатели зоны транспортной инфраструктуры</w:t>
        </w:r>
        <w:r>
          <w:rPr>
            <w:rStyle w:val="Style44"/>
            <w:rFonts w:cs="Arial" w:ascii="Arial" w:hAnsi="Arial"/>
            <w:vanish w:val="false"/>
            <w:sz w:val="24"/>
            <w:szCs w:val="24"/>
          </w:rPr>
          <w:tab/>
          <w:t>59</w:t>
        </w:r>
      </w:hyperlink>
    </w:p>
    <w:p>
      <w:pPr>
        <w:pStyle w:val="113"/>
        <w:tabs>
          <w:tab w:val="right" w:pos="10196" w:leader="dot"/>
        </w:tabs>
        <w:rPr/>
      </w:pPr>
      <w:hyperlink w:anchor="__RefHeading___Toc494193920">
        <w:r>
          <w:rPr>
            <w:rStyle w:val="Style44"/>
            <w:rFonts w:cs="Arial" w:ascii="Arial" w:hAnsi="Arial"/>
            <w:iCs/>
            <w:sz w:val="24"/>
            <w:szCs w:val="24"/>
          </w:rPr>
          <w:t>Основные расчетные параметры уличной сети Кушнурского   сельсовета</w:t>
        </w:r>
        <w:r>
          <w:rPr>
            <w:rStyle w:val="Style44"/>
            <w:rFonts w:cs="Arial" w:ascii="Arial" w:hAnsi="Arial"/>
            <w:vanish w:val="false"/>
            <w:sz w:val="24"/>
            <w:szCs w:val="24"/>
          </w:rPr>
          <w:tab/>
          <w:t>59</w:t>
        </w:r>
      </w:hyperlink>
    </w:p>
    <w:p>
      <w:pPr>
        <w:pStyle w:val="113"/>
        <w:tabs>
          <w:tab w:val="right" w:pos="10196" w:leader="dot"/>
        </w:tabs>
        <w:rPr/>
      </w:pPr>
      <w:hyperlink w:anchor="__RefHeading___Toc494193921">
        <w:r>
          <w:rPr>
            <w:rStyle w:val="Style44"/>
            <w:rFonts w:cs="Arial" w:ascii="Arial" w:hAnsi="Arial"/>
            <w:sz w:val="24"/>
            <w:szCs w:val="24"/>
          </w:rPr>
          <w:t>9. Расчет обеспеченности и размещения мест для хранения и парковки автотрнаспорта</w:t>
        </w:r>
        <w:r>
          <w:rPr>
            <w:rStyle w:val="Style44"/>
            <w:rFonts w:cs="Arial" w:ascii="Arial" w:hAnsi="Arial"/>
            <w:vanish w:val="false"/>
            <w:sz w:val="24"/>
            <w:szCs w:val="24"/>
          </w:rPr>
          <w:tab/>
          <w:t>61</w:t>
        </w:r>
      </w:hyperlink>
    </w:p>
    <w:p>
      <w:pPr>
        <w:pStyle w:val="113"/>
        <w:tabs>
          <w:tab w:val="left" w:pos="560" w:leader="none"/>
          <w:tab w:val="right" w:pos="10196" w:leader="dot"/>
        </w:tabs>
        <w:rPr/>
      </w:pPr>
      <w:hyperlink w:anchor="__RefHeading___Toc494193922">
        <w:r>
          <w:rPr>
            <w:rStyle w:val="Style44"/>
            <w:rFonts w:cs="Arial" w:ascii="Arial" w:hAnsi="Arial"/>
            <w:sz w:val="24"/>
            <w:szCs w:val="24"/>
          </w:rPr>
          <w:t>Для объектов нового строительства и реконструкции требуемое количество машино-мест для хранения и парковки легкового автотранспорта</w:t>
        </w:r>
        <w:r>
          <w:rPr>
            <w:rStyle w:val="Style44"/>
            <w:rFonts w:cs="Arial" w:ascii="Arial" w:hAnsi="Arial"/>
            <w:vanish w:val="false"/>
            <w:sz w:val="24"/>
            <w:szCs w:val="24"/>
          </w:rPr>
          <w:tab/>
          <w:t>61</w:t>
        </w:r>
      </w:hyperlink>
    </w:p>
    <w:p>
      <w:pPr>
        <w:pStyle w:val="113"/>
        <w:tabs>
          <w:tab w:val="left" w:pos="840" w:leader="none"/>
          <w:tab w:val="right" w:pos="10196" w:leader="dot"/>
        </w:tabs>
        <w:rPr/>
      </w:pPr>
      <w:hyperlink w:anchor="__RefHeading___Toc494193923">
        <w:r>
          <w:rPr>
            <w:rStyle w:val="Style44"/>
            <w:rFonts w:cs="Arial" w:ascii="Arial" w:hAnsi="Arial"/>
            <w:iCs/>
            <w:sz w:val="24"/>
            <w:szCs w:val="24"/>
          </w:rPr>
          <w:t>Норматив размеров земельного участка гаражей и стоянок автомобилей в зависимости от этажности</w:t>
        </w:r>
        <w:r>
          <w:rPr>
            <w:rStyle w:val="Style44"/>
            <w:rFonts w:cs="Arial" w:ascii="Arial" w:hAnsi="Arial"/>
            <w:vanish w:val="false"/>
            <w:sz w:val="24"/>
            <w:szCs w:val="24"/>
          </w:rPr>
          <w:tab/>
          <w:t>67</w:t>
        </w:r>
      </w:hyperlink>
    </w:p>
    <w:p>
      <w:pPr>
        <w:pStyle w:val="113"/>
        <w:tabs>
          <w:tab w:val="left" w:pos="840" w:leader="none"/>
          <w:tab w:val="right" w:pos="10196" w:leader="dot"/>
        </w:tabs>
        <w:rPr/>
      </w:pPr>
      <w:hyperlink w:anchor="__RefHeading___Toc494193924">
        <w:r>
          <w:rPr>
            <w:rStyle w:val="Style44"/>
            <w:rFonts w:cs="Arial" w:ascii="Arial" w:hAnsi="Arial"/>
            <w:iCs/>
            <w:sz w:val="24"/>
            <w:szCs w:val="24"/>
          </w:rPr>
          <w:t>Норматив размеров земельного участка гаражей и парков транспортных средств</w:t>
        </w:r>
        <w:r>
          <w:rPr>
            <w:rStyle w:val="Style44"/>
            <w:rFonts w:cs="Arial" w:ascii="Arial" w:hAnsi="Arial"/>
            <w:vanish w:val="false"/>
            <w:sz w:val="24"/>
            <w:szCs w:val="24"/>
          </w:rPr>
          <w:tab/>
          <w:t>67</w:t>
        </w:r>
      </w:hyperlink>
    </w:p>
    <w:p>
      <w:pPr>
        <w:pStyle w:val="113"/>
        <w:tabs>
          <w:tab w:val="left" w:pos="840" w:leader="none"/>
          <w:tab w:val="right" w:pos="10196" w:leader="dot"/>
        </w:tabs>
        <w:rPr/>
      </w:pPr>
      <w:hyperlink w:anchor="__RefHeading___Toc494193925">
        <w:r>
          <w:rPr>
            <w:rStyle w:val="Style44"/>
            <w:rFonts w:cs="Arial" w:ascii="Arial" w:hAnsi="Arial"/>
            <w:iCs/>
            <w:sz w:val="24"/>
            <w:szCs w:val="24"/>
          </w:rPr>
          <w:t>Норматив размеров земельного участка открытых стоянок автомобилей</w:t>
        </w:r>
        <w:r>
          <w:rPr>
            <w:rStyle w:val="Style44"/>
            <w:rFonts w:cs="Arial" w:ascii="Arial" w:hAnsi="Arial"/>
            <w:vanish w:val="false"/>
            <w:sz w:val="24"/>
            <w:szCs w:val="24"/>
          </w:rPr>
          <w:tab/>
          <w:t>67</w:t>
        </w:r>
      </w:hyperlink>
    </w:p>
    <w:p>
      <w:pPr>
        <w:pStyle w:val="113"/>
        <w:tabs>
          <w:tab w:val="right" w:pos="10196" w:leader="dot"/>
        </w:tabs>
        <w:rPr/>
      </w:pPr>
      <w:hyperlink w:anchor="__RefHeading___Toc494193926">
        <w:r>
          <w:rPr>
            <w:rStyle w:val="Style44"/>
            <w:rFonts w:cs="Arial" w:ascii="Arial" w:hAnsi="Arial"/>
            <w:sz w:val="24"/>
            <w:szCs w:val="24"/>
          </w:rPr>
          <w:t>10. Расчетные показатели зоны рекреационного назначения</w:t>
        </w:r>
        <w:r>
          <w:rPr>
            <w:rStyle w:val="Style44"/>
            <w:rFonts w:cs="Arial" w:ascii="Arial" w:hAnsi="Arial"/>
            <w:vanish w:val="false"/>
            <w:sz w:val="24"/>
            <w:szCs w:val="24"/>
          </w:rPr>
          <w:tab/>
          <w:t>67</w:t>
        </w:r>
      </w:hyperlink>
    </w:p>
    <w:p>
      <w:pPr>
        <w:pStyle w:val="113"/>
        <w:tabs>
          <w:tab w:val="left" w:pos="840" w:leader="none"/>
          <w:tab w:val="right" w:pos="10196" w:leader="dot"/>
        </w:tabs>
        <w:rPr/>
      </w:pPr>
      <w:hyperlink w:anchor="__RefHeading___Toc494193927">
        <w:r>
          <w:rPr>
            <w:rStyle w:val="Style44"/>
            <w:rFonts w:cs="Arial" w:ascii="Arial" w:hAnsi="Arial"/>
            <w:iCs/>
            <w:sz w:val="24"/>
            <w:szCs w:val="24"/>
          </w:rPr>
          <w:t>Минимальную площадь объектов рекреационного назначения, размещаемых на территориях общего пользования населенных пунктов</w:t>
        </w:r>
        <w:r>
          <w:rPr>
            <w:rStyle w:val="Style44"/>
            <w:rFonts w:cs="Arial" w:ascii="Arial" w:hAnsi="Arial"/>
            <w:vanish w:val="false"/>
            <w:sz w:val="24"/>
            <w:szCs w:val="24"/>
          </w:rPr>
          <w:tab/>
          <w:t>67</w:t>
        </w:r>
      </w:hyperlink>
    </w:p>
    <w:p>
      <w:pPr>
        <w:pStyle w:val="113"/>
        <w:tabs>
          <w:tab w:val="left" w:pos="840" w:leader="none"/>
          <w:tab w:val="right" w:pos="10196" w:leader="dot"/>
        </w:tabs>
        <w:rPr/>
      </w:pPr>
      <w:hyperlink w:anchor="__RefHeading___Toc494193928">
        <w:r>
          <w:rPr>
            <w:rStyle w:val="Style44"/>
            <w:rFonts w:cs="Arial" w:ascii="Arial" w:hAnsi="Arial"/>
            <w:iCs/>
            <w:sz w:val="24"/>
            <w:szCs w:val="24"/>
          </w:rPr>
          <w:t>Минимальные расчетные показатели численности единовременных посетителей парков, зон отдыха, лесопарков, лесов</w:t>
        </w:r>
        <w:r>
          <w:rPr>
            <w:rStyle w:val="Style44"/>
            <w:rFonts w:cs="Arial" w:ascii="Arial" w:hAnsi="Arial"/>
            <w:vanish w:val="false"/>
            <w:sz w:val="24"/>
            <w:szCs w:val="24"/>
          </w:rPr>
          <w:tab/>
          <w:t>67</w:t>
        </w:r>
      </w:hyperlink>
    </w:p>
    <w:p>
      <w:pPr>
        <w:pStyle w:val="113"/>
        <w:tabs>
          <w:tab w:val="right" w:pos="10196" w:leader="dot"/>
        </w:tabs>
        <w:rPr/>
      </w:pPr>
      <w:hyperlink w:anchor="__RefHeading___Toc494193929">
        <w:r>
          <w:rPr>
            <w:rStyle w:val="Style44"/>
            <w:rFonts w:cs="Arial" w:ascii="Arial" w:hAnsi="Arial"/>
            <w:iCs/>
            <w:sz w:val="24"/>
            <w:szCs w:val="24"/>
          </w:rPr>
          <w:t>Минимальные показатели доступности от жилых зон до объектов рекреационного назначения</w:t>
        </w:r>
        <w:r>
          <w:rPr>
            <w:rStyle w:val="Style44"/>
            <w:rFonts w:cs="Arial" w:ascii="Arial" w:hAnsi="Arial"/>
            <w:vanish w:val="false"/>
            <w:sz w:val="24"/>
            <w:szCs w:val="24"/>
          </w:rPr>
          <w:tab/>
          <w:t>68</w:t>
        </w:r>
      </w:hyperlink>
    </w:p>
    <w:p>
      <w:pPr>
        <w:pStyle w:val="113"/>
        <w:tabs>
          <w:tab w:val="right" w:pos="10196" w:leader="dot"/>
        </w:tabs>
        <w:rPr/>
      </w:pPr>
      <w:hyperlink w:anchor="__RefHeading___Toc494193930">
        <w:r>
          <w:rPr>
            <w:rStyle w:val="Style44"/>
            <w:rFonts w:cs="Arial" w:ascii="Arial" w:hAnsi="Arial"/>
            <w:sz w:val="24"/>
            <w:szCs w:val="24"/>
          </w:rPr>
          <w:t>11. Расчетные показатели зоны специального назначения</w:t>
        </w:r>
        <w:r>
          <w:rPr>
            <w:rStyle w:val="Style44"/>
            <w:rFonts w:cs="Arial" w:ascii="Arial" w:hAnsi="Arial"/>
            <w:vanish w:val="false"/>
            <w:sz w:val="24"/>
            <w:szCs w:val="24"/>
          </w:rPr>
          <w:tab/>
          <w:t>68</w:t>
        </w:r>
      </w:hyperlink>
    </w:p>
    <w:p>
      <w:pPr>
        <w:pStyle w:val="113"/>
        <w:tabs>
          <w:tab w:val="left" w:pos="840" w:leader="none"/>
          <w:tab w:val="right" w:pos="10196" w:leader="dot"/>
        </w:tabs>
        <w:rPr/>
      </w:pPr>
      <w:hyperlink w:anchor="__RefHeading___Toc494193931">
        <w:r>
          <w:rPr>
            <w:rStyle w:val="Style44"/>
            <w:rFonts w:cs="Arial" w:ascii="Arial" w:hAnsi="Arial"/>
            <w:iCs/>
            <w:sz w:val="24"/>
            <w:szCs w:val="24"/>
          </w:rPr>
          <w:t>Размер земельного участка для кладбища</w:t>
        </w:r>
        <w:r>
          <w:rPr>
            <w:rStyle w:val="Style44"/>
            <w:rFonts w:cs="Arial" w:ascii="Arial" w:hAnsi="Arial"/>
            <w:vanish w:val="false"/>
            <w:sz w:val="24"/>
            <w:szCs w:val="24"/>
          </w:rPr>
          <w:tab/>
          <w:t>68</w:t>
        </w:r>
      </w:hyperlink>
    </w:p>
    <w:p>
      <w:pPr>
        <w:pStyle w:val="113"/>
        <w:tabs>
          <w:tab w:val="left" w:pos="840" w:leader="none"/>
          <w:tab w:val="right" w:pos="10196" w:leader="dot"/>
        </w:tabs>
        <w:rPr/>
      </w:pPr>
      <w:hyperlink w:anchor="__RefHeading___Toc494193932">
        <w:r>
          <w:rPr>
            <w:rStyle w:val="Style44"/>
            <w:rFonts w:cs="Arial" w:ascii="Arial" w:hAnsi="Arial"/>
            <w:iCs/>
            <w:sz w:val="24"/>
            <w:szCs w:val="24"/>
          </w:rPr>
          <w:t>Расчетные показатели максимального уровня территориальной доступности объектов ритуальных услуг</w:t>
        </w:r>
        <w:r>
          <w:rPr>
            <w:rStyle w:val="Style44"/>
            <w:rFonts w:cs="Arial" w:ascii="Arial" w:hAnsi="Arial"/>
            <w:vanish w:val="false"/>
            <w:sz w:val="24"/>
            <w:szCs w:val="24"/>
          </w:rPr>
          <w:tab/>
          <w:t>69</w:t>
        </w:r>
      </w:hyperlink>
    </w:p>
    <w:p>
      <w:pPr>
        <w:pStyle w:val="113"/>
        <w:tabs>
          <w:tab w:val="right" w:pos="10196" w:leader="dot"/>
        </w:tabs>
        <w:rPr/>
      </w:pPr>
      <w:hyperlink w:anchor="__RefHeading___Toc494193933">
        <w:r>
          <w:rPr>
            <w:rStyle w:val="Style44"/>
            <w:rFonts w:cs="Arial" w:ascii="Arial" w:hAnsi="Arial"/>
            <w:iCs/>
            <w:sz w:val="24"/>
            <w:szCs w:val="24"/>
          </w:rPr>
          <w:t>Расчетные показатели минимального уровня обеспеченности объектами утилизации и переработки коммунальных и промышленных отходов</w:t>
        </w:r>
        <w:r>
          <w:rPr>
            <w:rStyle w:val="Style44"/>
            <w:rFonts w:cs="Arial" w:ascii="Arial" w:hAnsi="Arial"/>
            <w:vanish w:val="false"/>
            <w:sz w:val="24"/>
            <w:szCs w:val="24"/>
          </w:rPr>
          <w:tab/>
          <w:t>70</w:t>
        </w:r>
      </w:hyperlink>
    </w:p>
    <w:p>
      <w:pPr>
        <w:pStyle w:val="113"/>
        <w:tabs>
          <w:tab w:val="left" w:pos="840" w:leader="none"/>
          <w:tab w:val="right" w:pos="10196" w:leader="dot"/>
        </w:tabs>
        <w:rPr/>
      </w:pPr>
      <w:hyperlink w:anchor="__RefHeading___Toc494193934">
        <w:r>
          <w:rPr>
            <w:rStyle w:val="Style44"/>
            <w:rFonts w:cs="Arial" w:ascii="Arial" w:hAnsi="Arial"/>
            <w:iCs/>
            <w:sz w:val="24"/>
            <w:szCs w:val="24"/>
          </w:rPr>
          <w:t>Нормы накопления отходов</w:t>
        </w:r>
        <w:r>
          <w:rPr>
            <w:rStyle w:val="Style44"/>
            <w:rFonts w:cs="Arial" w:ascii="Arial" w:hAnsi="Arial"/>
            <w:vanish w:val="false"/>
            <w:sz w:val="24"/>
            <w:szCs w:val="24"/>
          </w:rPr>
          <w:tab/>
          <w:t>71</w:t>
        </w:r>
      </w:hyperlink>
    </w:p>
    <w:p>
      <w:pPr>
        <w:pStyle w:val="113"/>
        <w:tabs>
          <w:tab w:val="right" w:pos="10196" w:leader="dot"/>
        </w:tabs>
        <w:rPr/>
      </w:pPr>
      <w:hyperlink w:anchor="__RefHeading___Toc494193935">
        <w:r>
          <w:rPr>
            <w:rStyle w:val="Style44"/>
            <w:rFonts w:cs="Arial" w:ascii="Arial" w:hAnsi="Arial"/>
            <w:sz w:val="24"/>
            <w:szCs w:val="24"/>
          </w:rPr>
          <w:t>12. Расчетные показатели зоны сельскохозяйственного назначения</w:t>
        </w:r>
        <w:r>
          <w:rPr>
            <w:rStyle w:val="Style44"/>
            <w:rFonts w:cs="Arial" w:ascii="Arial" w:hAnsi="Arial"/>
            <w:vanish w:val="false"/>
            <w:sz w:val="24"/>
            <w:szCs w:val="24"/>
          </w:rPr>
          <w:tab/>
          <w:t>71</w:t>
        </w:r>
      </w:hyperlink>
    </w:p>
    <w:p>
      <w:pPr>
        <w:pStyle w:val="113"/>
        <w:tabs>
          <w:tab w:val="right" w:pos="10196" w:leader="dot"/>
        </w:tabs>
        <w:rPr/>
      </w:pPr>
      <w:hyperlink w:anchor="__RefHeading___Toc494193936">
        <w:r>
          <w:rPr>
            <w:rStyle w:val="Style44"/>
            <w:rFonts w:cs="Arial" w:ascii="Arial" w:hAnsi="Arial"/>
            <w:sz w:val="24"/>
            <w:szCs w:val="24"/>
          </w:rPr>
          <w:t>13. Расчетные показатели в области инженерной подготовки и защиты территории</w:t>
        </w:r>
        <w:r>
          <w:rPr>
            <w:rStyle w:val="Style44"/>
            <w:rFonts w:cs="Arial" w:ascii="Arial" w:hAnsi="Arial"/>
            <w:vanish w:val="false"/>
            <w:sz w:val="24"/>
            <w:szCs w:val="24"/>
          </w:rPr>
          <w:tab/>
          <w:t>74</w:t>
        </w:r>
      </w:hyperlink>
    </w:p>
    <w:p>
      <w:pPr>
        <w:pStyle w:val="113"/>
        <w:tabs>
          <w:tab w:val="left" w:pos="840" w:leader="none"/>
          <w:tab w:val="right" w:pos="10196" w:leader="dot"/>
        </w:tabs>
        <w:rPr/>
      </w:pPr>
      <w:hyperlink w:anchor="__RefHeading___Toc494193937">
        <w:r>
          <w:rPr>
            <w:rStyle w:val="Style44"/>
            <w:rFonts w:cs="Arial" w:ascii="Arial" w:hAnsi="Arial"/>
            <w:iCs/>
            <w:sz w:val="24"/>
            <w:szCs w:val="24"/>
          </w:rPr>
          <w:t>Нормируемые показатели инженерной подготовки и защиты территории</w:t>
        </w:r>
        <w:r>
          <w:rPr>
            <w:rStyle w:val="Style44"/>
            <w:rFonts w:cs="Arial" w:ascii="Arial" w:hAnsi="Arial"/>
            <w:vanish w:val="false"/>
            <w:sz w:val="24"/>
            <w:szCs w:val="24"/>
          </w:rPr>
          <w:tab/>
          <w:t>75</w:t>
        </w:r>
      </w:hyperlink>
    </w:p>
    <w:p>
      <w:pPr>
        <w:pStyle w:val="113"/>
        <w:tabs>
          <w:tab w:val="left" w:pos="840" w:leader="none"/>
          <w:tab w:val="right" w:pos="10196" w:leader="dot"/>
        </w:tabs>
        <w:rPr/>
      </w:pPr>
      <w:hyperlink w:anchor="__RefHeading___Toc494193938">
        <w:r>
          <w:rPr>
            <w:rStyle w:val="Style44"/>
            <w:rFonts w:cs="Arial" w:ascii="Arial" w:hAnsi="Arial"/>
            <w:sz w:val="24"/>
            <w:szCs w:val="24"/>
          </w:rPr>
          <w:t>Расчетные показатели в области гражданской обороны, инженерной подготовки и защиты территории</w:t>
        </w:r>
        <w:r>
          <w:rPr>
            <w:rStyle w:val="Style44"/>
            <w:rFonts w:cs="Arial" w:ascii="Arial" w:hAnsi="Arial"/>
            <w:vanish w:val="false"/>
            <w:sz w:val="24"/>
            <w:szCs w:val="24"/>
          </w:rPr>
          <w:tab/>
          <w:t>76</w:t>
        </w:r>
      </w:hyperlink>
    </w:p>
    <w:p>
      <w:pPr>
        <w:pStyle w:val="113"/>
        <w:tabs>
          <w:tab w:val="right" w:pos="10196" w:leader="dot"/>
        </w:tabs>
        <w:rPr/>
      </w:pPr>
      <w:hyperlink w:anchor="__RefHeading___Toc494193939">
        <w:r>
          <w:rPr>
            <w:rStyle w:val="Style44"/>
            <w:rFonts w:cs="Arial" w:ascii="Arial" w:hAnsi="Arial"/>
            <w:sz w:val="24"/>
            <w:szCs w:val="24"/>
          </w:rPr>
          <w:t>14. Противопожарные требования</w:t>
        </w:r>
        <w:r>
          <w:rPr>
            <w:rStyle w:val="Style44"/>
            <w:rFonts w:cs="Arial" w:ascii="Arial" w:hAnsi="Arial"/>
            <w:vanish w:val="false"/>
            <w:sz w:val="24"/>
            <w:szCs w:val="24"/>
          </w:rPr>
          <w:tab/>
          <w:t>78</w:t>
        </w:r>
      </w:hyperlink>
    </w:p>
    <w:p>
      <w:pPr>
        <w:pStyle w:val="113"/>
        <w:tabs>
          <w:tab w:val="left" w:pos="840" w:leader="none"/>
          <w:tab w:val="right" w:pos="10196" w:leader="dot"/>
        </w:tabs>
        <w:rPr/>
      </w:pPr>
      <w:hyperlink w:anchor="__RefHeading___Toc494193940">
        <w:r>
          <w:rPr>
            <w:rStyle w:val="Style44"/>
            <w:rFonts w:cs="Arial" w:ascii="Arial" w:hAnsi="Arial"/>
            <w:sz w:val="24"/>
            <w:szCs w:val="24"/>
          </w:rPr>
          <w:t>Нормативные требования по противопожарным разрывам между зданиями и сооружениями</w:t>
        </w:r>
        <w:r>
          <w:rPr>
            <w:rStyle w:val="Style44"/>
            <w:rFonts w:cs="Arial" w:ascii="Arial" w:hAnsi="Arial"/>
            <w:vanish w:val="false"/>
            <w:sz w:val="24"/>
            <w:szCs w:val="24"/>
          </w:rPr>
          <w:tab/>
          <w:t>79</w:t>
        </w:r>
      </w:hyperlink>
    </w:p>
    <w:p>
      <w:pPr>
        <w:pStyle w:val="113"/>
        <w:tabs>
          <w:tab w:val="right" w:pos="10196" w:leader="dot"/>
        </w:tabs>
        <w:rPr/>
      </w:pPr>
      <w:hyperlink w:anchor="__RefHeading___Toc494193941">
        <w:r>
          <w:rPr>
            <w:rStyle w:val="Style44"/>
            <w:rFonts w:cs="Arial" w:ascii="Arial" w:hAnsi="Arial"/>
            <w:sz w:val="24"/>
            <w:szCs w:val="24"/>
          </w:rPr>
          <w:t>Нормативные требования к проездам пожарных машин к зданиям и сооружениям</w:t>
        </w:r>
        <w:r>
          <w:rPr>
            <w:rStyle w:val="Style44"/>
            <w:rFonts w:cs="Arial" w:ascii="Arial" w:hAnsi="Arial"/>
            <w:vanish w:val="false"/>
            <w:sz w:val="24"/>
            <w:szCs w:val="24"/>
          </w:rPr>
          <w:tab/>
          <w:t>83</w:t>
        </w:r>
      </w:hyperlink>
    </w:p>
    <w:p>
      <w:pPr>
        <w:pStyle w:val="113"/>
        <w:tabs>
          <w:tab w:val="right" w:pos="10196" w:leader="dot"/>
        </w:tabs>
        <w:rPr/>
      </w:pPr>
      <w:hyperlink w:anchor="__RefHeading___Toc494193942">
        <w:r>
          <w:rPr>
            <w:rStyle w:val="Style44"/>
            <w:rFonts w:cs="Arial" w:ascii="Arial" w:hAnsi="Arial"/>
            <w:sz w:val="24"/>
            <w:szCs w:val="24"/>
          </w:rPr>
          <w:t>Нормативные требования к размещению пожарных водоемов и гидрантов</w:t>
        </w:r>
        <w:r>
          <w:rPr>
            <w:rStyle w:val="Style44"/>
            <w:rFonts w:cs="Arial" w:ascii="Arial" w:hAnsi="Arial"/>
            <w:vanish w:val="false"/>
            <w:sz w:val="24"/>
            <w:szCs w:val="24"/>
          </w:rPr>
          <w:tab/>
          <w:t>84</w:t>
        </w:r>
      </w:hyperlink>
    </w:p>
    <w:p>
      <w:pPr>
        <w:pStyle w:val="113"/>
        <w:tabs>
          <w:tab w:val="left" w:pos="840" w:leader="none"/>
          <w:tab w:val="right" w:pos="10196" w:leader="dot"/>
        </w:tabs>
        <w:rPr/>
      </w:pPr>
      <w:hyperlink w:anchor="__RefHeading___Toc494193943">
        <w:r>
          <w:rPr>
            <w:rStyle w:val="Style44"/>
            <w:rFonts w:cs="Arial" w:ascii="Arial" w:hAnsi="Arial"/>
            <w:sz w:val="24"/>
            <w:szCs w:val="24"/>
          </w:rPr>
          <w:t>Требования к размещению пожарных депо</w:t>
        </w:r>
        <w:r>
          <w:rPr>
            <w:rStyle w:val="Style44"/>
            <w:rFonts w:cs="Arial" w:ascii="Arial" w:hAnsi="Arial"/>
            <w:vanish w:val="false"/>
            <w:sz w:val="24"/>
            <w:szCs w:val="24"/>
          </w:rPr>
          <w:tab/>
          <w:t>84</w:t>
        </w:r>
      </w:hyperlink>
    </w:p>
    <w:p>
      <w:pPr>
        <w:pStyle w:val="113"/>
        <w:tabs>
          <w:tab w:val="left" w:pos="840" w:leader="none"/>
          <w:tab w:val="right" w:pos="10196" w:leader="dot"/>
        </w:tabs>
        <w:rPr/>
      </w:pPr>
      <w:hyperlink w:anchor="__RefHeading___Toc494193944">
        <w:r>
          <w:rPr>
            <w:rStyle w:val="Style44"/>
            <w:rFonts w:cs="Arial" w:ascii="Arial" w:hAnsi="Arial"/>
            <w:iCs/>
            <w:sz w:val="24"/>
            <w:szCs w:val="24"/>
          </w:rPr>
          <w:t>Расчетное количество пожарных депо и пожарных автомобилей в населенном пункте</w:t>
        </w:r>
        <w:r>
          <w:rPr>
            <w:rStyle w:val="Style44"/>
            <w:rFonts w:cs="Arial" w:ascii="Arial" w:hAnsi="Arial"/>
            <w:vanish w:val="false"/>
            <w:sz w:val="24"/>
            <w:szCs w:val="24"/>
          </w:rPr>
          <w:tab/>
          <w:t>84</w:t>
        </w:r>
      </w:hyperlink>
    </w:p>
    <w:p>
      <w:pPr>
        <w:pStyle w:val="113"/>
        <w:tabs>
          <w:tab w:val="left" w:pos="840" w:leader="none"/>
          <w:tab w:val="right" w:pos="10196" w:leader="dot"/>
        </w:tabs>
        <w:rPr/>
      </w:pPr>
      <w:hyperlink w:anchor="__RefHeading___Toc494193945">
        <w:r>
          <w:rPr>
            <w:rStyle w:val="Style44"/>
            <w:rFonts w:cs="Arial" w:ascii="Arial" w:hAnsi="Arial"/>
            <w:iCs/>
            <w:sz w:val="24"/>
            <w:szCs w:val="24"/>
          </w:rPr>
          <w:t>Радиус обслуживания пожарного депо</w:t>
        </w:r>
        <w:r>
          <w:rPr>
            <w:rStyle w:val="Style44"/>
            <w:rFonts w:cs="Arial" w:ascii="Arial" w:hAnsi="Arial"/>
            <w:vanish w:val="false"/>
            <w:sz w:val="24"/>
            <w:szCs w:val="24"/>
          </w:rPr>
          <w:tab/>
          <w:t>86</w:t>
        </w:r>
      </w:hyperlink>
    </w:p>
    <w:p>
      <w:pPr>
        <w:pStyle w:val="113"/>
        <w:tabs>
          <w:tab w:val="right" w:pos="10196" w:leader="dot"/>
        </w:tabs>
        <w:rPr/>
      </w:pPr>
      <w:hyperlink w:anchor="__RefHeading___Toc494193946">
        <w:r>
          <w:rPr>
            <w:rStyle w:val="Style44"/>
            <w:rFonts w:cs="Arial" w:ascii="Arial" w:hAnsi="Arial"/>
            <w:sz w:val="24"/>
            <w:szCs w:val="24"/>
          </w:rPr>
          <w:t>15. Доступность объектов для маломобильных групп населения на территории муниципального образования</w:t>
        </w:r>
        <w:r>
          <w:rPr>
            <w:rStyle w:val="Style44"/>
            <w:rFonts w:cs="Arial" w:ascii="Arial" w:hAnsi="Arial"/>
            <w:vanish w:val="false"/>
            <w:sz w:val="24"/>
            <w:szCs w:val="24"/>
          </w:rPr>
          <w:tab/>
          <w:t>87</w:t>
        </w:r>
      </w:hyperlink>
    </w:p>
    <w:p>
      <w:pPr>
        <w:pStyle w:val="113"/>
        <w:tabs>
          <w:tab w:val="right" w:pos="10196" w:leader="dot"/>
        </w:tabs>
        <w:rPr/>
      </w:pPr>
      <w:hyperlink w:anchor="__RefHeading___Toc494193947">
        <w:r>
          <w:rPr>
            <w:rStyle w:val="Style44"/>
            <w:rFonts w:cs="Arial" w:ascii="Arial" w:hAnsi="Arial"/>
            <w:sz w:val="24"/>
            <w:szCs w:val="24"/>
          </w:rPr>
          <w:t>16.  Охрана окружающей среды</w:t>
        </w:r>
        <w:r>
          <w:rPr>
            <w:rStyle w:val="Style44"/>
            <w:rFonts w:cs="Arial" w:ascii="Arial" w:hAnsi="Arial"/>
            <w:vanish w:val="false"/>
            <w:sz w:val="24"/>
            <w:szCs w:val="24"/>
          </w:rPr>
          <w:tab/>
          <w:t>88</w:t>
        </w:r>
      </w:hyperlink>
    </w:p>
    <w:p>
      <w:pPr>
        <w:pStyle w:val="113"/>
        <w:tabs>
          <w:tab w:val="left" w:pos="840" w:leader="none"/>
          <w:tab w:val="right" w:pos="10196" w:leader="dot"/>
        </w:tabs>
        <w:rPr/>
      </w:pPr>
      <w:hyperlink w:anchor="__RefHeading___Toc494193948">
        <w:r>
          <w:rPr>
            <w:rStyle w:val="Style44"/>
            <w:rFonts w:cs="Arial" w:ascii="Arial" w:hAnsi="Arial"/>
            <w:sz w:val="24"/>
            <w:szCs w:val="24"/>
          </w:rPr>
          <w:t>Допустимые уровни воздействия на среду и человека.</w:t>
        </w:r>
        <w:r>
          <w:rPr>
            <w:rStyle w:val="Style44"/>
            <w:rFonts w:cs="Arial" w:ascii="Arial" w:hAnsi="Arial"/>
            <w:vanish w:val="false"/>
            <w:sz w:val="24"/>
            <w:szCs w:val="24"/>
          </w:rPr>
          <w:tab/>
          <w:t>105</w:t>
        </w:r>
      </w:hyperlink>
    </w:p>
    <w:p>
      <w:pPr>
        <w:pStyle w:val="113"/>
        <w:tabs>
          <w:tab w:val="right" w:pos="10196" w:leader="dot"/>
        </w:tabs>
        <w:rPr/>
      </w:pPr>
      <w:hyperlink w:anchor="__RefHeading___Toc494193949">
        <w:r>
          <w:rPr>
            <w:rStyle w:val="Style44"/>
            <w:rFonts w:cs="Arial" w:ascii="Arial" w:hAnsi="Arial"/>
            <w:sz w:val="24"/>
            <w:szCs w:val="24"/>
          </w:rPr>
          <w:t>17.  Охрана объектов культурного наследия (памятников истории и культуры)</w:t>
        </w:r>
        <w:r>
          <w:rPr>
            <w:rStyle w:val="Style44"/>
            <w:rFonts w:cs="Arial" w:ascii="Arial" w:hAnsi="Arial"/>
            <w:vanish w:val="false"/>
            <w:sz w:val="24"/>
            <w:szCs w:val="24"/>
          </w:rPr>
          <w:tab/>
          <w:t>106</w:t>
        </w:r>
      </w:hyperlink>
    </w:p>
    <w:p>
      <w:pPr>
        <w:pStyle w:val="113"/>
        <w:tabs>
          <w:tab w:val="right" w:pos="10196" w:leader="dot"/>
        </w:tabs>
        <w:rPr/>
      </w:pPr>
      <w:hyperlink w:anchor="__RefHeading___Toc494193950">
        <w:r>
          <w:rPr>
            <w:rStyle w:val="Style44"/>
            <w:rFonts w:cs="Arial" w:ascii="Arial" w:hAnsi="Arial"/>
            <w:sz w:val="24"/>
            <w:szCs w:val="24"/>
          </w:rPr>
          <w:t>18.  Иные расчетные показатели</w:t>
        </w:r>
        <w:r>
          <w:rPr>
            <w:rStyle w:val="Style44"/>
            <w:rFonts w:cs="Arial" w:ascii="Arial" w:hAnsi="Arial"/>
            <w:vanish w:val="false"/>
            <w:sz w:val="24"/>
            <w:szCs w:val="24"/>
          </w:rPr>
          <w:tab/>
          <w:t>110</w:t>
        </w:r>
      </w:hyperlink>
    </w:p>
    <w:p>
      <w:pPr>
        <w:pStyle w:val="113"/>
        <w:tabs>
          <w:tab w:val="right" w:pos="10196" w:leader="dot"/>
        </w:tabs>
        <w:rPr/>
      </w:pPr>
      <w:hyperlink w:anchor="__RefHeading___Toc494193951">
        <w:r>
          <w:rPr>
            <w:rStyle w:val="Style44"/>
            <w:rFonts w:cs="Arial" w:ascii="Arial" w:hAnsi="Arial"/>
            <w:iCs/>
            <w:sz w:val="24"/>
            <w:szCs w:val="24"/>
          </w:rPr>
          <w:t>Расчетные показатели минимального уровня обеспеченности объектами для обслуживания сельскохозяйственных и домашних животных, принадлежащих  населению сельского поселения</w:t>
        </w:r>
        <w:r>
          <w:rPr>
            <w:rStyle w:val="Style44"/>
            <w:rFonts w:cs="Arial" w:ascii="Arial" w:hAnsi="Arial"/>
            <w:vanish w:val="false"/>
            <w:sz w:val="24"/>
            <w:szCs w:val="24"/>
          </w:rPr>
          <w:tab/>
          <w:t>110</w:t>
        </w:r>
      </w:hyperlink>
      <w:r>
        <w:fldChar w:fldCharType="end"/>
      </w:r>
    </w:p>
    <w:p>
      <w:pPr>
        <w:pStyle w:val="Normal"/>
        <w:rPr>
          <w:rFonts w:ascii="Arial" w:hAnsi="Arial" w:cs="Arial"/>
          <w:sz w:val="24"/>
          <w:szCs w:val="24"/>
        </w:rPr>
      </w:pPr>
      <w:r>
        <w:rPr>
          <w:rFonts w:cs="Arial" w:ascii="Arial" w:hAnsi="Arial"/>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rmal"/>
        <w:jc w:val="both"/>
        <w:rPr>
          <w:rFonts w:ascii="Arial" w:hAnsi="Arial" w:cs="Arial"/>
          <w:b/>
          <w:b/>
          <w:sz w:val="24"/>
          <w:szCs w:val="24"/>
        </w:rPr>
      </w:pPr>
      <w:r>
        <w:rPr>
          <w:rFonts w:cs="Arial" w:ascii="Arial" w:hAnsi="Arial"/>
          <w:b/>
          <w:sz w:val="24"/>
          <w:szCs w:val="24"/>
        </w:rPr>
      </w:r>
    </w:p>
    <w:p>
      <w:pPr>
        <w:pStyle w:val="NoSpacing"/>
        <w:numPr>
          <w:ilvl w:val="0"/>
          <w:numId w:val="0"/>
        </w:numPr>
        <w:ind w:left="360" w:right="0" w:hanging="0"/>
        <w:jc w:val="center"/>
        <w:rPr/>
      </w:pPr>
      <w:r>
        <w:rPr>
          <w:rFonts w:eastAsia="Arial" w:cs="Arial" w:ascii="Arial" w:hAnsi="Arial"/>
          <w:b/>
          <w:i/>
          <w:sz w:val="24"/>
          <w:szCs w:val="24"/>
        </w:rPr>
        <w:t xml:space="preserve"> </w:t>
      </w:r>
      <w:bookmarkStart w:id="0" w:name="__RefHeading___Toc494193896"/>
      <w:bookmarkEnd w:id="0"/>
      <w:r>
        <w:rPr>
          <w:rFonts w:cs="Arial" w:ascii="Arial" w:hAnsi="Arial"/>
          <w:b/>
          <w:i/>
          <w:sz w:val="32"/>
          <w:szCs w:val="32"/>
        </w:rPr>
        <w:t>Введение</w:t>
      </w:r>
    </w:p>
    <w:p>
      <w:pPr>
        <w:pStyle w:val="Normal"/>
        <w:numPr>
          <w:ilvl w:val="0"/>
          <w:numId w:val="0"/>
        </w:numPr>
        <w:shd w:fill="FFFFFF" w:val="clear"/>
        <w:spacing w:lineRule="auto" w:line="240" w:before="0" w:after="0"/>
        <w:ind w:left="0" w:hanging="0"/>
        <w:jc w:val="both"/>
        <w:rPr>
          <w:rFonts w:ascii="Arial" w:hAnsi="Arial" w:cs="Arial"/>
          <w:sz w:val="24"/>
          <w:szCs w:val="24"/>
        </w:rPr>
      </w:pPr>
      <w:r>
        <w:rPr>
          <w:rFonts w:cs="Arial" w:ascii="Arial" w:hAnsi="Arial"/>
          <w:sz w:val="24"/>
          <w:szCs w:val="24"/>
        </w:rPr>
      </w:r>
    </w:p>
    <w:p>
      <w:pPr>
        <w:pStyle w:val="NoSpacing"/>
        <w:ind w:left="0" w:right="0" w:firstLine="708"/>
        <w:jc w:val="both"/>
        <w:rPr/>
      </w:pPr>
      <w:r>
        <w:rPr>
          <w:rFonts w:cs="Arial" w:ascii="Arial" w:hAnsi="Arial"/>
          <w:sz w:val="24"/>
          <w:szCs w:val="24"/>
        </w:rPr>
        <w:t xml:space="preserve">Местные нормативы градостроительного проектирования Кушнурского сельсовета Шарангского муниципального района Нижегородской области (далее – местные нормативы градостроительного проектирования) разработаны в соответствии с Градостроительным </w:t>
      </w:r>
      <w:hyperlink r:id="rId4">
        <w:r>
          <w:rPr>
            <w:rStyle w:val="Style9"/>
            <w:rFonts w:cs="Arial" w:ascii="Arial" w:hAnsi="Arial"/>
            <w:sz w:val="24"/>
            <w:szCs w:val="24"/>
          </w:rPr>
          <w:t>кодексом</w:t>
        </w:r>
      </w:hyperlink>
      <w:r>
        <w:rPr>
          <w:rFonts w:cs="Arial" w:ascii="Arial" w:hAnsi="Arial"/>
          <w:sz w:val="24"/>
          <w:szCs w:val="24"/>
        </w:rPr>
        <w:t xml:space="preserve"> Российской Федерации от 29 декабря 2004 года N 190-ФЗ, </w:t>
      </w:r>
      <w:hyperlink r:id="rId5">
        <w:r>
          <w:rPr>
            <w:rStyle w:val="Style9"/>
            <w:rFonts w:cs="Arial" w:ascii="Arial" w:hAnsi="Arial"/>
            <w:sz w:val="24"/>
            <w:szCs w:val="24"/>
          </w:rPr>
          <w:t>Законом</w:t>
        </w:r>
      </w:hyperlink>
      <w:r>
        <w:rPr>
          <w:rFonts w:cs="Arial" w:ascii="Arial" w:hAnsi="Arial"/>
          <w:sz w:val="24"/>
          <w:szCs w:val="24"/>
        </w:rPr>
        <w:t xml:space="preserve"> Нижегородской области от 8 апреля 2008 года N 37-З "Об основах регулирования градостроительной деятельности на территории Нижегородской области"</w:t>
      </w:r>
    </w:p>
    <w:p>
      <w:pPr>
        <w:pStyle w:val="NoSpacing"/>
        <w:ind w:left="0" w:right="0" w:firstLine="708"/>
        <w:jc w:val="both"/>
        <w:rPr>
          <w:rFonts w:ascii="Arial" w:hAnsi="Arial" w:cs="Arial"/>
          <w:sz w:val="24"/>
          <w:szCs w:val="24"/>
        </w:rPr>
      </w:pPr>
      <w:r>
        <w:rPr>
          <w:rFonts w:cs="Arial" w:ascii="Arial" w:hAnsi="Arial"/>
          <w:sz w:val="24"/>
          <w:szCs w:val="24"/>
        </w:rPr>
        <w:t>Местные нормативы градостроительного проектирования формируются в виде системы, направленной на повышение благоприятных условий жизни населения сельского поселения, устойчивое развитие его территорий с учетом социально-экономических, территориальных, природно-климатических особенностей муниципального образования.</w:t>
      </w:r>
    </w:p>
    <w:p>
      <w:pPr>
        <w:pStyle w:val="Style99"/>
        <w:jc w:val="both"/>
        <w:rPr>
          <w:rFonts w:ascii="Arial" w:hAnsi="Arial" w:cs="Arial"/>
          <w:b w:val="false"/>
          <w:b w:val="false"/>
          <w:i w:val="false"/>
          <w:i w:val="false"/>
          <w:sz w:val="24"/>
          <w:szCs w:val="24"/>
        </w:rPr>
      </w:pPr>
      <w:r>
        <w:rPr>
          <w:rFonts w:cs="Arial" w:ascii="Arial" w:hAnsi="Arial"/>
          <w:b w:val="false"/>
          <w:i w:val="false"/>
          <w:sz w:val="24"/>
          <w:szCs w:val="24"/>
        </w:rPr>
        <w:t>Местные нормативы градостроительного проектирования распространяются на всю  территорию Кушнурского сельсовета Шарангского муниципального района Нижегородской области и обязательны для применения всеми субъектами градостроительной деятельности на территории муниципального образования.</w:t>
      </w:r>
    </w:p>
    <w:p>
      <w:pPr>
        <w:pStyle w:val="Style99"/>
        <w:jc w:val="both"/>
        <w:rPr>
          <w:rFonts w:ascii="Arial" w:hAnsi="Arial" w:cs="Arial"/>
          <w:b w:val="false"/>
          <w:b w:val="false"/>
          <w:i w:val="false"/>
          <w:i w:val="false"/>
          <w:sz w:val="24"/>
          <w:szCs w:val="24"/>
        </w:rPr>
      </w:pPr>
      <w:r>
        <w:rPr>
          <w:rFonts w:cs="Arial" w:ascii="Arial" w:hAnsi="Arial"/>
          <w:b w:val="false"/>
          <w:i w:val="false"/>
          <w:sz w:val="24"/>
          <w:szCs w:val="24"/>
        </w:rPr>
        <w:t>Местные нормативы градостроительного проектирования разработаны для обеспечения градостроительной деятельности на территории Кушнурского сельсовета и решения следующих задач:</w:t>
      </w:r>
    </w:p>
    <w:p>
      <w:pPr>
        <w:pStyle w:val="Style99"/>
        <w:jc w:val="both"/>
        <w:rPr>
          <w:rFonts w:ascii="Arial" w:hAnsi="Arial" w:cs="Arial"/>
          <w:b w:val="false"/>
          <w:b w:val="false"/>
          <w:i w:val="false"/>
          <w:i w:val="false"/>
          <w:sz w:val="24"/>
          <w:szCs w:val="24"/>
        </w:rPr>
      </w:pPr>
      <w:r>
        <w:rPr>
          <w:rFonts w:cs="Arial" w:ascii="Arial" w:hAnsi="Arial"/>
          <w:b w:val="false"/>
          <w:i w:val="false"/>
          <w:sz w:val="24"/>
          <w:szCs w:val="24"/>
        </w:rPr>
        <w:t>- установление минимального набора показателей, расчет которых необходим при разработке  градостроительной документации (генерального плана, документации по планировке территории,  правил землепользования и застройки) на основе документов планирования социально-экономического развития территории;</w:t>
      </w:r>
    </w:p>
    <w:p>
      <w:pPr>
        <w:pStyle w:val="Style99"/>
        <w:jc w:val="both"/>
        <w:rPr>
          <w:rFonts w:ascii="Arial" w:hAnsi="Arial" w:cs="Arial"/>
          <w:b w:val="false"/>
          <w:b w:val="false"/>
          <w:i w:val="false"/>
          <w:i w:val="false"/>
          <w:sz w:val="24"/>
          <w:szCs w:val="24"/>
        </w:rPr>
      </w:pPr>
      <w:r>
        <w:rPr>
          <w:rFonts w:cs="Arial" w:ascii="Arial" w:hAnsi="Arial"/>
          <w:b w:val="false"/>
          <w:i w:val="false"/>
          <w:sz w:val="24"/>
          <w:szCs w:val="24"/>
        </w:rPr>
        <w:t>- распределение используемых при  проектировании  показателей на группы по видам  градостроительной документации;</w:t>
      </w:r>
    </w:p>
    <w:p>
      <w:pPr>
        <w:pStyle w:val="Style99"/>
        <w:jc w:val="both"/>
        <w:rPr>
          <w:rFonts w:ascii="Arial" w:hAnsi="Arial" w:cs="Arial"/>
          <w:b w:val="false"/>
          <w:b w:val="false"/>
          <w:i w:val="false"/>
          <w:i w:val="false"/>
          <w:sz w:val="24"/>
          <w:szCs w:val="24"/>
        </w:rPr>
      </w:pPr>
      <w:r>
        <w:rPr>
          <w:rFonts w:cs="Arial" w:ascii="Arial" w:hAnsi="Arial"/>
          <w:b w:val="false"/>
          <w:i w:val="false"/>
          <w:sz w:val="24"/>
          <w:szCs w:val="24"/>
        </w:rPr>
        <w:t>- обеспечение оценки качества градостроительной документации  в  плане  соответствия  её  решений  целям  повышения качества жизни населения;</w:t>
      </w:r>
    </w:p>
    <w:p>
      <w:pPr>
        <w:pStyle w:val="Style99"/>
        <w:jc w:val="both"/>
        <w:rPr>
          <w:rFonts w:ascii="Arial" w:hAnsi="Arial" w:cs="Arial"/>
          <w:b w:val="false"/>
          <w:b w:val="false"/>
          <w:i w:val="false"/>
          <w:i w:val="false"/>
          <w:sz w:val="24"/>
          <w:szCs w:val="24"/>
        </w:rPr>
      </w:pPr>
      <w:r>
        <w:rPr>
          <w:rFonts w:cs="Arial" w:ascii="Arial" w:hAnsi="Arial"/>
          <w:b w:val="false"/>
          <w:i w:val="false"/>
          <w:sz w:val="24"/>
          <w:szCs w:val="24"/>
        </w:rPr>
        <w:t>- обеспечение постоянного контроля соответствия проектных решений градостроительной  документации изменяющимся социально-экономическим условиям на территории;</w:t>
      </w:r>
    </w:p>
    <w:p>
      <w:pPr>
        <w:pStyle w:val="Style99"/>
        <w:jc w:val="both"/>
        <w:rPr>
          <w:rFonts w:ascii="Arial" w:hAnsi="Arial" w:cs="Arial"/>
          <w:b w:val="false"/>
          <w:b w:val="false"/>
          <w:i w:val="false"/>
          <w:i w:val="false"/>
          <w:sz w:val="24"/>
          <w:szCs w:val="24"/>
        </w:rPr>
      </w:pPr>
      <w:r>
        <w:rPr>
          <w:rFonts w:cs="Arial" w:ascii="Arial" w:hAnsi="Arial"/>
          <w:b w:val="false"/>
          <w:i w:val="false"/>
          <w:sz w:val="24"/>
          <w:szCs w:val="24"/>
        </w:rPr>
        <w:t>- приведение в соответствие с требованиями  действующего законодательства о градостроительной деятельности терминологии,  используемой в применяемых при разработке  нормативов нормативно-технических документах СССР и РСФСР, действующих в части, не  противоречащей законодательству Российской Федерации (в том числе наименований органов власти и управления, названий устаревших видов градостроительной документации и др.);</w:t>
      </w:r>
    </w:p>
    <w:p>
      <w:pPr>
        <w:pStyle w:val="Style99"/>
        <w:jc w:val="both"/>
        <w:rPr>
          <w:rFonts w:ascii="Arial" w:hAnsi="Arial" w:cs="Arial"/>
          <w:b w:val="false"/>
          <w:b w:val="false"/>
          <w:i w:val="false"/>
          <w:i w:val="false"/>
          <w:sz w:val="24"/>
          <w:szCs w:val="24"/>
        </w:rPr>
      </w:pPr>
      <w:r>
        <w:rPr>
          <w:rFonts w:cs="Arial" w:ascii="Arial" w:hAnsi="Arial"/>
          <w:b w:val="false"/>
          <w:i w:val="false"/>
          <w:sz w:val="24"/>
          <w:szCs w:val="24"/>
        </w:rPr>
        <w:t>- установление требований к материалам, сдаваемым в составе документов территориального планирования, документации по планировке территории, правил землепользования и застройки для обеспечения формирования ресурсов информационных систем обеспечения градостроительной документации.</w:t>
      </w:r>
    </w:p>
    <w:p>
      <w:pPr>
        <w:pStyle w:val="ConsPlusNormal1"/>
        <w:widowControl/>
        <w:ind w:left="0" w:right="0" w:firstLine="709"/>
        <w:rPr>
          <w:rFonts w:cs="Arial"/>
          <w:sz w:val="24"/>
          <w:szCs w:val="24"/>
        </w:rPr>
      </w:pPr>
      <w:r>
        <w:rPr>
          <w:rFonts w:cs="Arial"/>
          <w:sz w:val="24"/>
          <w:szCs w:val="24"/>
        </w:rPr>
        <w:t>Нормативы градостроительного проектирования Кушнурского сельсовета содержат расчетные показатели предельные значения расчетных показателей минимально допустимого уровня обеспеченности объектами местного значения населения сельского поселения и предельные значения расчетных показателей максимально допустимого уровня территориальной доступности таких объектов.</w:t>
      </w:r>
    </w:p>
    <w:p>
      <w:pPr>
        <w:pStyle w:val="ConsPlusNormal1"/>
        <w:ind w:left="0" w:right="0" w:firstLine="709"/>
        <w:rPr>
          <w:rFonts w:cs="Arial"/>
          <w:sz w:val="24"/>
          <w:szCs w:val="24"/>
        </w:rPr>
      </w:pPr>
      <w:r>
        <w:rPr>
          <w:rFonts w:cs="Arial"/>
          <w:sz w:val="24"/>
          <w:szCs w:val="24"/>
        </w:rPr>
        <w:t>Подготовка местных нормативов градостроительного проектирования осуществлялась с учетом:</w:t>
      </w:r>
    </w:p>
    <w:p>
      <w:pPr>
        <w:pStyle w:val="ConsPlusNormal1"/>
        <w:ind w:left="0" w:right="0" w:firstLine="709"/>
        <w:rPr>
          <w:rFonts w:cs="Arial"/>
          <w:sz w:val="24"/>
          <w:szCs w:val="24"/>
        </w:rPr>
      </w:pPr>
      <w:r>
        <w:rPr>
          <w:rFonts w:cs="Arial"/>
          <w:sz w:val="24"/>
          <w:szCs w:val="24"/>
        </w:rPr>
        <w:t>1) социально-демографического состава и плотности населения на территории  Кушнурского сельсовета ;</w:t>
      </w:r>
    </w:p>
    <w:p>
      <w:pPr>
        <w:pStyle w:val="ConsPlusNormal1"/>
        <w:ind w:left="0" w:right="0" w:firstLine="709"/>
        <w:rPr>
          <w:rFonts w:cs="Arial"/>
          <w:sz w:val="24"/>
          <w:szCs w:val="24"/>
        </w:rPr>
      </w:pPr>
      <w:r>
        <w:rPr>
          <w:rFonts w:cs="Arial"/>
          <w:sz w:val="24"/>
          <w:szCs w:val="24"/>
        </w:rPr>
        <w:t>2) планов и программ комплексного социально-экономического развития  Кушнурского сельсовета ;</w:t>
      </w:r>
    </w:p>
    <w:p>
      <w:pPr>
        <w:pStyle w:val="ConsPlusNormal1"/>
        <w:widowControl/>
        <w:ind w:left="0" w:right="0" w:firstLine="709"/>
        <w:rPr>
          <w:rFonts w:cs="Arial"/>
          <w:sz w:val="24"/>
          <w:szCs w:val="24"/>
        </w:rPr>
      </w:pPr>
      <w:r>
        <w:rPr>
          <w:rFonts w:cs="Arial"/>
          <w:sz w:val="24"/>
          <w:szCs w:val="24"/>
        </w:rPr>
        <w:t>3) предложений органов местного самоуправления и заинтересованных лиц.</w:t>
      </w:r>
    </w:p>
    <w:p>
      <w:pPr>
        <w:pStyle w:val="ConsPlusNormal1"/>
        <w:ind w:left="0" w:right="0" w:firstLine="709"/>
        <w:rPr>
          <w:rFonts w:cs="Arial"/>
          <w:sz w:val="24"/>
          <w:szCs w:val="24"/>
        </w:rPr>
      </w:pPr>
      <w:r>
        <w:rPr>
          <w:rFonts w:cs="Arial"/>
          <w:sz w:val="24"/>
          <w:szCs w:val="24"/>
        </w:rPr>
        <w:t>Местные нормативы градостроительного проектирования включают в себя:</w:t>
      </w:r>
    </w:p>
    <w:p>
      <w:pPr>
        <w:pStyle w:val="ConsPlusNormal1"/>
        <w:ind w:left="0" w:right="0" w:firstLine="709"/>
        <w:rPr>
          <w:rFonts w:cs="Arial"/>
          <w:sz w:val="24"/>
          <w:szCs w:val="24"/>
        </w:rPr>
      </w:pPr>
      <w:r>
        <w:rPr>
          <w:rFonts w:cs="Arial"/>
          <w:sz w:val="24"/>
          <w:szCs w:val="24"/>
        </w:rPr>
        <w:t>1) основную часть (расчетные показатели минимально допустимого уровня обеспеченности объектами местного значения, населения Кушнурского сельсовета и расчетные показатели максимально допустимого уровня территориальной доступности таких объектов для населения Кушнурского сельсовета );</w:t>
      </w:r>
    </w:p>
    <w:p>
      <w:pPr>
        <w:pStyle w:val="ConsPlusNormal1"/>
        <w:ind w:left="0" w:right="0" w:firstLine="709"/>
        <w:rPr>
          <w:rFonts w:cs="Arial"/>
          <w:sz w:val="24"/>
          <w:szCs w:val="24"/>
        </w:rPr>
      </w:pPr>
      <w:r>
        <w:rPr>
          <w:rFonts w:cs="Arial"/>
          <w:sz w:val="24"/>
          <w:szCs w:val="24"/>
        </w:rPr>
        <w:t>2) материалы по обоснованию расчетных показателей, содержащихся в основной части нормативов градостроительного проектирования;</w:t>
      </w:r>
    </w:p>
    <w:p>
      <w:pPr>
        <w:pStyle w:val="ConsPlusNormal1"/>
        <w:widowControl/>
        <w:ind w:left="0" w:right="0" w:firstLine="709"/>
        <w:rPr>
          <w:rFonts w:cs="Arial"/>
          <w:sz w:val="24"/>
          <w:szCs w:val="24"/>
        </w:rPr>
      </w:pPr>
      <w:r>
        <w:rPr>
          <w:rFonts w:cs="Arial"/>
          <w:sz w:val="24"/>
          <w:szCs w:val="24"/>
        </w:rPr>
        <w:t>3) правила и область применения расчетных показателей, содержащихся в основной части нормативов градостроительного проектирования.</w:t>
      </w:r>
    </w:p>
    <w:p>
      <w:pPr>
        <w:pStyle w:val="NoSpacing"/>
        <w:ind w:left="0" w:right="0" w:firstLine="708"/>
        <w:jc w:val="both"/>
        <w:rPr>
          <w:rFonts w:ascii="Arial" w:hAnsi="Arial" w:cs="Arial"/>
          <w:sz w:val="24"/>
          <w:szCs w:val="24"/>
        </w:rPr>
      </w:pPr>
      <w:r>
        <w:rPr>
          <w:rFonts w:cs="Arial" w:ascii="Arial" w:hAnsi="Arial"/>
          <w:sz w:val="24"/>
          <w:szCs w:val="24"/>
        </w:rPr>
        <w:t>Местные нормативы градостроительного проектирования Кушнурского сельсовета Шарангского муниципального района Нижегородской области конкретизируют и развивают основные положения действующих на территории Российской Федерации, Нижегородской области федеральных и территориальных строительных и санитарно-эпидемиологических норм и правил, норм и правил противопожарной безопасности, муниципальных правовых актов применительно к природно-климатическим, демографическим, ландшафтным особенностям территории и с учетом сложившихся архитектурно-градостроительных традиций и перспективного развития Кушнурского сельсовета .</w:t>
      </w:r>
    </w:p>
    <w:p>
      <w:pPr>
        <w:pStyle w:val="NoSpacing"/>
        <w:ind w:left="0" w:right="0" w:firstLine="708"/>
        <w:jc w:val="both"/>
        <w:rPr>
          <w:rFonts w:ascii="Arial" w:hAnsi="Arial" w:cs="Arial"/>
          <w:sz w:val="24"/>
          <w:szCs w:val="24"/>
        </w:rPr>
      </w:pPr>
      <w:r>
        <w:rPr>
          <w:rFonts w:cs="Arial" w:ascii="Arial" w:hAnsi="Arial"/>
          <w:sz w:val="24"/>
          <w:szCs w:val="24"/>
        </w:rPr>
        <w:t xml:space="preserve">По вопросам, не рассматриваемым в настоящих нормативах, следует руководствоваться законами и нормативно-техническими документами, действующими на территории Нижегородской области. При отмене и/или изменении действующих нормативных документов, на которые дается ссылка в настоящих нормах, следует руководствоваться нормами, вводимыми взамен отмененных. </w:t>
      </w:r>
    </w:p>
    <w:p>
      <w:pPr>
        <w:pStyle w:val="NoSpacing"/>
        <w:jc w:val="both"/>
        <w:rPr>
          <w:rFonts w:ascii="Arial" w:hAnsi="Arial" w:cs="Arial"/>
          <w:sz w:val="24"/>
          <w:szCs w:val="24"/>
        </w:rPr>
      </w:pPr>
      <w:r>
        <w:rPr>
          <w:rFonts w:cs="Arial" w:ascii="Arial" w:hAnsi="Arial"/>
          <w:sz w:val="24"/>
          <w:szCs w:val="24"/>
        </w:rPr>
      </w:r>
    </w:p>
    <w:p>
      <w:pPr>
        <w:pStyle w:val="NoSpacing"/>
        <w:numPr>
          <w:ilvl w:val="0"/>
          <w:numId w:val="0"/>
        </w:numPr>
        <w:ind w:left="360" w:right="0" w:hanging="0"/>
        <w:jc w:val="center"/>
        <w:rPr>
          <w:rFonts w:ascii="Arial" w:hAnsi="Arial" w:cs="Arial"/>
          <w:b/>
          <w:b/>
          <w:i/>
          <w:i/>
          <w:sz w:val="24"/>
          <w:szCs w:val="24"/>
        </w:rPr>
      </w:pPr>
      <w:bookmarkStart w:id="1" w:name="__RefHeading___Toc494193897"/>
      <w:bookmarkEnd w:id="1"/>
      <w:r>
        <w:rPr>
          <w:rFonts w:cs="Arial" w:ascii="Arial" w:hAnsi="Arial"/>
          <w:b/>
          <w:i/>
          <w:sz w:val="24"/>
          <w:szCs w:val="24"/>
        </w:rPr>
        <w:t>Часть 1. Основная часть (расчетные показатели)</w:t>
      </w:r>
    </w:p>
    <w:p>
      <w:pPr>
        <w:pStyle w:val="NoSpacing"/>
        <w:numPr>
          <w:ilvl w:val="0"/>
          <w:numId w:val="0"/>
        </w:numPr>
        <w:ind w:left="0" w:hanging="0"/>
        <w:jc w:val="center"/>
        <w:rPr>
          <w:rFonts w:ascii="Arial" w:hAnsi="Arial" w:cs="Arial"/>
          <w:b/>
          <w:b/>
          <w:i/>
          <w:i/>
          <w:sz w:val="24"/>
          <w:szCs w:val="24"/>
        </w:rPr>
      </w:pPr>
      <w:r>
        <w:rPr>
          <w:rFonts w:cs="Arial" w:ascii="Arial" w:hAnsi="Arial"/>
          <w:b/>
          <w:i/>
          <w:sz w:val="24"/>
          <w:szCs w:val="24"/>
        </w:rPr>
      </w:r>
    </w:p>
    <w:p>
      <w:pPr>
        <w:pStyle w:val="NoSpacing"/>
        <w:numPr>
          <w:ilvl w:val="0"/>
          <w:numId w:val="0"/>
        </w:numPr>
        <w:ind w:left="0" w:hanging="0"/>
        <w:jc w:val="center"/>
        <w:rPr/>
      </w:pPr>
      <w:bookmarkStart w:id="2" w:name="__RefHeading___Toc494193898"/>
      <w:bookmarkEnd w:id="2"/>
      <w:r>
        <w:rPr>
          <w:rFonts w:cs="Arial" w:ascii="Arial" w:hAnsi="Arial"/>
          <w:b/>
          <w:i/>
          <w:sz w:val="24"/>
          <w:szCs w:val="24"/>
        </w:rPr>
        <w:t>1</w:t>
      </w:r>
      <w:r>
        <w:rPr>
          <w:rFonts w:cs="Arial" w:ascii="Arial" w:hAnsi="Arial"/>
          <w:b/>
          <w:i/>
          <w:sz w:val="24"/>
          <w:szCs w:val="24"/>
          <w:lang w:eastAsia="ru-RU"/>
        </w:rPr>
        <w:t xml:space="preserve">. </w:t>
      </w:r>
      <w:r>
        <w:rPr>
          <w:rStyle w:val="Style42"/>
          <w:rFonts w:cs="Arial" w:ascii="Arial" w:hAnsi="Arial"/>
        </w:rPr>
        <w:t>Термины и определения</w:t>
      </w:r>
    </w:p>
    <w:p>
      <w:pPr>
        <w:pStyle w:val="NoSpacing"/>
        <w:jc w:val="center"/>
        <w:rPr>
          <w:rFonts w:ascii="Arial" w:hAnsi="Arial" w:cs="Arial"/>
          <w:sz w:val="24"/>
          <w:szCs w:val="24"/>
          <w:lang w:eastAsia="ru-RU"/>
        </w:rPr>
      </w:pPr>
      <w:r>
        <w:rPr>
          <w:rFonts w:cs="Arial" w:ascii="Arial" w:hAnsi="Arial"/>
          <w:sz w:val="24"/>
          <w:szCs w:val="24"/>
          <w:lang w:eastAsia="ru-RU"/>
        </w:rPr>
      </w:r>
    </w:p>
    <w:p>
      <w:pPr>
        <w:pStyle w:val="NoSpacing"/>
        <w:ind w:left="0" w:right="0" w:firstLine="708"/>
        <w:jc w:val="both"/>
        <w:rPr>
          <w:rFonts w:ascii="Arial" w:hAnsi="Arial" w:cs="Arial"/>
          <w:sz w:val="24"/>
          <w:szCs w:val="24"/>
          <w:lang w:eastAsia="ru-RU"/>
        </w:rPr>
      </w:pPr>
      <w:r>
        <w:rPr>
          <w:rFonts w:cs="Arial" w:ascii="Arial" w:hAnsi="Arial"/>
          <w:sz w:val="24"/>
          <w:szCs w:val="24"/>
          <w:lang w:eastAsia="ru-RU"/>
        </w:rPr>
        <w:t>1.1. В местны нормативах градостроительного проектирования применены следующие термины:</w:t>
      </w:r>
    </w:p>
    <w:p>
      <w:pPr>
        <w:pStyle w:val="NoSpacing"/>
        <w:ind w:left="0" w:right="0" w:firstLine="708"/>
        <w:jc w:val="both"/>
        <w:rPr/>
      </w:pPr>
      <w:r>
        <w:rPr>
          <w:rFonts w:cs="Arial" w:ascii="Arial" w:hAnsi="Arial"/>
          <w:i/>
          <w:iCs/>
          <w:sz w:val="24"/>
          <w:szCs w:val="24"/>
          <w:lang w:eastAsia="ru-RU"/>
        </w:rPr>
        <w:t xml:space="preserve">объекты местного значения </w:t>
      </w:r>
      <w:r>
        <w:rPr>
          <w:rFonts w:cs="Arial" w:ascii="Arial" w:hAnsi="Arial"/>
          <w:sz w:val="24"/>
          <w:szCs w:val="24"/>
          <w:lang w:eastAsia="ru-RU"/>
        </w:rPr>
        <w:t>- объекты капитального строительства, иные объекты, территории, которые необходимы для осуществления органами местного самоуправления полномочий по вопросам местного значения и в пределах переданных государственных полномочий в соответствии с федеральными законами, законами Нижегородской области, уставами муниципальных образований и оказывают существенное влияние на социально-экономическое развитие муниципальных районов, поселений;</w:t>
      </w:r>
    </w:p>
    <w:p>
      <w:pPr>
        <w:pStyle w:val="NoSpacing"/>
        <w:ind w:left="0" w:right="0" w:firstLine="708"/>
        <w:jc w:val="both"/>
        <w:rPr/>
      </w:pPr>
      <w:r>
        <w:rPr>
          <w:rFonts w:cs="Arial" w:ascii="Arial" w:hAnsi="Arial"/>
          <w:i/>
          <w:iCs/>
          <w:sz w:val="24"/>
          <w:szCs w:val="24"/>
          <w:lang w:eastAsia="ru-RU"/>
        </w:rPr>
        <w:t xml:space="preserve">плотность населения </w:t>
      </w:r>
      <w:r>
        <w:rPr>
          <w:rFonts w:cs="Arial" w:ascii="Arial" w:hAnsi="Arial"/>
          <w:sz w:val="24"/>
          <w:szCs w:val="24"/>
          <w:lang w:eastAsia="ru-RU"/>
        </w:rPr>
        <w:t>- расчетная численность населения, постоянно проживающего на территории нормирования, приходящаяся на один гектар такой территории и выраженная в чел./га;</w:t>
      </w:r>
    </w:p>
    <w:p>
      <w:pPr>
        <w:pStyle w:val="NoSpacing"/>
        <w:ind w:left="0" w:right="0" w:firstLine="708"/>
        <w:jc w:val="both"/>
        <w:rPr/>
      </w:pPr>
      <w:r>
        <w:rPr>
          <w:rFonts w:cs="Arial" w:ascii="Arial" w:hAnsi="Arial"/>
          <w:i/>
          <w:iCs/>
          <w:sz w:val="24"/>
          <w:szCs w:val="24"/>
          <w:lang w:eastAsia="ru-RU"/>
        </w:rPr>
        <w:t xml:space="preserve">квартал </w:t>
      </w:r>
      <w:r>
        <w:rPr>
          <w:rFonts w:cs="Arial" w:ascii="Arial" w:hAnsi="Arial"/>
          <w:sz w:val="24"/>
          <w:szCs w:val="24"/>
          <w:lang w:eastAsia="ru-RU"/>
        </w:rPr>
        <w:t>- планировочная единица застройки в границах красных линий, ограниченная магистральными или жилыми улицами;</w:t>
      </w:r>
    </w:p>
    <w:p>
      <w:pPr>
        <w:pStyle w:val="NoSpacing"/>
        <w:ind w:left="0" w:right="0" w:firstLine="708"/>
        <w:jc w:val="both"/>
        <w:rPr/>
      </w:pPr>
      <w:r>
        <w:rPr>
          <w:rFonts w:cs="Arial" w:ascii="Arial" w:hAnsi="Arial"/>
          <w:i/>
          <w:iCs/>
          <w:sz w:val="24"/>
          <w:szCs w:val="24"/>
          <w:lang w:eastAsia="ru-RU"/>
        </w:rPr>
        <w:t xml:space="preserve">коэффициент застройки </w:t>
      </w:r>
      <w:r>
        <w:rPr>
          <w:rFonts w:cs="Arial" w:ascii="Arial" w:hAnsi="Arial"/>
          <w:sz w:val="24"/>
          <w:szCs w:val="24"/>
          <w:lang w:eastAsia="ru-RU"/>
        </w:rPr>
        <w:t>- отношение площади, занятой под зданиями и сооружениями, к площади участка (квартала);</w:t>
      </w:r>
    </w:p>
    <w:p>
      <w:pPr>
        <w:pStyle w:val="NoSpacing"/>
        <w:ind w:left="0" w:right="0" w:firstLine="708"/>
        <w:jc w:val="both"/>
        <w:rPr/>
      </w:pPr>
      <w:r>
        <w:rPr>
          <w:rFonts w:cs="Arial" w:ascii="Arial" w:hAnsi="Arial"/>
          <w:i/>
          <w:iCs/>
          <w:sz w:val="24"/>
          <w:szCs w:val="24"/>
          <w:lang w:eastAsia="ru-RU"/>
        </w:rPr>
        <w:t xml:space="preserve">коэффициент плотности застройки </w:t>
      </w:r>
      <w:r>
        <w:rPr>
          <w:rFonts w:cs="Arial" w:ascii="Arial" w:hAnsi="Arial"/>
          <w:sz w:val="24"/>
          <w:szCs w:val="24"/>
          <w:lang w:eastAsia="ru-RU"/>
        </w:rPr>
        <w:t>- отношение площади всех этажей зданий и сооружений к площади участка (квартала);</w:t>
      </w:r>
    </w:p>
    <w:p>
      <w:pPr>
        <w:pStyle w:val="NoSpacing"/>
        <w:ind w:left="0" w:right="0" w:firstLine="708"/>
        <w:jc w:val="both"/>
        <w:rPr/>
      </w:pPr>
      <w:r>
        <w:rPr>
          <w:rFonts w:cs="Arial" w:ascii="Arial" w:hAnsi="Arial"/>
          <w:i/>
          <w:iCs/>
          <w:sz w:val="24"/>
          <w:szCs w:val="24"/>
          <w:lang w:eastAsia="ru-RU"/>
        </w:rPr>
        <w:t xml:space="preserve">площадь жилых домов </w:t>
      </w:r>
      <w:r>
        <w:rPr>
          <w:rFonts w:cs="Arial" w:ascii="Arial" w:hAnsi="Arial"/>
          <w:sz w:val="24"/>
          <w:szCs w:val="24"/>
          <w:lang w:eastAsia="ru-RU"/>
        </w:rPr>
        <w:t>- площадь жилого здания следует определять как сумму площадей этажей здания, измеренных в пределах внутренних поверхностей наружных стен. В площадь этажа включаются площади балконов, лоджий, террас и веранд, а также лестничных площадок и ступеней с учетом их площади в уровне данного этажа. В площадь этажа не включается площадь проемов для лифтовых и других шахт, эта площадь учитывается на нижнем этаже. Площади подполья для проветривания здания, неэксплуатируемого чердака, технического подполья, технического чердака, внеквартирных инженерных коммуникаций с вертикальной (в каналах, шахтах) и горизонтальной (в межэтажном пространстве) разводкой, а также тамбуров, портиков, крылец, наружных открытых лестниц и пандусов в площадь здания не включаются. Эксплуатируемая кровля при подсчете общей площади здания приравнивается к площади террас;</w:t>
      </w:r>
    </w:p>
    <w:p>
      <w:pPr>
        <w:pStyle w:val="NoSpacing"/>
        <w:ind w:left="0" w:right="0" w:firstLine="708"/>
        <w:jc w:val="both"/>
        <w:rPr/>
      </w:pPr>
      <w:r>
        <w:rPr>
          <w:rFonts w:cs="Arial" w:ascii="Arial" w:hAnsi="Arial"/>
          <w:i/>
          <w:iCs/>
          <w:sz w:val="24"/>
          <w:szCs w:val="24"/>
          <w:lang w:eastAsia="ru-RU"/>
        </w:rPr>
        <w:t xml:space="preserve">этажность </w:t>
      </w:r>
      <w:r>
        <w:rPr>
          <w:rFonts w:cs="Arial" w:ascii="Arial" w:hAnsi="Arial"/>
          <w:sz w:val="24"/>
          <w:szCs w:val="24"/>
          <w:lang w:eastAsia="ru-RU"/>
        </w:rPr>
        <w:t>- количество этажей в зданиях. При определении этажности жилого дома в число этажей включаются все надземные этажи, в том числе технический, мансардный и цокольный, если верх его перекрытия находится выше средней планировочной отметки земли не менее, чем на 2 м. При определении  этажности здания  не  учитываются  отдельные  технические помещения (машинные отделения лифтов, котельные и т.п.), а также аттиковые элементы архитектурной композиции, являющиеся помещениями второго уровня или вторым светом последнего этажа, не превышающими 20% площади последнего этажа;</w:t>
      </w:r>
    </w:p>
    <w:p>
      <w:pPr>
        <w:pStyle w:val="NoSpacing"/>
        <w:ind w:left="0" w:right="0" w:firstLine="708"/>
        <w:jc w:val="both"/>
        <w:rPr/>
      </w:pPr>
      <w:r>
        <w:rPr>
          <w:rFonts w:cs="Arial" w:ascii="Arial" w:hAnsi="Arial"/>
          <w:i/>
          <w:iCs/>
          <w:sz w:val="24"/>
          <w:szCs w:val="24"/>
          <w:lang w:eastAsia="ru-RU"/>
        </w:rPr>
        <w:t xml:space="preserve">жилой район </w:t>
      </w:r>
      <w:r>
        <w:rPr>
          <w:rFonts w:cs="Arial" w:ascii="Arial" w:hAnsi="Arial"/>
          <w:sz w:val="24"/>
          <w:szCs w:val="24"/>
          <w:lang w:eastAsia="ru-RU"/>
        </w:rPr>
        <w:t>- жилая территория (часть жилой территории) населённого пункта, состоящая из нескольких кварталов (микрорайонов), ограниченная магистральными улицами, естественными и искусственными рубежами;</w:t>
      </w:r>
    </w:p>
    <w:p>
      <w:pPr>
        <w:pStyle w:val="NoSpacing"/>
        <w:ind w:left="0" w:right="0" w:firstLine="708"/>
        <w:jc w:val="both"/>
        <w:rPr/>
      </w:pPr>
      <w:r>
        <w:rPr>
          <w:rFonts w:cs="Arial" w:ascii="Arial" w:hAnsi="Arial"/>
          <w:i/>
          <w:iCs/>
          <w:sz w:val="24"/>
          <w:szCs w:val="24"/>
          <w:lang w:eastAsia="ru-RU"/>
        </w:rPr>
        <w:t xml:space="preserve">площадь застройки земельного участка </w:t>
      </w:r>
      <w:r>
        <w:rPr>
          <w:rFonts w:cs="Arial" w:ascii="Arial" w:hAnsi="Arial"/>
          <w:sz w:val="24"/>
          <w:szCs w:val="24"/>
          <w:lang w:eastAsia="ru-RU"/>
        </w:rPr>
        <w:t>(квартала, жилого района) -выраженная в квадратных метрах суммарная площадь горизонтальных сечений возведенных на нем зданий на уровне цоколя, включая выступающие части;</w:t>
      </w:r>
    </w:p>
    <w:p>
      <w:pPr>
        <w:pStyle w:val="NoSpacing"/>
        <w:ind w:left="0" w:right="0" w:firstLine="708"/>
        <w:jc w:val="both"/>
        <w:rPr/>
      </w:pPr>
      <w:r>
        <w:rPr>
          <w:rFonts w:cs="Arial" w:ascii="Arial" w:hAnsi="Arial"/>
          <w:i/>
          <w:iCs/>
          <w:sz w:val="24"/>
          <w:szCs w:val="24"/>
          <w:lang w:eastAsia="ru-RU"/>
        </w:rPr>
        <w:t xml:space="preserve">автомобильная дорога </w:t>
      </w:r>
      <w:r>
        <w:rPr>
          <w:rFonts w:cs="Arial" w:ascii="Arial" w:hAnsi="Arial"/>
          <w:sz w:val="24"/>
          <w:szCs w:val="24"/>
          <w:lang w:eastAsia="ru-RU"/>
        </w:rPr>
        <w:t>- объект транспортной инфраструктуры, предназначенный для движения транспортных средств и включающий в себя земельные участки в границах полосы отвода автомобильной дороги и расположенные на них или под ними конструктивные элементы (дорожное полотно, дорожное покрытие и подобные элементы) и дорожные сооружения, являющиеся ее технологической частью, - защитные дорожные сооружения, искусственные дорожные сооружения, производственные объекты, элементы обустройства автомобильных дорог;</w:t>
      </w:r>
    </w:p>
    <w:p>
      <w:pPr>
        <w:pStyle w:val="NoSpacing"/>
        <w:ind w:left="0" w:right="0" w:firstLine="708"/>
        <w:jc w:val="both"/>
        <w:rPr/>
      </w:pPr>
      <w:r>
        <w:rPr>
          <w:rFonts w:cs="Arial" w:ascii="Arial" w:hAnsi="Arial"/>
          <w:i/>
          <w:iCs/>
          <w:sz w:val="24"/>
          <w:szCs w:val="24"/>
          <w:lang w:eastAsia="ru-RU"/>
        </w:rPr>
        <w:t xml:space="preserve">защитные дорожные сооружения </w:t>
      </w:r>
      <w:r>
        <w:rPr>
          <w:rFonts w:cs="Arial" w:ascii="Arial" w:hAnsi="Arial"/>
          <w:sz w:val="24"/>
          <w:szCs w:val="24"/>
          <w:lang w:eastAsia="ru-RU"/>
        </w:rPr>
        <w:t>- сооружения, к которым относятся элементы озеленения, имеющие защитное значение; заборы; устройства, предназначенные для защиты автомобильных дорог от снежных лавин; шумозащитные и ветрозащитные устройства; подобные сооружения;</w:t>
      </w:r>
    </w:p>
    <w:p>
      <w:pPr>
        <w:pStyle w:val="NoSpacing"/>
        <w:ind w:left="0" w:right="0" w:firstLine="708"/>
        <w:jc w:val="both"/>
        <w:rPr/>
      </w:pPr>
      <w:r>
        <w:rPr>
          <w:rFonts w:cs="Arial" w:ascii="Arial" w:hAnsi="Arial"/>
          <w:i/>
          <w:iCs/>
          <w:sz w:val="24"/>
          <w:szCs w:val="24"/>
          <w:lang w:eastAsia="ru-RU"/>
        </w:rPr>
        <w:t xml:space="preserve">искусственные дорожные сооружения </w:t>
      </w:r>
      <w:r>
        <w:rPr>
          <w:rFonts w:cs="Arial" w:ascii="Arial" w:hAnsi="Arial"/>
          <w:sz w:val="24"/>
          <w:szCs w:val="24"/>
          <w:lang w:eastAsia="ru-RU"/>
        </w:rPr>
        <w:t>- сооружения, предназначенные для движения транспортных средств, пешеходов и прогона животных в местах пересечения автомобильных дорог иными автомобильными дорогами, водотоками, оврагами, в местах, которые являются препятствиями для такого движения, прогона (зимники, мосты, переправы по льду, путепроводы, трубопроводы, тоннели, эстакады, подобные сооружения);</w:t>
      </w:r>
    </w:p>
    <w:p>
      <w:pPr>
        <w:pStyle w:val="NoSpacing"/>
        <w:ind w:left="0" w:right="0" w:firstLine="708"/>
        <w:jc w:val="both"/>
        <w:rPr/>
      </w:pPr>
      <w:r>
        <w:rPr>
          <w:rFonts w:cs="Arial" w:ascii="Arial" w:hAnsi="Arial"/>
          <w:i/>
          <w:iCs/>
          <w:sz w:val="24"/>
          <w:szCs w:val="24"/>
          <w:lang w:eastAsia="ru-RU"/>
        </w:rPr>
        <w:t xml:space="preserve">объекты улично-дорожной сети </w:t>
      </w:r>
      <w:r>
        <w:rPr>
          <w:rFonts w:cs="Arial" w:ascii="Arial" w:hAnsi="Arial"/>
          <w:sz w:val="24"/>
          <w:szCs w:val="24"/>
          <w:lang w:eastAsia="ru-RU"/>
        </w:rPr>
        <w:t>- аллеи, бульвары, магистрали, переулки, площади, проезды, проспекты, проулки, разъезды, спуски, тракты, тупики, улицы, шоссе;</w:t>
      </w:r>
    </w:p>
    <w:p>
      <w:pPr>
        <w:pStyle w:val="NoSpacing"/>
        <w:ind w:left="0" w:right="0" w:firstLine="708"/>
        <w:jc w:val="both"/>
        <w:rPr/>
      </w:pPr>
      <w:r>
        <w:rPr>
          <w:rFonts w:cs="Arial" w:ascii="Arial" w:hAnsi="Arial"/>
          <w:i/>
          <w:iCs/>
          <w:sz w:val="24"/>
          <w:szCs w:val="24"/>
          <w:lang w:eastAsia="ru-RU"/>
        </w:rPr>
        <w:t xml:space="preserve">гидротехнические сооружения </w:t>
      </w:r>
      <w:r>
        <w:rPr>
          <w:rFonts w:cs="Arial" w:ascii="Arial" w:hAnsi="Arial"/>
          <w:sz w:val="24"/>
          <w:szCs w:val="24"/>
          <w:lang w:eastAsia="ru-RU"/>
        </w:rPr>
        <w:t>- плотины, здания гидроэлектростанций, водосбросные, водоспускные и водовыпускные сооружения, туннели, каналы, насосные станции, судоходные шлюзы, судоподъемники; сооружения, предназначенные для защиты от наводнений, разрушений берегов и дна водохранилищ, рек; сооружения (дамбы), ограждающие хранилища жидких отходов промышленных и сельскохозяйственных организаций; устройства от размывов на каналах, а также другие сооружения, здания, устройства и иные объекты, предназначенные для использования водных ресурсов и предотвращения негативного воздействия вод и жидких отходов, за исключением объектов централизованных систем горячего водоснабжения, холодного водоснабжения и (или) водоотведения, предусмотренных Федеральным законом от 7 декабря 2011 года № 416-ФЗ "О водоснабжении и водоотведении";</w:t>
      </w:r>
    </w:p>
    <w:p>
      <w:pPr>
        <w:pStyle w:val="NoSpacing"/>
        <w:ind w:left="0" w:right="0" w:firstLine="708"/>
        <w:jc w:val="both"/>
        <w:rPr/>
      </w:pPr>
      <w:r>
        <w:rPr>
          <w:rFonts w:cs="Arial" w:ascii="Arial" w:hAnsi="Arial"/>
          <w:i/>
          <w:iCs/>
          <w:sz w:val="24"/>
          <w:szCs w:val="24"/>
          <w:lang w:eastAsia="ru-RU"/>
        </w:rPr>
        <w:t xml:space="preserve">безопасность гидротехнических сооружений </w:t>
      </w:r>
      <w:r>
        <w:rPr>
          <w:rFonts w:cs="Arial" w:ascii="Arial" w:hAnsi="Arial"/>
          <w:iCs/>
          <w:sz w:val="24"/>
          <w:szCs w:val="24"/>
          <w:lang w:eastAsia="ru-RU"/>
        </w:rPr>
        <w:t xml:space="preserve">- свойство гидротехнических </w:t>
      </w:r>
      <w:r>
        <w:rPr>
          <w:rFonts w:cs="Arial" w:ascii="Arial" w:hAnsi="Arial"/>
          <w:sz w:val="24"/>
          <w:szCs w:val="24"/>
          <w:lang w:eastAsia="ru-RU"/>
        </w:rPr>
        <w:t>сооружений, позволяющее обеспечивать защиту жизни, здоровья и законных интересов людей, окружающей среды и хозяйственных объектов;</w:t>
      </w:r>
    </w:p>
    <w:p>
      <w:pPr>
        <w:pStyle w:val="NoSpacing"/>
        <w:ind w:left="0" w:right="0" w:firstLine="708"/>
        <w:jc w:val="both"/>
        <w:rPr/>
      </w:pPr>
      <w:r>
        <w:rPr>
          <w:rFonts w:cs="Arial" w:ascii="Arial" w:hAnsi="Arial"/>
          <w:i/>
          <w:iCs/>
          <w:sz w:val="24"/>
          <w:szCs w:val="24"/>
          <w:lang w:eastAsia="ru-RU"/>
        </w:rPr>
        <w:t xml:space="preserve">озелененные территории </w:t>
      </w:r>
      <w:r>
        <w:rPr>
          <w:rFonts w:cs="Arial" w:ascii="Arial" w:hAnsi="Arial"/>
          <w:sz w:val="24"/>
          <w:szCs w:val="24"/>
          <w:lang w:eastAsia="ru-RU"/>
        </w:rPr>
        <w:t>- территории различного функционального назначения, покрытые древесно-кустарниковой и (или) травянистой растительностью естественного или искусственного происхождения, включая участки, не покрытые растительностью, но являющиеся неотъемлемой составной частью данных озелененных территорий земель населенных пунктов;</w:t>
      </w:r>
    </w:p>
    <w:p>
      <w:pPr>
        <w:pStyle w:val="Style191"/>
        <w:widowControl/>
        <w:ind w:left="0" w:right="0" w:firstLine="283"/>
        <w:rPr/>
      </w:pPr>
      <w:r>
        <w:rPr>
          <w:rStyle w:val="FontStyle45"/>
          <w:rFonts w:cs="Arial" w:ascii="Arial" w:hAnsi="Arial"/>
          <w:sz w:val="24"/>
          <w:szCs w:val="24"/>
        </w:rPr>
        <w:t xml:space="preserve">зеленые насаждения </w:t>
      </w:r>
      <w:r>
        <w:rPr>
          <w:rStyle w:val="FontStyle53"/>
          <w:rFonts w:cs="Arial" w:ascii="Arial" w:hAnsi="Arial"/>
          <w:sz w:val="24"/>
          <w:szCs w:val="24"/>
        </w:rPr>
        <w:t>- древесно-кустарниковая и травянистая растительность естественного и искусственного происхождения, включая растительность в парках, на бульварах, в скверах, садах, цветниках и на газонах, а также отдельно стоящие деревья и кустарники.</w:t>
      </w:r>
    </w:p>
    <w:p>
      <w:pPr>
        <w:pStyle w:val="NoSpacing"/>
        <w:ind w:left="0" w:right="0" w:firstLine="708"/>
        <w:jc w:val="both"/>
        <w:rPr>
          <w:rFonts w:ascii="Arial" w:hAnsi="Arial" w:cs="Arial"/>
          <w:sz w:val="24"/>
          <w:szCs w:val="24"/>
          <w:lang w:eastAsia="ru-RU"/>
        </w:rPr>
      </w:pPr>
      <w:r>
        <w:rPr>
          <w:rFonts w:cs="Arial" w:ascii="Arial" w:hAnsi="Arial"/>
          <w:sz w:val="24"/>
          <w:szCs w:val="24"/>
          <w:lang w:eastAsia="ru-RU"/>
        </w:rPr>
        <w:t>1.2. Иные понятия, используемые в местных нормативах градостроительного проектирования, употребляются в значениях, соответствующих значениям, содержащимся в Градостроительном кодексе Российской Федерации, иных законодательных актах Российской Федерации и Нижегородской области.</w:t>
      </w:r>
    </w:p>
    <w:p>
      <w:pPr>
        <w:pStyle w:val="NoSpacing"/>
        <w:jc w:val="both"/>
        <w:rPr>
          <w:rFonts w:ascii="Arial" w:hAnsi="Arial" w:cs="Arial"/>
          <w:sz w:val="24"/>
          <w:szCs w:val="24"/>
          <w:lang w:eastAsia="ru-RU"/>
        </w:rPr>
      </w:pPr>
      <w:r>
        <w:rPr>
          <w:rFonts w:cs="Arial" w:ascii="Arial" w:hAnsi="Arial"/>
          <w:sz w:val="24"/>
          <w:szCs w:val="24"/>
          <w:lang w:eastAsia="ru-RU"/>
        </w:rPr>
      </w:r>
    </w:p>
    <w:p>
      <w:pPr>
        <w:pStyle w:val="Style117"/>
        <w:rPr/>
      </w:pPr>
      <w:bookmarkStart w:id="3" w:name="__RefHeading___Toc494193899"/>
      <w:r>
        <w:rPr>
          <w:rFonts w:cs="Arial" w:ascii="Arial" w:hAnsi="Arial"/>
        </w:rPr>
        <w:t>2. Общие сведения об объекте проектирования</w:t>
      </w:r>
      <w:bookmarkEnd w:id="3"/>
      <w:r>
        <w:rPr>
          <w:rFonts w:cs="Arial" w:ascii="Arial" w:hAnsi="Arial"/>
        </w:rPr>
        <w:t xml:space="preserve"> </w:t>
      </w:r>
    </w:p>
    <w:p>
      <w:pPr>
        <w:pStyle w:val="NoSpacing"/>
        <w:ind w:left="0" w:right="0" w:firstLine="708"/>
        <w:jc w:val="both"/>
        <w:rPr>
          <w:rFonts w:ascii="Arial" w:hAnsi="Arial" w:cs="Arial"/>
          <w:sz w:val="24"/>
          <w:szCs w:val="24"/>
          <w:lang w:eastAsia="ru-RU"/>
        </w:rPr>
      </w:pPr>
      <w:r>
        <w:rPr>
          <w:rFonts w:cs="Arial" w:ascii="Arial" w:hAnsi="Arial"/>
          <w:sz w:val="24"/>
          <w:szCs w:val="24"/>
          <w:lang w:eastAsia="ru-RU"/>
        </w:rPr>
      </w:r>
    </w:p>
    <w:p>
      <w:pPr>
        <w:pStyle w:val="NoSpacing"/>
        <w:ind w:left="0" w:right="0" w:firstLine="708"/>
        <w:jc w:val="both"/>
        <w:rPr>
          <w:rFonts w:ascii="Arial" w:hAnsi="Arial" w:cs="Arial"/>
          <w:sz w:val="24"/>
          <w:szCs w:val="24"/>
        </w:rPr>
      </w:pPr>
      <w:r>
        <w:rPr>
          <w:rFonts w:cs="Arial" w:ascii="Arial" w:hAnsi="Arial"/>
          <w:sz w:val="24"/>
          <w:szCs w:val="24"/>
        </w:rPr>
        <w:t>Территория Кушнурского сельсовета Шарангского муниципального района Нижегородской области расположена в юго-восточной части Шарангского муниципального района и занимает площадь  11788га. Связь населенных пунктов (деревень), расположенных на территории муниципального образования с районным центром осуществляется по автодорогам межмуниципального значения 22 ОП МЗ 22Н-4612 В.Самойлово-Кушнур-Преображенка, 22 ОП МЗ 22Н-4611 Роженцово-Ермолино-Козлянур, 22 ОП МЗ 22Н-4631 Козлянур-Кушнур, 22 ОП МЗ 22Н-4632 Кушнур-Первое Гусево.</w:t>
      </w:r>
    </w:p>
    <w:p>
      <w:pPr>
        <w:pStyle w:val="NoSpacing"/>
        <w:ind w:left="0" w:right="0" w:firstLine="708"/>
        <w:jc w:val="both"/>
        <w:rPr>
          <w:rFonts w:ascii="Arial" w:hAnsi="Arial" w:cs="Arial"/>
          <w:sz w:val="24"/>
          <w:szCs w:val="24"/>
        </w:rPr>
      </w:pPr>
      <w:r>
        <w:rPr>
          <w:rFonts w:cs="Arial" w:ascii="Arial" w:hAnsi="Arial"/>
          <w:sz w:val="24"/>
          <w:szCs w:val="24"/>
        </w:rPr>
        <w:t>Территория Кушнурского сельсовета  граничит:</w:t>
      </w:r>
    </w:p>
    <w:p>
      <w:pPr>
        <w:pStyle w:val="NoSpacing"/>
        <w:ind w:left="0" w:right="0" w:firstLine="708"/>
        <w:jc w:val="both"/>
        <w:rPr>
          <w:rFonts w:ascii="Arial" w:hAnsi="Arial" w:cs="Arial"/>
          <w:sz w:val="24"/>
          <w:szCs w:val="24"/>
        </w:rPr>
      </w:pPr>
      <w:r>
        <w:rPr>
          <w:rFonts w:cs="Arial" w:ascii="Arial" w:hAnsi="Arial"/>
          <w:sz w:val="24"/>
          <w:szCs w:val="24"/>
        </w:rPr>
        <w:t>-</w:t>
        <w:tab/>
        <w:t>с севера – с  Большерудинским сельсоветом Шарангского муниципального района;</w:t>
      </w:r>
    </w:p>
    <w:p>
      <w:pPr>
        <w:pStyle w:val="NoSpacing"/>
        <w:ind w:left="0" w:right="0" w:firstLine="708"/>
        <w:jc w:val="both"/>
        <w:rPr>
          <w:rFonts w:ascii="Arial" w:hAnsi="Arial" w:cs="Arial"/>
          <w:sz w:val="24"/>
          <w:szCs w:val="24"/>
        </w:rPr>
      </w:pPr>
      <w:r>
        <w:rPr>
          <w:rFonts w:cs="Arial" w:ascii="Arial" w:hAnsi="Arial"/>
          <w:sz w:val="24"/>
          <w:szCs w:val="24"/>
        </w:rPr>
        <w:t>-</w:t>
        <w:tab/>
        <w:t>с востока  – с Кировской областью;</w:t>
      </w:r>
    </w:p>
    <w:p>
      <w:pPr>
        <w:pStyle w:val="NoSpacing"/>
        <w:ind w:left="0" w:right="0" w:firstLine="708"/>
        <w:jc w:val="both"/>
        <w:rPr>
          <w:rFonts w:ascii="Arial" w:hAnsi="Arial" w:cs="Arial"/>
          <w:sz w:val="24"/>
          <w:szCs w:val="24"/>
        </w:rPr>
      </w:pPr>
      <w:r>
        <w:rPr>
          <w:rFonts w:cs="Arial" w:ascii="Arial" w:hAnsi="Arial"/>
          <w:sz w:val="24"/>
          <w:szCs w:val="24"/>
        </w:rPr>
        <w:t>-</w:t>
        <w:tab/>
        <w:t>с северо-запада – с Роженцовским сельсоветом Шарангского муниципального района;</w:t>
      </w:r>
    </w:p>
    <w:p>
      <w:pPr>
        <w:pStyle w:val="NoSpacing"/>
        <w:ind w:left="0" w:right="0" w:firstLine="708"/>
        <w:jc w:val="both"/>
        <w:rPr>
          <w:rFonts w:ascii="Arial" w:hAnsi="Arial" w:cs="Arial"/>
          <w:sz w:val="24"/>
          <w:szCs w:val="24"/>
        </w:rPr>
      </w:pPr>
      <w:r>
        <w:rPr>
          <w:rFonts w:cs="Arial" w:ascii="Arial" w:hAnsi="Arial"/>
          <w:sz w:val="24"/>
          <w:szCs w:val="24"/>
        </w:rPr>
        <w:t>-</w:t>
        <w:tab/>
        <w:t>с  юго-запада – со Старорудкинским сельсоветом Шарангского муниципального района;</w:t>
      </w:r>
    </w:p>
    <w:p>
      <w:pPr>
        <w:pStyle w:val="NoSpacing"/>
        <w:ind w:left="0" w:right="0" w:firstLine="708"/>
        <w:jc w:val="both"/>
        <w:rPr>
          <w:rFonts w:ascii="Arial" w:hAnsi="Arial" w:cs="Arial"/>
          <w:sz w:val="24"/>
          <w:szCs w:val="24"/>
        </w:rPr>
      </w:pPr>
      <w:r>
        <w:rPr>
          <w:rFonts w:cs="Arial" w:ascii="Arial" w:hAnsi="Arial"/>
          <w:sz w:val="24"/>
          <w:szCs w:val="24"/>
        </w:rPr>
        <w:t>-</w:t>
        <w:tab/>
        <w:t>с юга – с Республикой Марий-Эл</w:t>
      </w:r>
    </w:p>
    <w:p>
      <w:pPr>
        <w:pStyle w:val="NoSpacing"/>
        <w:ind w:left="0" w:right="0" w:firstLine="708"/>
        <w:jc w:val="both"/>
        <w:rPr/>
      </w:pPr>
      <w:r>
        <w:rPr>
          <w:rFonts w:cs="Arial" w:ascii="Arial" w:hAnsi="Arial"/>
          <w:sz w:val="24"/>
          <w:szCs w:val="24"/>
        </w:rPr>
        <w:t>Население муниципального образования на 01.01.2017 г. составляло 605 человек. К средним по численности населения сельским населенным пунктам относятся: с.Кушнур, остальные населенные пункты (8 н.п.) – к малым</w:t>
      </w:r>
      <w:r>
        <w:rPr>
          <w:rFonts w:cs="Times New Roman" w:ascii="Times New Roman" w:hAnsi="Times New Roman"/>
          <w:sz w:val="24"/>
          <w:szCs w:val="24"/>
        </w:rPr>
        <w:t>.</w:t>
      </w:r>
    </w:p>
    <w:p>
      <w:pPr>
        <w:pStyle w:val="NoSpacing"/>
        <w:jc w:val="both"/>
        <w:rPr>
          <w:rFonts w:ascii="Arial" w:hAnsi="Arial" w:cs="Arial"/>
          <w:sz w:val="24"/>
          <w:szCs w:val="24"/>
        </w:rPr>
      </w:pPr>
      <w:r>
        <w:rPr>
          <w:rFonts w:cs="Arial" w:ascii="Arial" w:hAnsi="Arial"/>
          <w:sz w:val="24"/>
          <w:szCs w:val="24"/>
        </w:rPr>
      </w:r>
    </w:p>
    <w:p>
      <w:pPr>
        <w:pStyle w:val="Style117"/>
        <w:rPr>
          <w:rFonts w:ascii="Arial" w:hAnsi="Arial" w:cs="Arial"/>
        </w:rPr>
      </w:pPr>
      <w:bookmarkStart w:id="4" w:name="__RefHeading___Toc494193900"/>
      <w:bookmarkEnd w:id="4"/>
      <w:r>
        <w:rPr>
          <w:rFonts w:cs="Arial" w:ascii="Arial" w:hAnsi="Arial"/>
        </w:rPr>
        <w:t>3. Расчетные показатели жилой застройки</w:t>
      </w:r>
    </w:p>
    <w:p>
      <w:pPr>
        <w:pStyle w:val="Style99"/>
        <w:rPr>
          <w:rFonts w:ascii="Arial" w:hAnsi="Arial" w:cs="Arial"/>
          <w:sz w:val="24"/>
          <w:szCs w:val="24"/>
        </w:rPr>
      </w:pPr>
      <w:r>
        <w:rPr>
          <w:rFonts w:cs="Arial" w:ascii="Arial" w:hAnsi="Arial"/>
          <w:sz w:val="24"/>
          <w:szCs w:val="24"/>
        </w:rPr>
      </w:r>
    </w:p>
    <w:p>
      <w:pPr>
        <w:pStyle w:val="NoSpacing"/>
        <w:ind w:left="0" w:right="0" w:firstLine="708"/>
        <w:jc w:val="both"/>
        <w:rPr/>
      </w:pPr>
      <w:r>
        <w:rPr>
          <w:rFonts w:cs="Arial" w:ascii="Arial" w:hAnsi="Arial"/>
          <w:i/>
          <w:sz w:val="24"/>
          <w:szCs w:val="24"/>
        </w:rPr>
        <w:t>3.1. Общие требования</w:t>
      </w:r>
      <w:r>
        <w:rPr>
          <w:rFonts w:cs="Arial" w:ascii="Arial" w:hAnsi="Arial"/>
          <w:b/>
          <w:sz w:val="24"/>
          <w:szCs w:val="24"/>
        </w:rPr>
        <w:t>.</w:t>
      </w:r>
    </w:p>
    <w:p>
      <w:pPr>
        <w:pStyle w:val="NoSpacing"/>
        <w:ind w:left="0" w:right="0" w:firstLine="708"/>
        <w:jc w:val="both"/>
        <w:rPr>
          <w:rFonts w:ascii="Arial" w:hAnsi="Arial" w:cs="Arial"/>
          <w:sz w:val="24"/>
          <w:szCs w:val="24"/>
        </w:rPr>
      </w:pPr>
      <w:r>
        <w:rPr>
          <w:rFonts w:cs="Arial" w:ascii="Arial" w:hAnsi="Arial"/>
          <w:sz w:val="24"/>
          <w:szCs w:val="24"/>
        </w:rPr>
        <w:t>3.1.1. Планировочную структуру территории жилых зон следует формировать в соответствии с градостроительным зонированием и планировочной структурой   Кушнурского сельсовета в целом, учитывая градостроительные, природные особенности территории и обеспечивая взаимоувязанное размещение жилой застройки, общественных зданий и сооружений, улично-дорожной сети, озелененных территорий общего пользования, мест приложения труда, не требующих организации санитарно-защитных зон, и других объектов, размещение которых допускается в жилых зонах, определенных в Правилах землепользования и застройки муниципального образования по санитарно-гигиеническим нормам и требованиям безопасности.</w:t>
      </w:r>
    </w:p>
    <w:p>
      <w:pPr>
        <w:pStyle w:val="NoSpacing"/>
        <w:ind w:left="0" w:right="0" w:firstLine="708"/>
        <w:jc w:val="both"/>
        <w:rPr>
          <w:rFonts w:ascii="Arial" w:hAnsi="Arial" w:cs="Arial"/>
          <w:sz w:val="24"/>
          <w:szCs w:val="24"/>
        </w:rPr>
      </w:pPr>
      <w:r>
        <w:rPr>
          <w:rFonts w:cs="Arial" w:ascii="Arial" w:hAnsi="Arial"/>
          <w:sz w:val="24"/>
          <w:szCs w:val="24"/>
        </w:rPr>
        <w:t>3.1.2. Объем жилищного фонда и его структура определяются на основе анализа фактических и прогнозных данных о составе населения, уровнях его дохода, существующей и перспективной жилищной обеспеченности, социальной норме площади жилья исходя из необходимости обеспечения каждой семье отдельной квартиры или дома.</w:t>
      </w:r>
    </w:p>
    <w:p>
      <w:pPr>
        <w:pStyle w:val="NoSpacing"/>
        <w:ind w:left="0" w:right="0" w:firstLine="708"/>
        <w:jc w:val="both"/>
        <w:rPr>
          <w:rFonts w:ascii="Arial" w:hAnsi="Arial" w:cs="Arial"/>
          <w:sz w:val="24"/>
          <w:szCs w:val="24"/>
        </w:rPr>
      </w:pPr>
      <w:r>
        <w:rPr>
          <w:rFonts w:cs="Arial" w:ascii="Arial" w:hAnsi="Arial"/>
          <w:sz w:val="24"/>
          <w:szCs w:val="24"/>
        </w:rPr>
        <w:t>3.1.3. Территории жилой зоны организуются в виде следующих образований:</w:t>
      </w:r>
    </w:p>
    <w:p>
      <w:pPr>
        <w:pStyle w:val="NoSpacing"/>
        <w:ind w:left="0" w:right="0" w:firstLine="708"/>
        <w:jc w:val="both"/>
        <w:rPr>
          <w:rFonts w:ascii="Arial" w:hAnsi="Arial" w:cs="Arial"/>
          <w:sz w:val="24"/>
          <w:szCs w:val="24"/>
        </w:rPr>
      </w:pPr>
      <w:r>
        <w:rPr>
          <w:rFonts w:cs="Arial" w:ascii="Arial" w:hAnsi="Arial"/>
          <w:sz w:val="24"/>
          <w:szCs w:val="24"/>
        </w:rPr>
        <w:t>а) жилой район формируется как группа микрорайонов, кварталов, объединенных системой озелененных территорий и комплексом объектов обслуживания;</w:t>
      </w:r>
    </w:p>
    <w:p>
      <w:pPr>
        <w:pStyle w:val="NoSpacing"/>
        <w:ind w:left="0" w:right="0" w:firstLine="708"/>
        <w:jc w:val="both"/>
        <w:rPr>
          <w:rFonts w:ascii="Arial" w:hAnsi="Arial" w:cs="Arial"/>
          <w:sz w:val="24"/>
          <w:szCs w:val="24"/>
        </w:rPr>
      </w:pPr>
      <w:r>
        <w:rPr>
          <w:rFonts w:cs="Arial" w:ascii="Arial" w:hAnsi="Arial"/>
          <w:sz w:val="24"/>
          <w:szCs w:val="24"/>
        </w:rPr>
        <w:t>б) жилой микрорайон формируется из кварталов или групп жилых домов и объектов обслуживания;</w:t>
      </w:r>
    </w:p>
    <w:p>
      <w:pPr>
        <w:pStyle w:val="NoSpacing"/>
        <w:ind w:left="0" w:right="0" w:firstLine="708"/>
        <w:jc w:val="both"/>
        <w:rPr>
          <w:rFonts w:ascii="Arial" w:hAnsi="Arial" w:cs="Arial"/>
          <w:sz w:val="24"/>
          <w:szCs w:val="24"/>
        </w:rPr>
      </w:pPr>
      <w:r>
        <w:rPr>
          <w:rFonts w:cs="Arial" w:ascii="Arial" w:hAnsi="Arial"/>
          <w:sz w:val="24"/>
          <w:szCs w:val="24"/>
        </w:rPr>
        <w:t>в) жилой квартал формируется из отдельных домов или групп жилых домов и содержит минимальный набор объектов обслуживания.</w:t>
      </w:r>
    </w:p>
    <w:p>
      <w:pPr>
        <w:pStyle w:val="NoSpacing"/>
        <w:ind w:left="0" w:right="0" w:firstLine="708"/>
        <w:jc w:val="both"/>
        <w:rPr>
          <w:rFonts w:ascii="Arial" w:hAnsi="Arial" w:cs="Arial"/>
          <w:sz w:val="24"/>
          <w:szCs w:val="24"/>
        </w:rPr>
      </w:pPr>
      <w:r>
        <w:rPr>
          <w:rFonts w:cs="Arial" w:ascii="Arial" w:hAnsi="Arial"/>
          <w:sz w:val="24"/>
          <w:szCs w:val="24"/>
        </w:rPr>
        <w:t>3.1.4. При разработке документации по планировке территории на отдельный участок территории, занимающий часть территории жилого квартала или жилого микрорайона, необходимо обеспечить совместимость размещаемых объектов с окружающей застройкой и уровнем обеспечения населения объектами обслуживания для жилого микрорайона, жилого квартала в целом.</w:t>
      </w:r>
    </w:p>
    <w:p>
      <w:pPr>
        <w:pStyle w:val="NoSpacing"/>
        <w:ind w:left="0" w:right="0" w:firstLine="708"/>
        <w:jc w:val="both"/>
        <w:rPr>
          <w:rFonts w:ascii="Arial" w:hAnsi="Arial" w:cs="Arial"/>
          <w:sz w:val="24"/>
          <w:szCs w:val="24"/>
        </w:rPr>
      </w:pPr>
      <w:r>
        <w:rPr>
          <w:rFonts w:cs="Arial" w:ascii="Arial" w:hAnsi="Arial"/>
          <w:sz w:val="24"/>
          <w:szCs w:val="24"/>
        </w:rPr>
        <w:t>3.1.5. При планировочной организации жилых зон должна предусматриваться дифференциация застройки по типам, этажности и плотности с учетом местоположения.</w:t>
      </w:r>
    </w:p>
    <w:p>
      <w:pPr>
        <w:pStyle w:val="NoSpacing"/>
        <w:ind w:left="0" w:right="0" w:firstLine="708"/>
        <w:jc w:val="both"/>
        <w:rPr>
          <w:rFonts w:ascii="Arial" w:hAnsi="Arial" w:cs="Arial"/>
          <w:sz w:val="24"/>
          <w:szCs w:val="24"/>
        </w:rPr>
      </w:pPr>
      <w:r>
        <w:rPr>
          <w:rFonts w:cs="Arial" w:ascii="Arial" w:hAnsi="Arial"/>
          <w:sz w:val="24"/>
          <w:szCs w:val="24"/>
        </w:rPr>
        <w:t>3.1.6. Параметры жилой застройки определяются в настоящих местных нормативах, Правилах землепользования и застройки  Кушнурского сельсовета и уточняются в проектах планировки территории на основе технико-экономических расчетов с учетом архитектурно-композиционных, социально-бытовых, гигиенических, демографических требований в соответствии с генеральным планом Кушнурского   сельсовета .</w:t>
      </w:r>
    </w:p>
    <w:p>
      <w:pPr>
        <w:pStyle w:val="NoSpacing"/>
        <w:ind w:left="0" w:right="0" w:firstLine="708"/>
        <w:jc w:val="both"/>
        <w:rPr>
          <w:rFonts w:ascii="Arial" w:hAnsi="Arial" w:cs="Arial"/>
          <w:sz w:val="24"/>
          <w:szCs w:val="24"/>
        </w:rPr>
      </w:pPr>
      <w:r>
        <w:rPr>
          <w:rFonts w:cs="Arial" w:ascii="Arial" w:hAnsi="Arial"/>
          <w:sz w:val="24"/>
          <w:szCs w:val="24"/>
        </w:rPr>
        <w:t>3.1.7. При реконструкции территории квартала, микрорайона, района должно предусматриваться упорядочение элементов планировочной структуры (улично-дорожной сети), совершенствование системы социального, культурно-бытового обслуживания, благоустройства территории, с максимальным сохранением своеобразия архитектурного облика зданий, строений, сооружений, их модернизацией и капитальным ремонтом, реставрацией и приспособлением под современное использование памятников истории и культуры.</w:t>
      </w:r>
    </w:p>
    <w:p>
      <w:pPr>
        <w:pStyle w:val="NoSpacing"/>
        <w:ind w:left="0" w:right="0" w:firstLine="708"/>
        <w:jc w:val="both"/>
        <w:rPr>
          <w:rFonts w:ascii="Arial" w:hAnsi="Arial" w:cs="Arial"/>
          <w:sz w:val="24"/>
          <w:szCs w:val="24"/>
        </w:rPr>
      </w:pPr>
      <w:r>
        <w:rPr>
          <w:rFonts w:cs="Arial" w:ascii="Arial" w:hAnsi="Arial"/>
          <w:sz w:val="24"/>
          <w:szCs w:val="24"/>
        </w:rPr>
        <w:t>3.1.8. Разработка проектов планировки должна осуществляться в соответствии с требованиями нормативных правовых актов, устанавливающих дополнительные гарантии создания среды жизнедеятельности, доступной для инвалидов и маломобильных групп населения.</w:t>
      </w:r>
    </w:p>
    <w:p>
      <w:pPr>
        <w:pStyle w:val="NoSpacing"/>
        <w:ind w:left="0" w:right="0" w:firstLine="708"/>
        <w:jc w:val="both"/>
        <w:rPr>
          <w:rFonts w:ascii="Arial" w:hAnsi="Arial" w:cs="Arial"/>
          <w:sz w:val="24"/>
          <w:szCs w:val="24"/>
        </w:rPr>
      </w:pPr>
      <w:r>
        <w:rPr>
          <w:rFonts w:cs="Arial" w:ascii="Arial" w:hAnsi="Arial"/>
          <w:sz w:val="24"/>
          <w:szCs w:val="24"/>
        </w:rPr>
        <w:t>3.1.9. Жилищная обеспеченность устанавливается 25 кв. м /чел., для социального жилья -20 кв. м /чел.</w:t>
      </w:r>
    </w:p>
    <w:p>
      <w:pPr>
        <w:pStyle w:val="NoSpacing"/>
        <w:ind w:left="0" w:right="0" w:firstLine="568"/>
        <w:jc w:val="both"/>
        <w:rPr>
          <w:rFonts w:ascii="Arial" w:hAnsi="Arial" w:cs="Arial"/>
          <w:sz w:val="24"/>
          <w:szCs w:val="24"/>
        </w:rPr>
      </w:pPr>
      <w:r>
        <w:rPr>
          <w:rFonts w:cs="Arial" w:ascii="Arial" w:hAnsi="Arial"/>
          <w:sz w:val="24"/>
          <w:szCs w:val="24"/>
        </w:rPr>
        <w:t>3.1.10. Этажность жилой застройки определяется градостроительным регламентом Правил землепользования и застройки Кушнурского сельсовета на основе технико-экономических расчетов с учетом архитектурно-композиционных, социально-бытовых, гигиенических, демографических и других требований, социальных особенностей поселения, уровня строительной базы и инженерного оборудования, наличия технического оснащения пожарных подразделений и их расположения.</w:t>
      </w:r>
    </w:p>
    <w:p>
      <w:pPr>
        <w:pStyle w:val="NoSpacing"/>
        <w:ind w:left="0" w:right="0" w:firstLine="568"/>
        <w:jc w:val="both"/>
        <w:rPr>
          <w:rFonts w:ascii="Arial" w:hAnsi="Arial" w:cs="Arial"/>
          <w:sz w:val="24"/>
          <w:szCs w:val="24"/>
        </w:rPr>
      </w:pPr>
      <w:r>
        <w:rPr>
          <w:rFonts w:cs="Arial" w:ascii="Arial" w:hAnsi="Arial"/>
          <w:sz w:val="24"/>
          <w:szCs w:val="24"/>
        </w:rPr>
        <w:t>3.1.11. Для определения потребности в жилых территориях следует принимать показатели площади территории для зон жилой застройки, в гектарах в расчете на 1000 человек:</w:t>
      </w:r>
    </w:p>
    <w:p>
      <w:pPr>
        <w:pStyle w:val="NoSpacing"/>
        <w:ind w:left="0" w:right="0" w:firstLine="568"/>
        <w:jc w:val="both"/>
        <w:rPr/>
      </w:pPr>
      <w:r>
        <w:rPr>
          <w:rFonts w:eastAsia="Arial" w:cs="Arial" w:ascii="Arial" w:hAnsi="Arial"/>
          <w:sz w:val="24"/>
          <w:szCs w:val="24"/>
        </w:rPr>
        <w:t xml:space="preserve"> </w:t>
      </w:r>
      <w:r>
        <w:rPr>
          <w:rFonts w:cs="Arial" w:ascii="Arial" w:hAnsi="Arial"/>
          <w:sz w:val="24"/>
          <w:szCs w:val="24"/>
        </w:rPr>
        <w:t>- в сельских поселениях с преимущественно усадебной застройкой - 40 га.</w:t>
      </w:r>
    </w:p>
    <w:p>
      <w:pPr>
        <w:pStyle w:val="NoSpacing"/>
        <w:ind w:left="0" w:right="0" w:firstLine="568"/>
        <w:jc w:val="both"/>
        <w:rPr/>
      </w:pPr>
      <w:r>
        <w:rPr>
          <w:rFonts w:cs="Arial" w:ascii="Arial" w:hAnsi="Arial"/>
          <w:sz w:val="24"/>
          <w:szCs w:val="24"/>
        </w:rPr>
        <w:t xml:space="preserve">3.1.12. </w:t>
      </w:r>
      <w:r>
        <w:rPr>
          <w:rStyle w:val="55555"/>
          <w:rFonts w:eastAsia="Calibri" w:cs="Arial" w:ascii="Arial" w:hAnsi="Arial"/>
        </w:rPr>
        <w:t>Максимальные значения коэффициентов застройки и коэффициентов плотности застройки</w:t>
      </w:r>
      <w:r>
        <w:rPr>
          <w:rStyle w:val="55"/>
          <w:rFonts w:cs="Arial" w:ascii="Arial" w:hAnsi="Arial"/>
        </w:rPr>
        <w:t xml:space="preserve"> </w:t>
      </w:r>
      <w:r>
        <w:rPr>
          <w:rFonts w:cs="Arial" w:ascii="Arial" w:hAnsi="Arial"/>
          <w:b/>
          <w:i/>
          <w:sz w:val="24"/>
          <w:szCs w:val="24"/>
        </w:rPr>
        <w:t>следует принимать по таблице 3.1.</w:t>
      </w:r>
    </w:p>
    <w:p>
      <w:pPr>
        <w:pStyle w:val="NoSpacing"/>
        <w:ind w:left="0" w:right="0" w:firstLine="568"/>
        <w:jc w:val="right"/>
        <w:rPr>
          <w:rFonts w:ascii="Arial" w:hAnsi="Arial" w:cs="Arial"/>
          <w:sz w:val="24"/>
          <w:szCs w:val="24"/>
        </w:rPr>
      </w:pPr>
      <w:r>
        <w:rPr>
          <w:rFonts w:cs="Arial" w:ascii="Arial" w:hAnsi="Arial"/>
          <w:sz w:val="24"/>
          <w:szCs w:val="24"/>
        </w:rPr>
        <w:t>Таблица 3.1.</w:t>
      </w:r>
    </w:p>
    <w:tbl>
      <w:tblPr>
        <w:tblW w:w="9221" w:type="dxa"/>
        <w:jc w:val="center"/>
        <w:tblInd w:w="0" w:type="dxa"/>
        <w:tblBorders>
          <w:top w:val="single" w:sz="2" w:space="0" w:color="00000A"/>
          <w:left w:val="single" w:sz="2" w:space="0" w:color="00000A"/>
          <w:bottom w:val="single" w:sz="2" w:space="0" w:color="00000A"/>
          <w:insideH w:val="single" w:sz="2" w:space="0" w:color="00000A"/>
        </w:tblBorders>
        <w:tblCellMar>
          <w:top w:w="0" w:type="dxa"/>
          <w:left w:w="81" w:type="dxa"/>
          <w:bottom w:w="0" w:type="dxa"/>
          <w:right w:w="84" w:type="dxa"/>
        </w:tblCellMar>
      </w:tblPr>
      <w:tblGrid>
        <w:gridCol w:w="3804"/>
        <w:gridCol w:w="2543"/>
        <w:gridCol w:w="2874"/>
      </w:tblGrid>
      <w:tr>
        <w:trPr/>
        <w:tc>
          <w:tcPr>
            <w:tcW w:w="3804" w:type="dxa"/>
            <w:tcBorders>
              <w:top w:val="single" w:sz="2" w:space="0" w:color="00000A"/>
              <w:left w:val="single" w:sz="2" w:space="0" w:color="00000A"/>
              <w:bottom w:val="single" w:sz="2" w:space="0" w:color="00000A"/>
              <w:insideH w:val="single" w:sz="2" w:space="0" w:color="00000A"/>
            </w:tcBorders>
            <w:shd w:fill="EEECE1" w:val="clear"/>
            <w:tcMar>
              <w:left w:w="81" w:type="dxa"/>
            </w:tcMar>
          </w:tcPr>
          <w:p>
            <w:pPr>
              <w:pStyle w:val="Style115"/>
              <w:jc w:val="center"/>
              <w:rPr>
                <w:rFonts w:ascii="Arial" w:hAnsi="Arial" w:cs="Arial"/>
                <w:b/>
                <w:b/>
              </w:rPr>
            </w:pPr>
            <w:r>
              <w:rPr>
                <w:rFonts w:cs="Arial" w:ascii="Arial" w:hAnsi="Arial"/>
                <w:b/>
              </w:rPr>
              <w:t xml:space="preserve">Наименование территориальной зоны </w:t>
            </w:r>
          </w:p>
        </w:tc>
        <w:tc>
          <w:tcPr>
            <w:tcW w:w="2543" w:type="dxa"/>
            <w:tcBorders>
              <w:top w:val="single" w:sz="2" w:space="0" w:color="00000A"/>
              <w:left w:val="single" w:sz="2" w:space="0" w:color="00000A"/>
              <w:bottom w:val="single" w:sz="2" w:space="0" w:color="00000A"/>
              <w:insideH w:val="single" w:sz="2" w:space="0" w:color="00000A"/>
            </w:tcBorders>
            <w:shd w:fill="EEECE1" w:val="clear"/>
            <w:tcMar>
              <w:left w:w="81" w:type="dxa"/>
            </w:tcMar>
          </w:tcPr>
          <w:p>
            <w:pPr>
              <w:pStyle w:val="Style115"/>
              <w:jc w:val="center"/>
              <w:rPr>
                <w:rFonts w:ascii="Arial" w:hAnsi="Arial" w:cs="Arial"/>
                <w:b/>
                <w:b/>
              </w:rPr>
            </w:pPr>
            <w:r>
              <w:rPr>
                <w:rFonts w:cs="Arial" w:ascii="Arial" w:hAnsi="Arial"/>
                <w:b/>
              </w:rPr>
              <w:t xml:space="preserve">Коэффициент застройки </w:t>
            </w:r>
          </w:p>
        </w:tc>
        <w:tc>
          <w:tcPr>
            <w:tcW w:w="287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EEECE1" w:val="clear"/>
            <w:tcMar>
              <w:left w:w="81" w:type="dxa"/>
            </w:tcMar>
          </w:tcPr>
          <w:p>
            <w:pPr>
              <w:pStyle w:val="Style115"/>
              <w:jc w:val="center"/>
              <w:rPr>
                <w:rFonts w:ascii="Arial" w:hAnsi="Arial" w:cs="Arial"/>
                <w:b/>
                <w:b/>
              </w:rPr>
            </w:pPr>
            <w:r>
              <w:rPr>
                <w:rFonts w:cs="Arial" w:ascii="Arial" w:hAnsi="Arial"/>
                <w:b/>
              </w:rPr>
              <w:t xml:space="preserve">Коэффициент плотности застройки </w:t>
            </w:r>
          </w:p>
        </w:tc>
      </w:tr>
      <w:tr>
        <w:trPr/>
        <w:tc>
          <w:tcPr>
            <w:tcW w:w="3804"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 xml:space="preserve">Зона застройки индивидуальными жилыми домами </w:t>
            </w:r>
          </w:p>
        </w:tc>
        <w:tc>
          <w:tcPr>
            <w:tcW w:w="2543"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jc w:val="center"/>
              <w:rPr>
                <w:rFonts w:ascii="Arial" w:hAnsi="Arial" w:cs="Arial"/>
              </w:rPr>
            </w:pPr>
            <w:r>
              <w:rPr>
                <w:rFonts w:cs="Arial" w:ascii="Arial" w:hAnsi="Arial"/>
              </w:rPr>
              <w:t xml:space="preserve">0,2 </w:t>
            </w:r>
          </w:p>
        </w:tc>
        <w:tc>
          <w:tcPr>
            <w:tcW w:w="287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jc w:val="center"/>
              <w:rPr>
                <w:rFonts w:ascii="Arial" w:hAnsi="Arial" w:cs="Arial"/>
              </w:rPr>
            </w:pPr>
            <w:r>
              <w:rPr>
                <w:rFonts w:cs="Arial" w:ascii="Arial" w:hAnsi="Arial"/>
              </w:rPr>
              <w:t xml:space="preserve">0,4 </w:t>
            </w:r>
          </w:p>
        </w:tc>
      </w:tr>
      <w:tr>
        <w:trPr/>
        <w:tc>
          <w:tcPr>
            <w:tcW w:w="3804"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 xml:space="preserve">Зона блокированной жилой застройки </w:t>
            </w:r>
          </w:p>
        </w:tc>
        <w:tc>
          <w:tcPr>
            <w:tcW w:w="2543"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jc w:val="center"/>
              <w:rPr>
                <w:rFonts w:ascii="Arial" w:hAnsi="Arial" w:cs="Arial"/>
              </w:rPr>
            </w:pPr>
            <w:r>
              <w:rPr>
                <w:rFonts w:cs="Arial" w:ascii="Arial" w:hAnsi="Arial"/>
              </w:rPr>
              <w:t xml:space="preserve">0,5 </w:t>
            </w:r>
          </w:p>
        </w:tc>
        <w:tc>
          <w:tcPr>
            <w:tcW w:w="287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jc w:val="center"/>
              <w:rPr>
                <w:rFonts w:ascii="Arial" w:hAnsi="Arial" w:cs="Arial"/>
              </w:rPr>
            </w:pPr>
            <w:r>
              <w:rPr>
                <w:rFonts w:cs="Arial" w:ascii="Arial" w:hAnsi="Arial"/>
              </w:rPr>
              <w:t xml:space="preserve">1,5 </w:t>
            </w:r>
          </w:p>
        </w:tc>
      </w:tr>
      <w:tr>
        <w:trPr/>
        <w:tc>
          <w:tcPr>
            <w:tcW w:w="3804"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 xml:space="preserve">Зона застройки малоэтажными жилыми домами </w:t>
            </w:r>
          </w:p>
        </w:tc>
        <w:tc>
          <w:tcPr>
            <w:tcW w:w="2543"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jc w:val="center"/>
              <w:rPr>
                <w:rFonts w:ascii="Arial" w:hAnsi="Arial" w:cs="Arial"/>
              </w:rPr>
            </w:pPr>
            <w:r>
              <w:rPr>
                <w:rFonts w:cs="Arial" w:ascii="Arial" w:hAnsi="Arial"/>
              </w:rPr>
              <w:t xml:space="preserve">0,4 </w:t>
            </w:r>
          </w:p>
        </w:tc>
        <w:tc>
          <w:tcPr>
            <w:tcW w:w="287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jc w:val="center"/>
              <w:rPr>
                <w:rFonts w:ascii="Arial" w:hAnsi="Arial" w:cs="Arial"/>
              </w:rPr>
            </w:pPr>
            <w:r>
              <w:rPr>
                <w:rFonts w:cs="Arial" w:ascii="Arial" w:hAnsi="Arial"/>
              </w:rPr>
              <w:t xml:space="preserve">0,8 </w:t>
            </w:r>
          </w:p>
        </w:tc>
      </w:tr>
    </w:tbl>
    <w:p>
      <w:pPr>
        <w:pStyle w:val="NoSpacing"/>
        <w:ind w:left="0" w:right="0" w:firstLine="568"/>
        <w:jc w:val="both"/>
        <w:rPr>
          <w:rFonts w:ascii="Arial" w:hAnsi="Arial" w:cs="Arial"/>
          <w:sz w:val="24"/>
          <w:szCs w:val="24"/>
        </w:rPr>
      </w:pPr>
      <w:r>
        <w:rPr>
          <w:rFonts w:cs="Arial" w:ascii="Arial" w:hAnsi="Arial"/>
          <w:sz w:val="24"/>
          <w:szCs w:val="24"/>
        </w:rPr>
      </w:r>
    </w:p>
    <w:p>
      <w:pPr>
        <w:pStyle w:val="NoSpacing"/>
        <w:ind w:left="0" w:right="0" w:firstLine="568"/>
        <w:jc w:val="both"/>
        <w:rPr>
          <w:rFonts w:ascii="Arial" w:hAnsi="Arial" w:cs="Arial"/>
          <w:sz w:val="24"/>
          <w:szCs w:val="24"/>
        </w:rPr>
      </w:pPr>
      <w:r>
        <w:rPr>
          <w:rFonts w:cs="Arial" w:ascii="Arial" w:hAnsi="Arial"/>
          <w:sz w:val="24"/>
          <w:szCs w:val="24"/>
        </w:rPr>
        <w:t>Примечания:</w:t>
      </w:r>
    </w:p>
    <w:p>
      <w:pPr>
        <w:pStyle w:val="NoSpacing"/>
        <w:ind w:left="0" w:right="0" w:firstLine="568"/>
        <w:jc w:val="both"/>
        <w:rPr>
          <w:rFonts w:ascii="Arial" w:hAnsi="Arial" w:cs="Arial"/>
          <w:sz w:val="24"/>
          <w:szCs w:val="24"/>
        </w:rPr>
      </w:pPr>
      <w:r>
        <w:rPr>
          <w:rFonts w:cs="Arial" w:ascii="Arial" w:hAnsi="Arial"/>
          <w:sz w:val="24"/>
          <w:szCs w:val="24"/>
        </w:rPr>
        <w:t>1.</w:t>
        <w:tab/>
        <w:t>Границами кварталов являются красные линии.</w:t>
      </w:r>
    </w:p>
    <w:p>
      <w:pPr>
        <w:pStyle w:val="NoSpacing"/>
        <w:ind w:left="0" w:right="0" w:firstLine="568"/>
        <w:jc w:val="both"/>
        <w:rPr>
          <w:rFonts w:ascii="Arial" w:hAnsi="Arial" w:cs="Arial"/>
          <w:sz w:val="24"/>
          <w:szCs w:val="24"/>
        </w:rPr>
      </w:pPr>
      <w:r>
        <w:rPr>
          <w:rFonts w:cs="Arial" w:ascii="Arial" w:hAnsi="Arial"/>
          <w:sz w:val="24"/>
          <w:szCs w:val="24"/>
        </w:rPr>
        <w:t>3.1.13. Предварительное определение потребности в территории жилых зон (кол. га на 1 дом, квартиру) приведены в таблице 3.2.</w:t>
      </w:r>
    </w:p>
    <w:p>
      <w:pPr>
        <w:pStyle w:val="NoSpacing"/>
        <w:ind w:left="0" w:right="0" w:firstLine="568"/>
        <w:jc w:val="right"/>
        <w:rPr>
          <w:rFonts w:ascii="Arial" w:hAnsi="Arial" w:cs="Arial"/>
          <w:sz w:val="24"/>
          <w:szCs w:val="24"/>
        </w:rPr>
      </w:pPr>
      <w:r>
        <w:rPr>
          <w:rFonts w:cs="Arial" w:ascii="Arial" w:hAnsi="Arial"/>
          <w:sz w:val="24"/>
          <w:szCs w:val="24"/>
        </w:rPr>
        <w:t>Таблица 3.2.</w:t>
      </w:r>
    </w:p>
    <w:tbl>
      <w:tblPr>
        <w:tblW w:w="9649" w:type="dxa"/>
        <w:jc w:val="left"/>
        <w:tblInd w:w="245"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3632"/>
        <w:gridCol w:w="2888"/>
        <w:gridCol w:w="3129"/>
      </w:tblGrid>
      <w:tr>
        <w:trPr/>
        <w:tc>
          <w:tcPr>
            <w:tcW w:w="3632"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napToGrid w:val="false"/>
              <w:spacing w:lineRule="auto" w:line="240" w:before="0" w:after="200"/>
              <w:jc w:val="center"/>
              <w:rPr>
                <w:rFonts w:ascii="Arial" w:hAnsi="Arial" w:cs="Arial"/>
                <w:b/>
                <w:b/>
                <w:sz w:val="24"/>
                <w:szCs w:val="24"/>
              </w:rPr>
            </w:pPr>
            <w:r>
              <w:rPr>
                <w:rFonts w:cs="Arial" w:ascii="Arial" w:hAnsi="Arial"/>
                <w:b/>
                <w:sz w:val="24"/>
                <w:szCs w:val="24"/>
              </w:rPr>
              <w:t>Тип застройки</w:t>
            </w:r>
          </w:p>
        </w:tc>
        <w:tc>
          <w:tcPr>
            <w:tcW w:w="2888"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napToGrid w:val="false"/>
              <w:spacing w:lineRule="auto" w:line="240" w:before="0" w:after="200"/>
              <w:jc w:val="center"/>
              <w:rPr>
                <w:rFonts w:ascii="Arial" w:hAnsi="Arial" w:cs="Arial"/>
                <w:b/>
                <w:b/>
                <w:sz w:val="24"/>
                <w:szCs w:val="24"/>
              </w:rPr>
            </w:pPr>
            <w:r>
              <w:rPr>
                <w:rFonts w:cs="Arial" w:ascii="Arial" w:hAnsi="Arial"/>
                <w:b/>
                <w:sz w:val="24"/>
                <w:szCs w:val="24"/>
              </w:rPr>
              <w:t>Площадь земельного участка, м²</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tcPr>
          <w:p>
            <w:pPr>
              <w:pStyle w:val="Normal"/>
              <w:snapToGrid w:val="false"/>
              <w:spacing w:lineRule="auto" w:line="240" w:before="0" w:after="200"/>
              <w:jc w:val="center"/>
              <w:rPr>
                <w:rFonts w:ascii="Arial" w:hAnsi="Arial" w:cs="Arial"/>
                <w:b/>
                <w:b/>
                <w:sz w:val="24"/>
                <w:szCs w:val="24"/>
              </w:rPr>
            </w:pPr>
            <w:r>
              <w:rPr>
                <w:rFonts w:cs="Arial" w:ascii="Arial" w:hAnsi="Arial"/>
                <w:b/>
                <w:sz w:val="24"/>
                <w:szCs w:val="24"/>
              </w:rPr>
              <w:t>Расчетная площадь селитебной территории на одну квартиру, га</w:t>
            </w:r>
          </w:p>
        </w:tc>
      </w:tr>
      <w:tr>
        <w:trPr>
          <w:trHeight w:val="365" w:hRule="exact"/>
          <w:cantSplit w:val="true"/>
        </w:trPr>
        <w:tc>
          <w:tcPr>
            <w:tcW w:w="3632" w:type="dxa"/>
            <w:vMerge w:val="restart"/>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t>Индивидуальная жилая застройка с участками при доме</w:t>
            </w:r>
          </w:p>
        </w:tc>
        <w:tc>
          <w:tcPr>
            <w:tcW w:w="288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2000</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PlusNormal11"/>
              <w:jc w:val="center"/>
              <w:rPr>
                <w:rFonts w:cs="Arial"/>
                <w:sz w:val="24"/>
                <w:szCs w:val="24"/>
              </w:rPr>
            </w:pPr>
            <w:r>
              <w:rPr>
                <w:rFonts w:cs="Arial"/>
                <w:sz w:val="24"/>
                <w:szCs w:val="24"/>
              </w:rPr>
              <w:t>0,27</w:t>
            </w:r>
          </w:p>
        </w:tc>
      </w:tr>
      <w:tr>
        <w:trPr>
          <w:trHeight w:val="442" w:hRule="exact"/>
          <w:cantSplit w:val="true"/>
        </w:trPr>
        <w:tc>
          <w:tcPr>
            <w:tcW w:w="3632" w:type="dxa"/>
            <w:vMerge w:val="continue"/>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288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1500</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PlusNormal11"/>
              <w:jc w:val="center"/>
              <w:rPr>
                <w:rFonts w:cs="Arial"/>
                <w:sz w:val="24"/>
                <w:szCs w:val="24"/>
              </w:rPr>
            </w:pPr>
            <w:r>
              <w:rPr>
                <w:rFonts w:cs="Arial"/>
                <w:sz w:val="24"/>
                <w:szCs w:val="24"/>
              </w:rPr>
              <w:t>0,23</w:t>
            </w:r>
          </w:p>
        </w:tc>
      </w:tr>
      <w:tr>
        <w:trPr>
          <w:trHeight w:val="406" w:hRule="exact"/>
          <w:cantSplit w:val="true"/>
        </w:trPr>
        <w:tc>
          <w:tcPr>
            <w:tcW w:w="3632" w:type="dxa"/>
            <w:vMerge w:val="continue"/>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288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1200</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PlusNormal11"/>
              <w:jc w:val="center"/>
              <w:rPr>
                <w:rFonts w:cs="Arial"/>
                <w:sz w:val="24"/>
                <w:szCs w:val="24"/>
              </w:rPr>
            </w:pPr>
            <w:r>
              <w:rPr>
                <w:rFonts w:cs="Arial"/>
                <w:sz w:val="24"/>
                <w:szCs w:val="24"/>
              </w:rPr>
              <w:t>0,20</w:t>
            </w:r>
          </w:p>
        </w:tc>
      </w:tr>
      <w:tr>
        <w:trPr>
          <w:trHeight w:val="425" w:hRule="exact"/>
          <w:cantSplit w:val="true"/>
        </w:trPr>
        <w:tc>
          <w:tcPr>
            <w:tcW w:w="3632" w:type="dxa"/>
            <w:vMerge w:val="continue"/>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288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1000</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PlusNormal11"/>
              <w:jc w:val="center"/>
              <w:rPr>
                <w:rFonts w:cs="Arial"/>
                <w:sz w:val="24"/>
                <w:szCs w:val="24"/>
              </w:rPr>
            </w:pPr>
            <w:r>
              <w:rPr>
                <w:rFonts w:cs="Arial"/>
                <w:sz w:val="24"/>
                <w:szCs w:val="24"/>
              </w:rPr>
              <w:t>0,17</w:t>
            </w:r>
          </w:p>
        </w:tc>
      </w:tr>
      <w:tr>
        <w:trPr>
          <w:trHeight w:val="431" w:hRule="exact"/>
          <w:cantSplit w:val="true"/>
        </w:trPr>
        <w:tc>
          <w:tcPr>
            <w:tcW w:w="3632" w:type="dxa"/>
            <w:vMerge w:val="continue"/>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288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800</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PlusNormal11"/>
              <w:jc w:val="center"/>
              <w:rPr>
                <w:rFonts w:cs="Arial"/>
                <w:sz w:val="24"/>
                <w:szCs w:val="24"/>
              </w:rPr>
            </w:pPr>
            <w:r>
              <w:rPr>
                <w:rFonts w:cs="Arial"/>
                <w:sz w:val="24"/>
                <w:szCs w:val="24"/>
              </w:rPr>
              <w:t>0,15</w:t>
            </w:r>
          </w:p>
        </w:tc>
      </w:tr>
      <w:tr>
        <w:trPr>
          <w:trHeight w:val="424" w:hRule="exact"/>
          <w:cantSplit w:val="true"/>
        </w:trPr>
        <w:tc>
          <w:tcPr>
            <w:tcW w:w="3632" w:type="dxa"/>
            <w:vMerge w:val="continue"/>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288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600</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PlusNormal11"/>
              <w:jc w:val="center"/>
              <w:rPr>
                <w:rFonts w:cs="Arial"/>
                <w:sz w:val="24"/>
                <w:szCs w:val="24"/>
              </w:rPr>
            </w:pPr>
            <w:r>
              <w:rPr>
                <w:rFonts w:cs="Arial"/>
                <w:sz w:val="24"/>
                <w:szCs w:val="24"/>
              </w:rPr>
              <w:t>0,13</w:t>
            </w:r>
          </w:p>
        </w:tc>
      </w:tr>
      <w:tr>
        <w:trPr>
          <w:trHeight w:val="430" w:hRule="exact"/>
          <w:cantSplit w:val="true"/>
        </w:trPr>
        <w:tc>
          <w:tcPr>
            <w:tcW w:w="3632" w:type="dxa"/>
            <w:vMerge w:val="continue"/>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288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400</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PlusNormal11"/>
              <w:jc w:val="center"/>
              <w:rPr>
                <w:rFonts w:cs="Arial"/>
                <w:sz w:val="24"/>
                <w:szCs w:val="24"/>
              </w:rPr>
            </w:pPr>
            <w:r>
              <w:rPr>
                <w:rFonts w:cs="Arial"/>
                <w:sz w:val="24"/>
                <w:szCs w:val="24"/>
              </w:rPr>
              <w:t>0,11</w:t>
            </w:r>
          </w:p>
        </w:tc>
      </w:tr>
      <w:tr>
        <w:trPr>
          <w:trHeight w:val="299" w:hRule="exact"/>
          <w:cantSplit w:val="true"/>
        </w:trPr>
        <w:tc>
          <w:tcPr>
            <w:tcW w:w="3632" w:type="dxa"/>
            <w:vMerge w:val="restart"/>
            <w:tcBorders>
              <w:top w:val="single" w:sz="4" w:space="0" w:color="00000A"/>
              <w:left w:val="single" w:sz="4" w:space="0" w:color="00000A"/>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t>Малоэтажная жилая застройка без участков при квартире с числом этажей</w:t>
            </w:r>
          </w:p>
        </w:tc>
        <w:tc>
          <w:tcPr>
            <w:tcW w:w="2888" w:type="dxa"/>
            <w:tcBorders>
              <w:top w:val="single" w:sz="4" w:space="0" w:color="000001"/>
              <w:left w:val="single" w:sz="4" w:space="0" w:color="00000A"/>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0,04</w:t>
            </w:r>
          </w:p>
        </w:tc>
      </w:tr>
      <w:tr>
        <w:trPr>
          <w:trHeight w:val="286" w:hRule="exact"/>
          <w:cantSplit w:val="true"/>
        </w:trPr>
        <w:tc>
          <w:tcPr>
            <w:tcW w:w="3632" w:type="dxa"/>
            <w:vMerge w:val="continue"/>
            <w:tcBorders>
              <w:top w:val="single" w:sz="4" w:space="0" w:color="00000A"/>
              <w:left w:val="single" w:sz="4" w:space="0" w:color="00000A"/>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2888" w:type="dxa"/>
            <w:tcBorders>
              <w:top w:val="single" w:sz="4" w:space="0" w:color="000001"/>
              <w:left w:val="single" w:sz="4" w:space="0" w:color="00000A"/>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2</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0,04</w:t>
            </w:r>
          </w:p>
        </w:tc>
      </w:tr>
      <w:tr>
        <w:trPr>
          <w:trHeight w:val="286" w:hRule="exact"/>
          <w:cantSplit w:val="true"/>
        </w:trPr>
        <w:tc>
          <w:tcPr>
            <w:tcW w:w="3632" w:type="dxa"/>
            <w:vMerge w:val="continue"/>
            <w:tcBorders>
              <w:top w:val="single" w:sz="4" w:space="0" w:color="00000A"/>
              <w:left w:val="single" w:sz="4" w:space="0" w:color="00000A"/>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2888" w:type="dxa"/>
            <w:tcBorders>
              <w:top w:val="single" w:sz="4" w:space="0" w:color="000001"/>
              <w:left w:val="single" w:sz="4" w:space="0" w:color="00000A"/>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3</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0,03</w:t>
            </w:r>
          </w:p>
        </w:tc>
      </w:tr>
      <w:tr>
        <w:trPr>
          <w:trHeight w:val="286" w:hRule="exact"/>
          <w:cantSplit w:val="true"/>
        </w:trPr>
        <w:tc>
          <w:tcPr>
            <w:tcW w:w="3632" w:type="dxa"/>
            <w:tcBorders>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288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4</w:t>
            </w:r>
          </w:p>
        </w:tc>
        <w:tc>
          <w:tcPr>
            <w:tcW w:w="312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0,02</w:t>
            </w:r>
          </w:p>
        </w:tc>
      </w:tr>
    </w:tbl>
    <w:p>
      <w:pPr>
        <w:pStyle w:val="NoSpacing"/>
        <w:ind w:left="0" w:right="0" w:firstLine="568"/>
        <w:jc w:val="both"/>
        <w:rPr>
          <w:rFonts w:ascii="Arial" w:hAnsi="Arial" w:cs="Arial"/>
          <w:sz w:val="24"/>
          <w:szCs w:val="24"/>
        </w:rPr>
      </w:pPr>
      <w:r>
        <w:rPr>
          <w:rFonts w:cs="Arial" w:ascii="Arial" w:hAnsi="Arial"/>
          <w:sz w:val="24"/>
          <w:szCs w:val="24"/>
        </w:rPr>
        <w:t>Примечания.</w:t>
      </w:r>
    </w:p>
    <w:p>
      <w:pPr>
        <w:pStyle w:val="NoSpacing"/>
        <w:ind w:left="0" w:right="0" w:firstLine="568"/>
        <w:jc w:val="both"/>
        <w:rPr>
          <w:rFonts w:ascii="Arial" w:hAnsi="Arial" w:cs="Arial"/>
          <w:sz w:val="24"/>
          <w:szCs w:val="24"/>
        </w:rPr>
      </w:pPr>
      <w:r>
        <w:rPr>
          <w:rFonts w:cs="Arial" w:ascii="Arial" w:hAnsi="Arial"/>
          <w:sz w:val="24"/>
          <w:szCs w:val="24"/>
        </w:rPr>
        <w:t>1. При необходимости организации обособленных хозяйственных проездов площадь жилой территории увеличивается на 10 процентов.</w:t>
      </w:r>
    </w:p>
    <w:p>
      <w:pPr>
        <w:pStyle w:val="NoSpacing"/>
        <w:ind w:left="0" w:right="0" w:firstLine="568"/>
        <w:jc w:val="both"/>
        <w:rPr>
          <w:rFonts w:ascii="Arial" w:hAnsi="Arial" w:cs="Arial"/>
          <w:sz w:val="24"/>
          <w:szCs w:val="24"/>
        </w:rPr>
      </w:pPr>
      <w:r>
        <w:rPr>
          <w:rFonts w:cs="Arial" w:ascii="Arial" w:hAnsi="Arial"/>
          <w:sz w:val="24"/>
          <w:szCs w:val="24"/>
        </w:rPr>
        <w:t>2. При подсчете площади жилой территории исключаются непригодные для застройки территории: овраги, крутые склоны, земельные участки организаций и предприятий обслуживания межселенного значения.</w:t>
      </w:r>
    </w:p>
    <w:p>
      <w:pPr>
        <w:pStyle w:val="NoSpacing"/>
        <w:ind w:left="0" w:right="0" w:firstLine="708"/>
        <w:jc w:val="both"/>
        <w:rPr>
          <w:rFonts w:ascii="Arial" w:hAnsi="Arial" w:cs="Arial"/>
          <w:i/>
          <w:i/>
          <w:sz w:val="24"/>
          <w:szCs w:val="24"/>
        </w:rPr>
      </w:pPr>
      <w:r>
        <w:rPr>
          <w:rFonts w:cs="Arial" w:ascii="Arial" w:hAnsi="Arial"/>
          <w:i/>
          <w:sz w:val="24"/>
          <w:szCs w:val="24"/>
        </w:rPr>
        <w:t>3.2. Нормативы жилой зоны.</w:t>
      </w:r>
    </w:p>
    <w:p>
      <w:pPr>
        <w:pStyle w:val="NoSpacing"/>
        <w:ind w:left="0" w:right="0" w:firstLine="568"/>
        <w:jc w:val="both"/>
        <w:rPr>
          <w:rFonts w:ascii="Arial" w:hAnsi="Arial" w:cs="Arial"/>
          <w:sz w:val="24"/>
          <w:szCs w:val="24"/>
        </w:rPr>
      </w:pPr>
      <w:r>
        <w:rPr>
          <w:rFonts w:cs="Arial" w:ascii="Arial" w:hAnsi="Arial"/>
          <w:sz w:val="24"/>
          <w:szCs w:val="24"/>
        </w:rPr>
        <w:t>3.2.1. Расчетные показатели минимально допустимого уровня средней жилищной обеспеченности населения (метров квадратных на человека)</w:t>
      </w:r>
    </w:p>
    <w:p>
      <w:pPr>
        <w:pStyle w:val="NoSpacing"/>
        <w:ind w:left="0" w:right="0" w:firstLine="568"/>
        <w:jc w:val="both"/>
        <w:rPr/>
      </w:pPr>
      <w:bookmarkStart w:id="5" w:name="__RefHeading___Toc494193901"/>
      <w:r>
        <w:rPr>
          <w:rStyle w:val="55555"/>
          <w:rFonts w:eastAsia="Calibri" w:cs="Arial" w:ascii="Arial" w:hAnsi="Arial"/>
        </w:rPr>
        <w:t>Расчетные показатели минимально допустимого уровня средней жилищной обеспеченности населения для  Кушнурского сельсовета</w:t>
      </w:r>
      <w:bookmarkEnd w:id="5"/>
      <w:r>
        <w:rPr>
          <w:rStyle w:val="55555"/>
          <w:rFonts w:eastAsia="Calibri" w:cs="Arial" w:ascii="Arial" w:hAnsi="Arial"/>
        </w:rPr>
        <w:t xml:space="preserve"> </w:t>
      </w:r>
      <w:r>
        <w:rPr>
          <w:rFonts w:cs="Arial" w:ascii="Arial" w:hAnsi="Arial"/>
          <w:b/>
          <w:i/>
          <w:sz w:val="24"/>
          <w:szCs w:val="24"/>
        </w:rPr>
        <w:t xml:space="preserve"> принимаются в соответствии с таблицей 3.3.</w:t>
      </w:r>
    </w:p>
    <w:p>
      <w:pPr>
        <w:pStyle w:val="NoSpacing"/>
        <w:ind w:left="0" w:right="0" w:firstLine="568"/>
        <w:jc w:val="both"/>
        <w:rPr>
          <w:rFonts w:ascii="Arial" w:hAnsi="Arial" w:cs="Arial"/>
          <w:sz w:val="24"/>
          <w:szCs w:val="24"/>
        </w:rPr>
      </w:pPr>
      <w:r>
        <w:rPr>
          <w:rFonts w:cs="Arial" w:ascii="Arial" w:hAnsi="Arial"/>
          <w:sz w:val="24"/>
          <w:szCs w:val="24"/>
        </w:rPr>
      </w:r>
    </w:p>
    <w:p>
      <w:pPr>
        <w:pStyle w:val="NoSpacing"/>
        <w:ind w:left="0" w:right="0" w:firstLine="568"/>
        <w:jc w:val="right"/>
        <w:rPr>
          <w:rFonts w:ascii="Arial" w:hAnsi="Arial" w:cs="Arial"/>
          <w:sz w:val="24"/>
          <w:szCs w:val="24"/>
        </w:rPr>
      </w:pPr>
      <w:r>
        <w:rPr>
          <w:rFonts w:cs="Arial" w:ascii="Arial" w:hAnsi="Arial"/>
          <w:sz w:val="24"/>
          <w:szCs w:val="24"/>
        </w:rPr>
        <w:t>Таблица 3.3</w:t>
      </w:r>
    </w:p>
    <w:p>
      <w:pPr>
        <w:pStyle w:val="NoSpacing"/>
        <w:ind w:left="0" w:right="0" w:firstLine="568"/>
        <w:jc w:val="right"/>
        <w:rPr>
          <w:rFonts w:ascii="Arial" w:hAnsi="Arial" w:cs="Arial"/>
          <w:sz w:val="24"/>
          <w:szCs w:val="24"/>
        </w:rPr>
      </w:pPr>
      <w:r>
        <w:rPr>
          <w:rFonts w:cs="Arial" w:ascii="Arial" w:hAnsi="Arial"/>
          <w:sz w:val="24"/>
          <w:szCs w:val="24"/>
        </w:rPr>
      </w:r>
    </w:p>
    <w:tbl>
      <w:tblPr>
        <w:tblW w:w="9166"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4695"/>
        <w:gridCol w:w="1418"/>
        <w:gridCol w:w="1559"/>
        <w:gridCol w:w="1494"/>
      </w:tblGrid>
      <w:tr>
        <w:trPr>
          <w:trHeight w:val="507" w:hRule="atLeast"/>
        </w:trPr>
        <w:tc>
          <w:tcPr>
            <w:tcW w:w="4695"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uppressAutoHyphens w:val="true"/>
              <w:snapToGrid w:val="false"/>
              <w:spacing w:lineRule="auto" w:line="240" w:before="0" w:after="0"/>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Наименование показателя</w:t>
            </w:r>
          </w:p>
        </w:tc>
        <w:tc>
          <w:tcPr>
            <w:tcW w:w="1418"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2017 год</w:t>
            </w:r>
          </w:p>
        </w:tc>
        <w:tc>
          <w:tcPr>
            <w:tcW w:w="1559"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На первый расчетный срок</w:t>
            </w:r>
          </w:p>
        </w:tc>
        <w:tc>
          <w:tcPr>
            <w:tcW w:w="149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На второй расчетный период</w:t>
            </w:r>
          </w:p>
        </w:tc>
      </w:tr>
      <w:tr>
        <w:trPr>
          <w:trHeight w:val="254" w:hRule="atLeast"/>
        </w:trPr>
        <w:tc>
          <w:tcPr>
            <w:tcW w:w="4695"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Общая площадь жилых помещений, приходящаяся в среднем на одного жителя, кв. м на человек, результирующая</w:t>
            </w:r>
          </w:p>
        </w:tc>
        <w:tc>
          <w:tcPr>
            <w:tcW w:w="141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29,5</w:t>
            </w:r>
          </w:p>
        </w:tc>
        <w:tc>
          <w:tcPr>
            <w:tcW w:w="1559"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30-35</w:t>
            </w:r>
          </w:p>
        </w:tc>
        <w:tc>
          <w:tcPr>
            <w:tcW w:w="149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30-35</w:t>
            </w:r>
          </w:p>
        </w:tc>
      </w:tr>
    </w:tbl>
    <w:p>
      <w:pPr>
        <w:pStyle w:val="Style52"/>
        <w:spacing w:before="0" w:after="0"/>
        <w:rPr>
          <w:rFonts w:ascii="Arial" w:hAnsi="Arial" w:cs="Arial"/>
          <w:color w:val="000000"/>
          <w:szCs w:val="24"/>
        </w:rPr>
      </w:pPr>
      <w:r>
        <w:rPr>
          <w:rFonts w:cs="Arial" w:ascii="Arial" w:hAnsi="Arial"/>
          <w:color w:val="000000"/>
          <w:szCs w:val="24"/>
        </w:rPr>
      </w:r>
    </w:p>
    <w:p>
      <w:pPr>
        <w:pStyle w:val="Style52"/>
        <w:spacing w:before="0" w:after="0"/>
        <w:rPr>
          <w:rFonts w:ascii="Arial" w:hAnsi="Arial" w:cs="Arial"/>
          <w:color w:val="000000"/>
          <w:szCs w:val="24"/>
        </w:rPr>
      </w:pPr>
      <w:r>
        <w:rPr>
          <w:rFonts w:cs="Arial" w:ascii="Arial" w:hAnsi="Arial"/>
          <w:color w:val="000000"/>
          <w:szCs w:val="24"/>
        </w:rPr>
        <w:t>Таким образом, при разработке документов территориального планирования и документации по планировке территории, следует применять показатель жилищной обеспеченности, достигнутый на данный момент времени.</w:t>
      </w:r>
    </w:p>
    <w:p>
      <w:pPr>
        <w:pStyle w:val="Style52"/>
        <w:spacing w:before="0" w:after="0"/>
        <w:rPr>
          <w:rFonts w:ascii="Arial" w:hAnsi="Arial" w:cs="Arial"/>
          <w:color w:val="000000"/>
          <w:szCs w:val="24"/>
        </w:rPr>
      </w:pPr>
      <w:r>
        <w:rPr>
          <w:rFonts w:cs="Arial" w:ascii="Arial" w:hAnsi="Arial"/>
          <w:color w:val="000000"/>
          <w:szCs w:val="24"/>
        </w:rPr>
        <w:t>3.2.2. Расчетные показатели минимальной обеспеченности общей площадью жилых помещений для индивидуальной жилой застройки не нормируются, а определяются исходя из среднего размера семьи.</w:t>
      </w:r>
    </w:p>
    <w:p>
      <w:pPr>
        <w:pStyle w:val="NoSpacing"/>
        <w:ind w:left="0" w:right="0" w:firstLine="708"/>
        <w:jc w:val="both"/>
        <w:rPr>
          <w:rFonts w:ascii="Arial" w:hAnsi="Arial" w:cs="Arial"/>
          <w:i/>
          <w:i/>
          <w:sz w:val="24"/>
          <w:szCs w:val="24"/>
        </w:rPr>
      </w:pPr>
      <w:r>
        <w:rPr>
          <w:rFonts w:cs="Arial" w:ascii="Arial" w:hAnsi="Arial"/>
          <w:i/>
          <w:sz w:val="24"/>
          <w:szCs w:val="24"/>
        </w:rPr>
        <w:t>3.3. Параметры зон жилой застройки.</w:t>
      </w:r>
    </w:p>
    <w:p>
      <w:pPr>
        <w:pStyle w:val="ConsPlusNormal1"/>
        <w:ind w:left="0" w:right="0" w:firstLine="567"/>
        <w:rPr>
          <w:rFonts w:cs="Arial"/>
          <w:color w:val="000000"/>
          <w:sz w:val="24"/>
          <w:szCs w:val="24"/>
        </w:rPr>
      </w:pPr>
      <w:r>
        <w:rPr>
          <w:rFonts w:cs="Arial"/>
          <w:color w:val="000000"/>
          <w:sz w:val="24"/>
          <w:szCs w:val="24"/>
        </w:rPr>
        <w:t>3.3.1. Жилые зоны предназначены для преимущественного размещения жилого фонда. В жилых зонах допускается также размещение отдельно стоящих, встроенных или пристроенных объектов социального и культурно-бытового обслуживания населения, культовых зданий, стоянок автомобильного транспорта и производственных объектов, не требующих устройства санитарно-защитных зон и не являющихся источниками воздействия на среду обитания и здоровье человека (шум, вибрация, магнитные поля, радиационное воздействие, загрязнение почв, воздуха, воды и иные вредные воздействия).</w:t>
      </w:r>
    </w:p>
    <w:p>
      <w:pPr>
        <w:pStyle w:val="ConsPlusNormal1"/>
        <w:ind w:left="0" w:right="0" w:firstLine="540"/>
        <w:rPr>
          <w:rFonts w:cs="Arial"/>
          <w:color w:val="000000"/>
          <w:sz w:val="24"/>
          <w:szCs w:val="24"/>
        </w:rPr>
      </w:pPr>
      <w:r>
        <w:rPr>
          <w:rFonts w:cs="Arial"/>
          <w:color w:val="000000"/>
          <w:sz w:val="24"/>
          <w:szCs w:val="24"/>
        </w:rPr>
        <w:t>3.3.2. Для размещения жилой зоны должны выбираться территории, наиболее благоприятные в санитарно-гигиеническом и инженерно-геологическом отношениях, требующие минимального объема инженерной подготовки, а также обеспечивающие возможности минимального нарушения естественного состояния природной среды.</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3.3.6. В населенном пункте вся жилая зона может формироваться по типу единого жилого района. В случае расчлененности их территорий естественными или искусственными рубежами территория жилой зоны может подразделяться на районы площадью до 30 - 50 гектаров.</w:t>
      </w:r>
    </w:p>
    <w:p>
      <w:pPr>
        <w:pStyle w:val="ConsPlusNormal11"/>
        <w:ind w:left="0" w:right="0" w:firstLine="540"/>
        <w:jc w:val="both"/>
        <w:rPr>
          <w:rFonts w:eastAsia="Calibri" w:cs="Arial"/>
          <w:color w:val="000000"/>
          <w:sz w:val="24"/>
          <w:szCs w:val="24"/>
          <w:lang w:eastAsia="ar-SA"/>
        </w:rPr>
      </w:pPr>
      <w:r>
        <w:rPr>
          <w:rFonts w:eastAsia="Calibri" w:cs="Arial"/>
          <w:color w:val="000000"/>
          <w:sz w:val="24"/>
          <w:szCs w:val="24"/>
          <w:lang w:eastAsia="ar-SA"/>
        </w:rPr>
        <w:t>3.3.3. Градостроительные характеристики территорий малоэтажного жилищного строительства (величина структурного элемента, этажность застройки, размеры приквартирного участка и другие) определяются местоположением территории в планировочной и функциональной структуре в зависимости от типа населенного пункта.</w:t>
      </w:r>
    </w:p>
    <w:p>
      <w:pPr>
        <w:pStyle w:val="ConsPlusNormal11"/>
        <w:ind w:left="0" w:right="0" w:firstLine="540"/>
        <w:jc w:val="both"/>
        <w:rPr>
          <w:rFonts w:eastAsia="Calibri" w:cs="Arial"/>
          <w:color w:val="000000"/>
          <w:sz w:val="24"/>
          <w:szCs w:val="24"/>
          <w:lang w:eastAsia="ar-SA"/>
        </w:rPr>
      </w:pPr>
      <w:r>
        <w:rPr>
          <w:rFonts w:eastAsia="Calibri" w:cs="Arial"/>
          <w:color w:val="000000"/>
          <w:sz w:val="24"/>
          <w:szCs w:val="24"/>
          <w:lang w:eastAsia="ar-SA"/>
        </w:rPr>
        <w:t>3.3.4.</w:t>
        <w:tab/>
        <w:t>В состав территорий жилой застройки включаются:</w:t>
      </w:r>
    </w:p>
    <w:p>
      <w:pPr>
        <w:pStyle w:val="ConsPlusNormal11"/>
        <w:numPr>
          <w:ilvl w:val="0"/>
          <w:numId w:val="2"/>
        </w:numPr>
        <w:jc w:val="both"/>
        <w:rPr>
          <w:rFonts w:eastAsia="Calibri" w:cs="Arial"/>
          <w:color w:val="000000"/>
          <w:sz w:val="24"/>
          <w:szCs w:val="24"/>
          <w:lang w:eastAsia="ar-SA"/>
        </w:rPr>
      </w:pPr>
      <w:r>
        <w:rPr>
          <w:rFonts w:eastAsia="Calibri" w:cs="Arial"/>
          <w:color w:val="000000"/>
          <w:sz w:val="24"/>
          <w:szCs w:val="24"/>
          <w:lang w:eastAsia="ar-SA"/>
        </w:rPr>
        <w:t>зоны застройки индивидуальными жилыми домами (в том числе одноэтажными, мансардными, двухэтажными и трехэтажными) с придомовыми земельными участками;</w:t>
      </w:r>
    </w:p>
    <w:p>
      <w:pPr>
        <w:pStyle w:val="ConsPlusNormal11"/>
        <w:numPr>
          <w:ilvl w:val="0"/>
          <w:numId w:val="2"/>
        </w:numPr>
        <w:jc w:val="both"/>
        <w:rPr>
          <w:rFonts w:eastAsia="Calibri" w:cs="Arial"/>
          <w:color w:val="000000"/>
          <w:sz w:val="24"/>
          <w:szCs w:val="24"/>
          <w:lang w:eastAsia="ar-SA"/>
        </w:rPr>
      </w:pPr>
      <w:r>
        <w:rPr>
          <w:rFonts w:eastAsia="Calibri" w:cs="Arial"/>
          <w:color w:val="000000"/>
          <w:sz w:val="24"/>
          <w:szCs w:val="24"/>
          <w:lang w:eastAsia="ar-SA"/>
        </w:rPr>
        <w:t>зоны застройки малоэтажными жилыми домами (многоквартирными, блокированными или секционными до трех этажей включительно, с приквартирными земельными участками).</w:t>
      </w:r>
    </w:p>
    <w:p>
      <w:pPr>
        <w:pStyle w:val="ConsPlusNormal11"/>
        <w:ind w:left="0" w:right="0" w:firstLine="540"/>
        <w:jc w:val="both"/>
        <w:rPr>
          <w:rFonts w:eastAsia="Calibri" w:cs="Arial"/>
          <w:color w:val="000000"/>
          <w:sz w:val="24"/>
          <w:szCs w:val="24"/>
          <w:lang w:eastAsia="ar-SA"/>
        </w:rPr>
      </w:pPr>
      <w:r>
        <w:rPr>
          <w:rFonts w:eastAsia="Calibri" w:cs="Arial"/>
          <w:color w:val="000000"/>
          <w:sz w:val="24"/>
          <w:szCs w:val="24"/>
          <w:lang w:eastAsia="ar-SA"/>
        </w:rPr>
        <w:t>Основными типами жилых домов для муниципального жилищного фонда следует принимать дома многоквартирные блокированного и секционного типа с приквартирными земельными участками.</w:t>
      </w:r>
    </w:p>
    <w:p>
      <w:pPr>
        <w:pStyle w:val="ConsPlusNormal1"/>
        <w:ind w:left="0" w:right="0" w:firstLine="567"/>
        <w:rPr>
          <w:rFonts w:cs="Arial"/>
          <w:color w:val="000000"/>
          <w:sz w:val="24"/>
          <w:szCs w:val="24"/>
        </w:rPr>
      </w:pPr>
      <w:r>
        <w:rPr>
          <w:rFonts w:cs="Arial"/>
          <w:color w:val="000000"/>
          <w:sz w:val="24"/>
          <w:szCs w:val="24"/>
        </w:rPr>
        <w:t>3.3.5. Размещение индивидуального строительства в поселении следует предусматривать:</w:t>
      </w:r>
    </w:p>
    <w:p>
      <w:pPr>
        <w:pStyle w:val="ConsPlusNormal1"/>
        <w:ind w:left="0" w:right="0" w:firstLine="567"/>
        <w:rPr>
          <w:rFonts w:cs="Arial"/>
          <w:color w:val="000000"/>
          <w:sz w:val="24"/>
          <w:szCs w:val="24"/>
        </w:rPr>
      </w:pPr>
      <w:r>
        <w:rPr>
          <w:rFonts w:cs="Arial"/>
          <w:color w:val="000000"/>
          <w:sz w:val="24"/>
          <w:szCs w:val="24"/>
        </w:rPr>
        <w:t>в пределах границы населенного пункта - на свободных территориях, а также на территориях реконструируемой застройки (на участках существующей индивидуальной усадебной застройки, в районах безусадебной застройки при ее уплотнении и в целях сохранения характера сложившейся градостроительной среды), на резервных территориях, включаемых в черту населенного пункта.</w:t>
      </w:r>
    </w:p>
    <w:p>
      <w:pPr>
        <w:pStyle w:val="ConsPlusNormal1"/>
        <w:ind w:left="0" w:right="0" w:firstLine="567"/>
        <w:rPr>
          <w:rFonts w:cs="Arial"/>
          <w:color w:val="000000"/>
          <w:sz w:val="24"/>
          <w:szCs w:val="24"/>
        </w:rPr>
      </w:pPr>
      <w:r>
        <w:rPr>
          <w:rFonts w:cs="Arial"/>
          <w:color w:val="000000"/>
          <w:sz w:val="24"/>
          <w:szCs w:val="24"/>
        </w:rPr>
        <w:t>3.3.6. Планировку и застройку жилых зон на резервных территориях необходимо предусматривать в зависимости от конкретных условий в увязке с прилегающей застройкой с учетом имеющихся планировочных ограничений, характера ландшафта резервных территорий при соблюдении архитектурно-планировочных, санитарно-гигиенических и экологических требований.</w:t>
      </w:r>
    </w:p>
    <w:p>
      <w:pPr>
        <w:pStyle w:val="ConsPlusNormal1"/>
        <w:ind w:left="0" w:right="0" w:firstLine="567"/>
        <w:rPr>
          <w:rFonts w:cs="Arial"/>
          <w:color w:val="000000"/>
          <w:sz w:val="24"/>
          <w:szCs w:val="24"/>
        </w:rPr>
      </w:pPr>
      <w:r>
        <w:rPr>
          <w:rFonts w:cs="Arial"/>
          <w:color w:val="000000"/>
          <w:sz w:val="24"/>
          <w:szCs w:val="24"/>
        </w:rPr>
        <w:t>3.3.7. В целях интенсивного использования территории поселения и улучшения безопасной и благоприятной среды проживания населения может быть запланировано развитие застроенных территорий.</w:t>
      </w:r>
    </w:p>
    <w:p>
      <w:pPr>
        <w:pStyle w:val="ConsPlusNormal1"/>
        <w:ind w:left="0" w:right="0" w:firstLine="567"/>
        <w:rPr>
          <w:rFonts w:cs="Arial"/>
          <w:color w:val="000000"/>
          <w:sz w:val="24"/>
          <w:szCs w:val="24"/>
        </w:rPr>
      </w:pPr>
      <w:r>
        <w:rPr>
          <w:rFonts w:cs="Arial"/>
          <w:color w:val="000000"/>
          <w:sz w:val="24"/>
          <w:szCs w:val="24"/>
        </w:rPr>
        <w:t>Развитие застроенных территорий осуществляется в границах элемента планировочной структуры (квартала, микрорайона) или его части (частей), в границах смежных элементов планировочной структуры или их частей.</w:t>
      </w:r>
    </w:p>
    <w:p>
      <w:pPr>
        <w:pStyle w:val="ConsPlusNormal1"/>
        <w:ind w:left="0" w:right="0" w:firstLine="567"/>
        <w:rPr>
          <w:rFonts w:cs="Arial"/>
          <w:color w:val="000000"/>
          <w:sz w:val="24"/>
          <w:szCs w:val="24"/>
        </w:rPr>
      </w:pPr>
      <w:r>
        <w:rPr>
          <w:rFonts w:cs="Arial"/>
          <w:color w:val="000000"/>
          <w:sz w:val="24"/>
          <w:szCs w:val="24"/>
        </w:rPr>
        <w:t>Решение о развитии застроенной территории принимается органом местного самоуправления в соответствии с требованиями Градостроительного кодекса Российской Федерации.</w:t>
      </w:r>
    </w:p>
    <w:p>
      <w:pPr>
        <w:pStyle w:val="Normal"/>
        <w:overflowPunct w:val="true"/>
        <w:spacing w:lineRule="auto" w:line="240" w:before="0" w:after="0"/>
        <w:ind w:left="0" w:right="0" w:firstLine="567"/>
        <w:jc w:val="both"/>
        <w:rPr/>
      </w:pPr>
      <w:r>
        <w:rPr>
          <w:rFonts w:cs="Arial" w:ascii="Arial" w:hAnsi="Arial"/>
          <w:color w:val="000000"/>
          <w:sz w:val="24"/>
          <w:szCs w:val="24"/>
        </w:rPr>
        <w:t xml:space="preserve">3.3.8. </w:t>
      </w:r>
      <w:r>
        <w:rPr>
          <w:rFonts w:cs="Arial" w:ascii="Arial" w:hAnsi="Arial"/>
          <w:color w:val="000000"/>
          <w:sz w:val="24"/>
          <w:szCs w:val="24"/>
          <w:lang w:eastAsia="ru-RU"/>
        </w:rPr>
        <w:t xml:space="preserve">На территориях индивидуальной и садово-дачной застройки расстояния от окон жилых помещений (комнат, кухонь и веранд) до стен дома и хозяйственных построек (сарая, гаража, бани), расположенных на соседних земельных участках, должны быть не менее 6 м. </w:t>
      </w:r>
    </w:p>
    <w:p>
      <w:pPr>
        <w:pStyle w:val="Normal"/>
        <w:overflowPunct w:val="true"/>
        <w:spacing w:lineRule="auto" w:line="240" w:before="0" w:after="0"/>
        <w:ind w:left="0" w:right="0" w:firstLine="567"/>
        <w:jc w:val="both"/>
        <w:rPr/>
      </w:pPr>
      <w:r>
        <w:rPr>
          <w:rFonts w:cs="Arial" w:ascii="Arial" w:hAnsi="Arial"/>
          <w:color w:val="000000"/>
          <w:sz w:val="24"/>
          <w:szCs w:val="24"/>
          <w:lang w:eastAsia="ru-RU"/>
        </w:rPr>
        <w:t xml:space="preserve">В зонах малоэтажной жилой застройки расстояния до границы соседнего участка по санитарно-бытовым условиям (в метрах) </w:t>
      </w:r>
      <w:r>
        <w:rPr>
          <w:rFonts w:cs="Arial" w:ascii="Arial" w:hAnsi="Arial"/>
          <w:sz w:val="24"/>
          <w:szCs w:val="24"/>
        </w:rPr>
        <w:t xml:space="preserve">при соблюдении противопожарных разрывов </w:t>
      </w:r>
      <w:r>
        <w:rPr>
          <w:rFonts w:cs="Arial" w:ascii="Arial" w:hAnsi="Arial"/>
          <w:color w:val="000000"/>
          <w:sz w:val="24"/>
          <w:szCs w:val="24"/>
          <w:lang w:eastAsia="ru-RU"/>
        </w:rPr>
        <w:t xml:space="preserve">следует принимать не менее: </w:t>
      </w:r>
    </w:p>
    <w:p>
      <w:pPr>
        <w:pStyle w:val="ConsPlusNormal11"/>
        <w:numPr>
          <w:ilvl w:val="0"/>
          <w:numId w:val="3"/>
        </w:numPr>
        <w:suppressAutoHyphens w:val="false"/>
        <w:ind w:left="900" w:right="0" w:hanging="360"/>
        <w:jc w:val="both"/>
        <w:rPr>
          <w:rFonts w:cs="Arial"/>
          <w:sz w:val="24"/>
          <w:szCs w:val="24"/>
        </w:rPr>
      </w:pPr>
      <w:r>
        <w:rPr>
          <w:rFonts w:cs="Arial"/>
          <w:sz w:val="24"/>
          <w:szCs w:val="24"/>
        </w:rPr>
        <w:t>от усадебного одно-, двухквартирного и блокированного дома - 3 м;</w:t>
      </w:r>
    </w:p>
    <w:p>
      <w:pPr>
        <w:pStyle w:val="ConsPlusNormal11"/>
        <w:numPr>
          <w:ilvl w:val="0"/>
          <w:numId w:val="3"/>
        </w:numPr>
        <w:suppressAutoHyphens w:val="false"/>
        <w:ind w:left="900" w:right="0" w:hanging="360"/>
        <w:jc w:val="both"/>
        <w:rPr>
          <w:rFonts w:cs="Arial"/>
          <w:sz w:val="24"/>
          <w:szCs w:val="24"/>
        </w:rPr>
      </w:pPr>
      <w:r>
        <w:rPr>
          <w:rFonts w:cs="Arial"/>
          <w:sz w:val="24"/>
          <w:szCs w:val="24"/>
        </w:rPr>
        <w:t>в сложившейся застройке, при ширине земельного участка 12 метров и менее, для строительства жилого дома минимальный отступ от границы соседнего участка составляет не менее:</w:t>
      </w:r>
    </w:p>
    <w:p>
      <w:pPr>
        <w:pStyle w:val="ConsPlusNormal11"/>
        <w:ind w:left="0" w:right="0" w:firstLine="540"/>
        <w:jc w:val="both"/>
        <w:rPr>
          <w:rFonts w:cs="Arial"/>
          <w:sz w:val="24"/>
          <w:szCs w:val="24"/>
        </w:rPr>
      </w:pPr>
      <w:r>
        <w:rPr>
          <w:rFonts w:cs="Arial"/>
          <w:sz w:val="24"/>
          <w:szCs w:val="24"/>
        </w:rPr>
        <w:t>1,0 м - для одноэтажного жилого дома;</w:t>
      </w:r>
    </w:p>
    <w:p>
      <w:pPr>
        <w:pStyle w:val="ConsPlusNormal11"/>
        <w:ind w:left="0" w:right="0" w:firstLine="540"/>
        <w:jc w:val="both"/>
        <w:rPr>
          <w:rFonts w:cs="Arial"/>
          <w:sz w:val="24"/>
          <w:szCs w:val="24"/>
        </w:rPr>
      </w:pPr>
      <w:r>
        <w:rPr>
          <w:rFonts w:cs="Arial"/>
          <w:sz w:val="24"/>
          <w:szCs w:val="24"/>
        </w:rPr>
        <w:t>1,5 м - для двухэтажного жилого дома;</w:t>
      </w:r>
    </w:p>
    <w:p>
      <w:pPr>
        <w:pStyle w:val="ConsPlusNormal11"/>
        <w:ind w:left="0" w:right="0" w:firstLine="540"/>
        <w:jc w:val="both"/>
        <w:rPr>
          <w:rFonts w:cs="Arial"/>
          <w:sz w:val="24"/>
          <w:szCs w:val="24"/>
        </w:rPr>
      </w:pPr>
      <w:r>
        <w:rPr>
          <w:rFonts w:cs="Arial"/>
          <w:sz w:val="24"/>
          <w:szCs w:val="24"/>
        </w:rPr>
        <w:t>2,0 м - для трехэтажного жилого дома;</w:t>
      </w:r>
    </w:p>
    <w:p>
      <w:pPr>
        <w:pStyle w:val="ConsPlusNormal11"/>
        <w:numPr>
          <w:ilvl w:val="0"/>
          <w:numId w:val="3"/>
        </w:numPr>
        <w:suppressAutoHyphens w:val="false"/>
        <w:ind w:left="900" w:right="0" w:hanging="360"/>
        <w:jc w:val="both"/>
        <w:rPr>
          <w:rFonts w:cs="Arial"/>
          <w:sz w:val="24"/>
          <w:szCs w:val="24"/>
        </w:rPr>
      </w:pPr>
      <w:r>
        <w:rPr>
          <w:rFonts w:cs="Arial"/>
          <w:sz w:val="24"/>
          <w:szCs w:val="24"/>
        </w:rPr>
        <w:t>от постройки для содержания скота и птицы - 4 м;</w:t>
      </w:r>
    </w:p>
    <w:p>
      <w:pPr>
        <w:pStyle w:val="ConsPlusNormal11"/>
        <w:numPr>
          <w:ilvl w:val="0"/>
          <w:numId w:val="3"/>
        </w:numPr>
        <w:suppressAutoHyphens w:val="false"/>
        <w:ind w:left="900" w:right="0" w:hanging="360"/>
        <w:jc w:val="both"/>
        <w:rPr>
          <w:rFonts w:cs="Arial"/>
          <w:sz w:val="24"/>
          <w:szCs w:val="24"/>
        </w:rPr>
      </w:pPr>
      <w:r>
        <w:rPr>
          <w:rFonts w:cs="Arial"/>
          <w:sz w:val="24"/>
          <w:szCs w:val="24"/>
        </w:rPr>
        <w:t>от других построек (баня, гараж и другие) - 1 м;</w:t>
      </w:r>
    </w:p>
    <w:p>
      <w:pPr>
        <w:pStyle w:val="ConsPlusNormal11"/>
        <w:numPr>
          <w:ilvl w:val="0"/>
          <w:numId w:val="3"/>
        </w:numPr>
        <w:suppressAutoHyphens w:val="false"/>
        <w:ind w:left="900" w:right="0" w:hanging="360"/>
        <w:jc w:val="both"/>
        <w:rPr>
          <w:rFonts w:cs="Arial"/>
          <w:sz w:val="24"/>
          <w:szCs w:val="24"/>
        </w:rPr>
      </w:pPr>
      <w:r>
        <w:rPr>
          <w:rFonts w:cs="Arial"/>
          <w:sz w:val="24"/>
          <w:szCs w:val="24"/>
        </w:rPr>
        <w:t>от стволов высокорослых деревьев - 4 м;</w:t>
      </w:r>
    </w:p>
    <w:p>
      <w:pPr>
        <w:pStyle w:val="ConsPlusNormal11"/>
        <w:numPr>
          <w:ilvl w:val="0"/>
          <w:numId w:val="3"/>
        </w:numPr>
        <w:suppressAutoHyphens w:val="false"/>
        <w:ind w:left="900" w:right="0" w:hanging="360"/>
        <w:jc w:val="both"/>
        <w:rPr>
          <w:rFonts w:cs="Arial"/>
          <w:sz w:val="24"/>
          <w:szCs w:val="24"/>
        </w:rPr>
      </w:pPr>
      <w:r>
        <w:rPr>
          <w:rFonts w:cs="Arial"/>
          <w:sz w:val="24"/>
          <w:szCs w:val="24"/>
        </w:rPr>
        <w:t>от стволов среднерослых деревьев - 2 м;</w:t>
      </w:r>
    </w:p>
    <w:p>
      <w:pPr>
        <w:pStyle w:val="ConsPlusNormal11"/>
        <w:numPr>
          <w:ilvl w:val="0"/>
          <w:numId w:val="4"/>
        </w:numPr>
        <w:suppressAutoHyphens w:val="false"/>
        <w:ind w:left="900" w:right="0" w:hanging="360"/>
        <w:jc w:val="both"/>
        <w:rPr>
          <w:rFonts w:cs="Arial"/>
          <w:sz w:val="24"/>
          <w:szCs w:val="24"/>
        </w:rPr>
      </w:pPr>
      <w:r>
        <w:rPr>
          <w:rFonts w:cs="Arial"/>
          <w:sz w:val="24"/>
          <w:szCs w:val="24"/>
        </w:rPr>
        <w:t>от кустарника - 1 м;</w:t>
      </w:r>
    </w:p>
    <w:p>
      <w:pPr>
        <w:pStyle w:val="ConsPlusNormal11"/>
        <w:numPr>
          <w:ilvl w:val="0"/>
          <w:numId w:val="3"/>
        </w:numPr>
        <w:suppressAutoHyphens w:val="false"/>
        <w:ind w:left="900" w:right="0" w:hanging="360"/>
        <w:jc w:val="both"/>
        <w:rPr>
          <w:rFonts w:eastAsia="Times New Roman" w:cs="Arial"/>
          <w:sz w:val="24"/>
          <w:szCs w:val="24"/>
        </w:rPr>
      </w:pPr>
      <w:r>
        <w:rPr>
          <w:rFonts w:eastAsia="Times New Roman" w:cs="Arial"/>
          <w:sz w:val="24"/>
          <w:szCs w:val="24"/>
        </w:rPr>
        <w:t>при отсутствии централизованной канализации расстояние от туалета до стен соседнего дома необходимо принимать не менее 12 м, до источника водоснабжения (колодца) - не менее 25 м.</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3.3.9. Вспомогательные строения, хозяйственные постройки, за исключением гаражей, размещать со стороны улиц не допускается. Допускается блокировка жилых домов, а также хозяйственных построек на смежных приусадебных земельных участках по взаимному (удостоверенному) согласию домовладельцев с учетом противопожарных требований. Для вспомогательных строений, хозяйственных построек высота от уровня земли до верха скатной кровли должна быть не более 4,5 метра. В сельских населенных пунктах допускается увеличивать высоту хозяйственных построек, предназначенных для содержания скота, птицы и т.п., до 7 метров (до верха конька). Высота гаражей от уровня земли до кровли должна быть не более 4,5 метра, при этом не допускается слив дождевых и талых вод, а также лавинообразное падение снега на соседний земельный участок. В случае если хозяйственная постройка или объект капитального строительства расположены от границ соседнего участка на расстоянии менее 1 метра, владельцу данной постройки или объекта капитального строительства необходимо установить лоток ливневой канализации и снегозадержатели. При этом слив дождевых и талых вод должен быть организован на свой земельный участок. Со стороны главных улиц гараж не должен быть выдвинут за линию застройки, внешний вид гаража должен иметь приглядный вид (облицован "лицевым" кирпичом, сайдингом или иным материалом по согласованию с органами строительства и архитектуры и администрацией сельсовета.</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3.3.10. Расстояние от помещений и выгулов (вольеров, навесов, загонов) для содержания и разведения животных до окон жилых помещений и кухонь должно быть не менее указанных в таблице 3.4.</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r>
    </w:p>
    <w:p>
      <w:pPr>
        <w:pStyle w:val="Normal"/>
        <w:overflowPunct w:val="true"/>
        <w:spacing w:lineRule="auto" w:line="240" w:before="0" w:after="0"/>
        <w:ind w:left="7788" w:right="0" w:firstLine="708"/>
        <w:jc w:val="both"/>
        <w:rPr>
          <w:rFonts w:ascii="Arial" w:hAnsi="Arial" w:cs="Arial"/>
          <w:color w:val="000000"/>
          <w:sz w:val="24"/>
          <w:szCs w:val="24"/>
          <w:lang w:eastAsia="ru-RU"/>
        </w:rPr>
      </w:pPr>
      <w:r>
        <w:rPr>
          <w:rFonts w:cs="Arial" w:ascii="Arial" w:hAnsi="Arial"/>
          <w:color w:val="000000"/>
          <w:sz w:val="24"/>
          <w:szCs w:val="24"/>
          <w:lang w:eastAsia="ru-RU"/>
        </w:rPr>
        <w:t>таблица 3.4.</w:t>
      </w:r>
    </w:p>
    <w:p>
      <w:pPr>
        <w:pStyle w:val="ConsPlusNormal11"/>
        <w:ind w:left="540" w:right="0" w:hanging="0"/>
        <w:jc w:val="both"/>
        <w:rPr>
          <w:rFonts w:cs="Arial"/>
          <w:sz w:val="24"/>
          <w:szCs w:val="24"/>
        </w:rPr>
      </w:pPr>
      <w:r>
        <w:rPr>
          <w:rFonts w:cs="Arial"/>
          <w:sz w:val="24"/>
          <w:szCs w:val="24"/>
        </w:rPr>
      </w:r>
    </w:p>
    <w:tbl>
      <w:tblPr>
        <w:tblW w:w="9942" w:type="dxa"/>
        <w:jc w:val="left"/>
        <w:tblInd w:w="0" w:type="dxa"/>
        <w:tblBorders>
          <w:top w:val="single" w:sz="8" w:space="0" w:color="00000A"/>
          <w:left w:val="single" w:sz="8" w:space="0" w:color="00000A"/>
        </w:tblBorders>
        <w:tblCellMar>
          <w:top w:w="0" w:type="dxa"/>
          <w:left w:w="30" w:type="dxa"/>
          <w:bottom w:w="0" w:type="dxa"/>
          <w:right w:w="40" w:type="dxa"/>
        </w:tblCellMar>
      </w:tblPr>
      <w:tblGrid>
        <w:gridCol w:w="1417"/>
        <w:gridCol w:w="988"/>
        <w:gridCol w:w="1074"/>
        <w:gridCol w:w="1073"/>
        <w:gridCol w:w="1074"/>
        <w:gridCol w:w="1074"/>
        <w:gridCol w:w="1073"/>
        <w:gridCol w:w="1074"/>
        <w:gridCol w:w="1095"/>
      </w:tblGrid>
      <w:tr>
        <w:trPr>
          <w:trHeight w:val="118" w:hRule="atLeast"/>
          <w:cantSplit w:val="true"/>
        </w:trPr>
        <w:tc>
          <w:tcPr>
            <w:tcW w:w="1417" w:type="dxa"/>
            <w:vMerge w:val="restart"/>
            <w:tcBorders>
              <w:top w:val="single" w:sz="8" w:space="0" w:color="00000A"/>
              <w:left w:val="single" w:sz="8" w:space="0" w:color="00000A"/>
            </w:tcBorders>
            <w:shd w:fill="EEECE1"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Нормативный разрыв</w:t>
            </w:r>
          </w:p>
        </w:tc>
        <w:tc>
          <w:tcPr>
            <w:tcW w:w="8525" w:type="dxa"/>
            <w:gridSpan w:val="8"/>
            <w:tcBorders>
              <w:top w:val="single" w:sz="8" w:space="0" w:color="00000A"/>
              <w:left w:val="single" w:sz="8" w:space="0" w:color="00000A"/>
              <w:bottom w:val="single" w:sz="8" w:space="0" w:color="00000A"/>
              <w:right w:val="single" w:sz="8" w:space="0" w:color="00000A"/>
              <w:insideH w:val="single" w:sz="8" w:space="0" w:color="00000A"/>
              <w:insideV w:val="single" w:sz="8" w:space="0" w:color="00000A"/>
            </w:tcBorders>
            <w:shd w:fill="EEECE1"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Поголовье (шт. не более)</w:t>
            </w:r>
          </w:p>
        </w:tc>
      </w:tr>
      <w:tr>
        <w:trPr>
          <w:trHeight w:val="348" w:hRule="atLeast"/>
          <w:cantSplit w:val="true"/>
        </w:trPr>
        <w:tc>
          <w:tcPr>
            <w:tcW w:w="1417" w:type="dxa"/>
            <w:vMerge w:val="continue"/>
            <w:tcBorders>
              <w:top w:val="single" w:sz="8" w:space="0" w:color="00000A"/>
              <w:left w:val="single" w:sz="8" w:space="0" w:color="00000A"/>
            </w:tcBorders>
            <w:shd w:fill="EEECE1" w:val="clear"/>
            <w:tcMar>
              <w:left w:w="30" w:type="dxa"/>
            </w:tcMar>
            <w:textDirection w:val="btLr"/>
          </w:tcPr>
          <w:p>
            <w:pPr>
              <w:pStyle w:val="Normal"/>
              <w:widowControl w:val="false"/>
              <w:tabs>
                <w:tab w:val="left" w:pos="240" w:leader="none"/>
                <w:tab w:val="left" w:pos="560" w:leader="none"/>
              </w:tabs>
              <w:suppressAutoHyphens w:val="true"/>
              <w:snapToGrid w:val="false"/>
              <w:spacing w:lineRule="auto" w:line="240" w:before="0" w:after="0"/>
              <w:ind w:left="113" w:right="113" w:hanging="0"/>
              <w:jc w:val="center"/>
              <w:rPr>
                <w:rFonts w:ascii="Arial" w:hAnsi="Arial" w:cs="Arial"/>
                <w:kern w:val="2"/>
                <w:sz w:val="24"/>
                <w:szCs w:val="24"/>
                <w:lang w:eastAsia="ar-SA"/>
              </w:rPr>
            </w:pPr>
            <w:r>
              <w:rPr>
                <w:rFonts w:cs="Arial" w:ascii="Arial" w:hAnsi="Arial"/>
                <w:kern w:val="2"/>
                <w:sz w:val="24"/>
                <w:szCs w:val="24"/>
                <w:lang w:eastAsia="ar-SA"/>
              </w:rPr>
            </w:r>
          </w:p>
        </w:tc>
        <w:tc>
          <w:tcPr>
            <w:tcW w:w="988" w:type="dxa"/>
            <w:tcBorders>
              <w:left w:val="single" w:sz="8" w:space="0" w:color="00000A"/>
              <w:bottom w:val="single" w:sz="8" w:space="0" w:color="00000A"/>
              <w:insideH w:val="single" w:sz="8" w:space="0" w:color="00000A"/>
            </w:tcBorders>
            <w:shd w:fill="EEECE1"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Свиньи</w:t>
            </w:r>
          </w:p>
        </w:tc>
        <w:tc>
          <w:tcPr>
            <w:tcW w:w="1074" w:type="dxa"/>
            <w:tcBorders>
              <w:top w:val="single" w:sz="8" w:space="0" w:color="00000A"/>
              <w:left w:val="single" w:sz="8" w:space="0" w:color="00000A"/>
              <w:bottom w:val="single" w:sz="8" w:space="0" w:color="00000A"/>
              <w:insideH w:val="single" w:sz="8" w:space="0" w:color="00000A"/>
            </w:tcBorders>
            <w:shd w:fill="EEECE1"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КРС</w:t>
            </w:r>
          </w:p>
        </w:tc>
        <w:tc>
          <w:tcPr>
            <w:tcW w:w="1073" w:type="dxa"/>
            <w:tcBorders>
              <w:top w:val="single" w:sz="8" w:space="0" w:color="00000A"/>
              <w:left w:val="single" w:sz="8" w:space="0" w:color="00000A"/>
              <w:bottom w:val="single" w:sz="8" w:space="0" w:color="00000A"/>
              <w:insideH w:val="single" w:sz="8" w:space="0" w:color="00000A"/>
            </w:tcBorders>
            <w:shd w:fill="EEECE1"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Овцы, козы</w:t>
            </w:r>
          </w:p>
        </w:tc>
        <w:tc>
          <w:tcPr>
            <w:tcW w:w="1074" w:type="dxa"/>
            <w:tcBorders>
              <w:top w:val="single" w:sz="8" w:space="0" w:color="00000A"/>
              <w:left w:val="single" w:sz="8" w:space="0" w:color="00000A"/>
              <w:bottom w:val="single" w:sz="8" w:space="0" w:color="00000A"/>
              <w:insideH w:val="single" w:sz="8" w:space="0" w:color="00000A"/>
            </w:tcBorders>
            <w:shd w:fill="EEECE1"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Кролики</w:t>
            </w:r>
          </w:p>
        </w:tc>
        <w:tc>
          <w:tcPr>
            <w:tcW w:w="1074" w:type="dxa"/>
            <w:tcBorders>
              <w:top w:val="single" w:sz="8" w:space="0" w:color="00000A"/>
              <w:left w:val="single" w:sz="8" w:space="0" w:color="00000A"/>
              <w:bottom w:val="single" w:sz="8" w:space="0" w:color="00000A"/>
              <w:insideH w:val="single" w:sz="8" w:space="0" w:color="00000A"/>
            </w:tcBorders>
            <w:shd w:fill="EEECE1"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Пчелы*</w:t>
            </w:r>
          </w:p>
        </w:tc>
        <w:tc>
          <w:tcPr>
            <w:tcW w:w="1073" w:type="dxa"/>
            <w:tcBorders>
              <w:top w:val="single" w:sz="8" w:space="0" w:color="00000A"/>
              <w:left w:val="single" w:sz="8" w:space="0" w:color="00000A"/>
              <w:bottom w:val="single" w:sz="8" w:space="0" w:color="00000A"/>
              <w:insideH w:val="single" w:sz="8" w:space="0" w:color="00000A"/>
            </w:tcBorders>
            <w:shd w:fill="EEECE1"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Птица</w:t>
            </w:r>
          </w:p>
        </w:tc>
        <w:tc>
          <w:tcPr>
            <w:tcW w:w="1074" w:type="dxa"/>
            <w:tcBorders>
              <w:top w:val="single" w:sz="8" w:space="0" w:color="00000A"/>
              <w:left w:val="single" w:sz="8" w:space="0" w:color="00000A"/>
              <w:bottom w:val="single" w:sz="8" w:space="0" w:color="00000A"/>
              <w:insideH w:val="single" w:sz="8" w:space="0" w:color="00000A"/>
            </w:tcBorders>
            <w:shd w:fill="EEECE1"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Лошади</w:t>
            </w:r>
          </w:p>
        </w:tc>
        <w:tc>
          <w:tcPr>
            <w:tcW w:w="1095" w:type="dxa"/>
            <w:tcBorders>
              <w:top w:val="single" w:sz="8" w:space="0" w:color="00000A"/>
              <w:left w:val="single" w:sz="8" w:space="0" w:color="00000A"/>
              <w:bottom w:val="single" w:sz="8" w:space="0" w:color="00000A"/>
              <w:right w:val="single" w:sz="8" w:space="0" w:color="00000A"/>
              <w:insideH w:val="single" w:sz="8" w:space="0" w:color="00000A"/>
              <w:insideV w:val="single" w:sz="8" w:space="0" w:color="00000A"/>
            </w:tcBorders>
            <w:shd w:fill="EEECE1"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Нутрии, песцы</w:t>
            </w:r>
          </w:p>
        </w:tc>
      </w:tr>
      <w:tr>
        <w:trPr>
          <w:trHeight w:val="60" w:hRule="atLeast"/>
          <w:cantSplit w:val="true"/>
        </w:trPr>
        <w:tc>
          <w:tcPr>
            <w:tcW w:w="1417"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10 м</w:t>
            </w:r>
          </w:p>
        </w:tc>
        <w:tc>
          <w:tcPr>
            <w:tcW w:w="988"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5</w:t>
            </w:r>
          </w:p>
        </w:tc>
        <w:tc>
          <w:tcPr>
            <w:tcW w:w="1074"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5</w:t>
            </w:r>
          </w:p>
        </w:tc>
        <w:tc>
          <w:tcPr>
            <w:tcW w:w="1073"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10</w:t>
            </w:r>
          </w:p>
        </w:tc>
        <w:tc>
          <w:tcPr>
            <w:tcW w:w="1074"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10</w:t>
            </w:r>
          </w:p>
        </w:tc>
        <w:tc>
          <w:tcPr>
            <w:tcW w:w="1074" w:type="dxa"/>
            <w:vMerge w:val="restart"/>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Не менее 10 м</w:t>
            </w:r>
          </w:p>
        </w:tc>
        <w:tc>
          <w:tcPr>
            <w:tcW w:w="1073"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30</w:t>
            </w:r>
          </w:p>
        </w:tc>
        <w:tc>
          <w:tcPr>
            <w:tcW w:w="1074"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5</w:t>
            </w:r>
          </w:p>
        </w:tc>
        <w:tc>
          <w:tcPr>
            <w:tcW w:w="1095" w:type="dxa"/>
            <w:tcBorders>
              <w:left w:val="single" w:sz="8" w:space="0" w:color="00000A"/>
              <w:bottom w:val="single" w:sz="8" w:space="0" w:color="00000A"/>
              <w:right w:val="single" w:sz="8" w:space="0" w:color="00000A"/>
              <w:insideH w:val="single" w:sz="8" w:space="0" w:color="00000A"/>
              <w:insideV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5</w:t>
            </w:r>
          </w:p>
        </w:tc>
      </w:tr>
      <w:tr>
        <w:trPr>
          <w:trHeight w:val="60" w:hRule="atLeast"/>
          <w:cantSplit w:val="true"/>
        </w:trPr>
        <w:tc>
          <w:tcPr>
            <w:tcW w:w="1417"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20 м</w:t>
            </w:r>
          </w:p>
        </w:tc>
        <w:tc>
          <w:tcPr>
            <w:tcW w:w="988"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8</w:t>
            </w:r>
          </w:p>
        </w:tc>
        <w:tc>
          <w:tcPr>
            <w:tcW w:w="1074"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8</w:t>
            </w:r>
          </w:p>
        </w:tc>
        <w:tc>
          <w:tcPr>
            <w:tcW w:w="1073"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15</w:t>
            </w:r>
          </w:p>
        </w:tc>
        <w:tc>
          <w:tcPr>
            <w:tcW w:w="1074"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20</w:t>
            </w:r>
          </w:p>
        </w:tc>
        <w:tc>
          <w:tcPr>
            <w:tcW w:w="1074" w:type="dxa"/>
            <w:vMerge w:val="continue"/>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napToGrid w:val="fals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r>
          </w:p>
        </w:tc>
        <w:tc>
          <w:tcPr>
            <w:tcW w:w="1073"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45</w:t>
            </w:r>
          </w:p>
        </w:tc>
        <w:tc>
          <w:tcPr>
            <w:tcW w:w="1074"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8</w:t>
            </w:r>
          </w:p>
        </w:tc>
        <w:tc>
          <w:tcPr>
            <w:tcW w:w="1095" w:type="dxa"/>
            <w:tcBorders>
              <w:left w:val="single" w:sz="8" w:space="0" w:color="00000A"/>
              <w:bottom w:val="single" w:sz="8" w:space="0" w:color="00000A"/>
              <w:right w:val="single" w:sz="8" w:space="0" w:color="00000A"/>
              <w:insideH w:val="single" w:sz="8" w:space="0" w:color="00000A"/>
              <w:insideV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8</w:t>
            </w:r>
          </w:p>
        </w:tc>
      </w:tr>
      <w:tr>
        <w:trPr>
          <w:trHeight w:val="67" w:hRule="atLeast"/>
          <w:cantSplit w:val="true"/>
        </w:trPr>
        <w:tc>
          <w:tcPr>
            <w:tcW w:w="1417"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30 м</w:t>
            </w:r>
          </w:p>
        </w:tc>
        <w:tc>
          <w:tcPr>
            <w:tcW w:w="988"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10</w:t>
            </w:r>
          </w:p>
        </w:tc>
        <w:tc>
          <w:tcPr>
            <w:tcW w:w="1074"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10</w:t>
            </w:r>
          </w:p>
        </w:tc>
        <w:tc>
          <w:tcPr>
            <w:tcW w:w="1073"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20</w:t>
            </w:r>
          </w:p>
        </w:tc>
        <w:tc>
          <w:tcPr>
            <w:tcW w:w="1074"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30</w:t>
            </w:r>
          </w:p>
        </w:tc>
        <w:tc>
          <w:tcPr>
            <w:tcW w:w="1074" w:type="dxa"/>
            <w:vMerge w:val="continue"/>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napToGrid w:val="fals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r>
          </w:p>
        </w:tc>
        <w:tc>
          <w:tcPr>
            <w:tcW w:w="1073"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60</w:t>
            </w:r>
          </w:p>
        </w:tc>
        <w:tc>
          <w:tcPr>
            <w:tcW w:w="1074"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10</w:t>
            </w:r>
          </w:p>
        </w:tc>
        <w:tc>
          <w:tcPr>
            <w:tcW w:w="1095" w:type="dxa"/>
            <w:tcBorders>
              <w:left w:val="single" w:sz="8" w:space="0" w:color="00000A"/>
              <w:bottom w:val="single" w:sz="8" w:space="0" w:color="00000A"/>
              <w:right w:val="single" w:sz="8" w:space="0" w:color="00000A"/>
              <w:insideH w:val="single" w:sz="8" w:space="0" w:color="00000A"/>
              <w:insideV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10</w:t>
            </w:r>
          </w:p>
        </w:tc>
      </w:tr>
      <w:tr>
        <w:trPr>
          <w:trHeight w:val="266" w:hRule="atLeast"/>
          <w:cantSplit w:val="true"/>
        </w:trPr>
        <w:tc>
          <w:tcPr>
            <w:tcW w:w="1417" w:type="dxa"/>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40 м</w:t>
            </w:r>
          </w:p>
        </w:tc>
        <w:tc>
          <w:tcPr>
            <w:tcW w:w="988"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15</w:t>
            </w:r>
          </w:p>
        </w:tc>
        <w:tc>
          <w:tcPr>
            <w:tcW w:w="1074"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15</w:t>
            </w:r>
          </w:p>
        </w:tc>
        <w:tc>
          <w:tcPr>
            <w:tcW w:w="1073"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25</w:t>
            </w:r>
          </w:p>
        </w:tc>
        <w:tc>
          <w:tcPr>
            <w:tcW w:w="1074"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40</w:t>
            </w:r>
          </w:p>
        </w:tc>
        <w:tc>
          <w:tcPr>
            <w:tcW w:w="1074" w:type="dxa"/>
            <w:vMerge w:val="continue"/>
            <w:tcBorders>
              <w:left w:val="single" w:sz="8" w:space="0" w:color="00000A"/>
              <w:bottom w:val="single" w:sz="8" w:space="0" w:color="00000A"/>
              <w:insideH w:val="single" w:sz="8" w:space="0" w:color="00000A"/>
            </w:tcBorders>
            <w:shd w:fill="auto" w:val="clear"/>
            <w:tcMar>
              <w:left w:w="30" w:type="dxa"/>
            </w:tcMar>
          </w:tcPr>
          <w:p>
            <w:pPr>
              <w:pStyle w:val="Normal"/>
              <w:widowControl w:val="false"/>
              <w:tabs>
                <w:tab w:val="left" w:pos="240" w:leader="none"/>
                <w:tab w:val="left" w:pos="560" w:leader="none"/>
              </w:tabs>
              <w:suppressAutoHyphens w:val="true"/>
              <w:snapToGrid w:val="fals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r>
          </w:p>
        </w:tc>
        <w:tc>
          <w:tcPr>
            <w:tcW w:w="1073"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75</w:t>
            </w:r>
          </w:p>
        </w:tc>
        <w:tc>
          <w:tcPr>
            <w:tcW w:w="1074" w:type="dxa"/>
            <w:tcBorders>
              <w:left w:val="single" w:sz="8" w:space="0" w:color="00000A"/>
              <w:bottom w:val="single" w:sz="8" w:space="0" w:color="00000A"/>
              <w:insideH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15</w:t>
            </w:r>
          </w:p>
        </w:tc>
        <w:tc>
          <w:tcPr>
            <w:tcW w:w="1095" w:type="dxa"/>
            <w:tcBorders>
              <w:left w:val="single" w:sz="8" w:space="0" w:color="00000A"/>
              <w:bottom w:val="single" w:sz="8" w:space="0" w:color="00000A"/>
              <w:right w:val="single" w:sz="8" w:space="0" w:color="00000A"/>
              <w:insideH w:val="single" w:sz="8" w:space="0" w:color="00000A"/>
              <w:insideV w:val="single" w:sz="8" w:space="0" w:color="00000A"/>
            </w:tcBorders>
            <w:shd w:fill="auto" w:val="clear"/>
            <w:tcMar>
              <w:left w:w="30" w:type="dxa"/>
            </w:tcMar>
            <w:vAlign w:val="bottom"/>
          </w:tcPr>
          <w:p>
            <w:pPr>
              <w:pStyle w:val="Normal"/>
              <w:widowControl w:val="false"/>
              <w:tabs>
                <w:tab w:val="left" w:pos="240" w:leader="none"/>
                <w:tab w:val="left" w:pos="560" w:leader="none"/>
              </w:tabs>
              <w:suppressAutoHyphens w:val="true"/>
              <w:spacing w:lineRule="auto" w:line="240" w:before="0" w:after="0"/>
              <w:jc w:val="center"/>
              <w:rPr>
                <w:rFonts w:ascii="Arial" w:hAnsi="Arial" w:cs="Arial"/>
                <w:kern w:val="2"/>
                <w:sz w:val="24"/>
                <w:szCs w:val="24"/>
                <w:lang w:eastAsia="ar-SA"/>
              </w:rPr>
            </w:pPr>
            <w:r>
              <w:rPr>
                <w:rFonts w:cs="Arial" w:ascii="Arial" w:hAnsi="Arial"/>
                <w:kern w:val="2"/>
                <w:sz w:val="24"/>
                <w:szCs w:val="24"/>
                <w:lang w:eastAsia="ar-SA"/>
              </w:rPr>
              <w:t>15</w:t>
            </w:r>
          </w:p>
        </w:tc>
      </w:tr>
    </w:tbl>
    <w:p>
      <w:pPr>
        <w:pStyle w:val="ConsPlusNormal11"/>
        <w:tabs>
          <w:tab w:val="left" w:pos="1276" w:leader="none"/>
        </w:tabs>
        <w:suppressAutoHyphens w:val="false"/>
        <w:ind w:left="566" w:right="0" w:hanging="0"/>
        <w:jc w:val="both"/>
        <w:rPr>
          <w:rFonts w:cs="Arial"/>
          <w:sz w:val="24"/>
          <w:szCs w:val="24"/>
        </w:rPr>
      </w:pPr>
      <w:r>
        <w:rPr>
          <w:rFonts w:cs="Arial"/>
          <w:sz w:val="24"/>
          <w:szCs w:val="24"/>
        </w:rPr>
        <w:t>*Количество пчелиных семей не должно превышать одной пчелиной семьи на 100 кв.м. земельного участка и отделяются от соседних участков по периметру сплошным забором, высотой не менее двух метров, либо они должны быть отделены от соседних землевладений зданием, строением или густым кустарником, а летки должны быть направлены к середине участка пчеловода.</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Разведение и содержание домашних животных и птиц сверх максимального предельного количества голов, указанного в таблице, разрешается только на территории зон сельскохозяйственного использования для сельскохозяйственного производства с установлением санитарно-защитных зон от территории жилых зон в зависимости от количества животных и птиц. Высота помещений хозяйственных построек для содержания скота и птицы должна быть не менее 2,4 м.</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 xml:space="preserve">Допускается пристройка помещений для содержания скота и птицы к жилому дому при условии изоляции их от жилых комнат не менее чем тремя подсобными помещениями; помещения для скота и птицы должны иметь изолированный наружный вход, расположенный не ближе 7 м от входа в дом. </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Минимальное расстояние от сараев для содержания птиц и скота до шахтных колодцев 20 м.</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Общая площадь застройки сблокированных сараев для содержания скота и птицы не должна превышать 800 кв.м.</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3.3.11. Изменение общего рельефа приусадебного участка, осуществляемое путем выемки или насыпи, ведущее к изменению существующей водоотводной (дренажной) системы, к заболачиванию (переувлажнению) смежных участков или нарушению иных законных прав их владельцев, не допускается. При необходимости изменения рельефа должны быть выполнены мероприятия по недопущению возможных негативных последствий.</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3.3.12. Высоту и конструкции ограждения земельных участков индивидуальных жилых домов принимать с учетом соблюдения эстетических требований и по согласованию с отделом архитектуры администрации Шарангского муниципального района. Максимально допустимая высота ограждения - 1,8 м. По главному фасаду дома со стороны улиц характер ограждения и его высота должны быть единообразными как минимум на протяжении одного квартала с обеих сторон улицы. Допускается устройство функционально оправданных участков сплошного ограждения (в местах интенсивного движения транспорта, размещения мусорных площадок, септиков и др.).</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По границе с соседним земельным участком ограждения должны быть проветриваемые на высоту не менее 0,15 м от уровня земли и высотой не более 1,8 м. Ограждения должны быть сетчатыми либо решетчатыми. Высота ограждений и их тип должны быть такими, чтобы не нарушались нормы инсоляции для жилых помещений. По взаимному согласию (удостоверенному) смежных землепользователей допускается устройство сплошных ограждений, а также в виде живых изгородей из кустарника.</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 xml:space="preserve">При общей толщине конструкции ограждения до 100 мм допускается устанавливать ограждение по центру межевой границы участка, при большей толщине конструкции - смещать в сторону участка инициатора ограждения. В обязанности застройщика входит строительство и поддержание в надлежащем состоянии ограждений по всему периметру земельного участка. </w:t>
      </w:r>
    </w:p>
    <w:p>
      <w:pPr>
        <w:pStyle w:val="Normal"/>
        <w:overflowPunct w:val="true"/>
        <w:spacing w:lineRule="auto" w:line="240" w:before="0" w:after="0"/>
        <w:ind w:left="0" w:right="0" w:firstLine="567"/>
        <w:jc w:val="both"/>
        <w:rPr>
          <w:rFonts w:ascii="Arial" w:hAnsi="Arial" w:cs="Arial"/>
          <w:color w:val="000000"/>
          <w:sz w:val="24"/>
          <w:szCs w:val="24"/>
          <w:lang w:eastAsia="ru-RU"/>
        </w:rPr>
      </w:pPr>
      <w:r>
        <w:rPr>
          <w:rFonts w:cs="Arial" w:ascii="Arial" w:hAnsi="Arial"/>
          <w:color w:val="000000"/>
          <w:sz w:val="24"/>
          <w:szCs w:val="24"/>
          <w:lang w:eastAsia="ru-RU"/>
        </w:rPr>
        <w:t>На придомовой территории многоквартирных жилых домов допускается устройство палисадников, при этом высота ограждения должна быть не более 1 метра, тип ограждения - сетчатый либо решетчатый. Не допускается устройство сплошного ограждения</w:t>
      </w:r>
    </w:p>
    <w:p>
      <w:pPr>
        <w:pStyle w:val="ConsPlusNormal1"/>
        <w:ind w:left="0" w:right="0" w:firstLine="567"/>
        <w:rPr>
          <w:rFonts w:cs="Arial"/>
          <w:color w:val="000000"/>
          <w:sz w:val="24"/>
          <w:szCs w:val="24"/>
        </w:rPr>
      </w:pPr>
      <w:r>
        <w:rPr>
          <w:rFonts w:cs="Arial"/>
          <w:color w:val="000000"/>
          <w:sz w:val="24"/>
          <w:szCs w:val="24"/>
        </w:rPr>
        <w:t>3.3.10. Предельно допустимые размеры приусадебных (приквартирных) земельных участков, предоставляемых в поселении на строительство индивидуального дома или одной квартиры, устанавливаются органом местного самоуправления.</w:t>
      </w:r>
    </w:p>
    <w:p>
      <w:pPr>
        <w:pStyle w:val="ConsPlusNormal11"/>
        <w:ind w:left="0" w:right="0" w:firstLine="567"/>
        <w:jc w:val="both"/>
        <w:rPr>
          <w:rFonts w:eastAsia="Calibri" w:cs="Arial"/>
          <w:b/>
          <w:b/>
          <w:color w:val="000000"/>
          <w:sz w:val="24"/>
          <w:szCs w:val="24"/>
          <w:lang w:eastAsia="ar-SA"/>
        </w:rPr>
      </w:pPr>
      <w:r>
        <w:rPr>
          <w:rFonts w:eastAsia="Calibri" w:cs="Arial"/>
          <w:b/>
          <w:color w:val="000000"/>
          <w:sz w:val="24"/>
          <w:szCs w:val="24"/>
          <w:lang w:eastAsia="ar-SA"/>
        </w:rPr>
      </w:r>
    </w:p>
    <w:p>
      <w:pPr>
        <w:pStyle w:val="ConsPlusNormal11"/>
        <w:ind w:left="0" w:right="0" w:firstLine="567"/>
        <w:jc w:val="both"/>
        <w:rPr/>
      </w:pPr>
      <w:bookmarkStart w:id="6" w:name="__RefHeading___Toc494193902"/>
      <w:r>
        <w:rPr>
          <w:rStyle w:val="55555"/>
          <w:rFonts w:eastAsia="Calibri" w:cs="Arial"/>
        </w:rPr>
        <w:t>Предельные размеры земельных участков для индивидуального жилищного строительства и для ведения личного подсобного хозяйства</w:t>
      </w:r>
      <w:bookmarkEnd w:id="6"/>
      <w:r>
        <w:rPr>
          <w:rFonts w:eastAsia="Calibri" w:cs="Arial"/>
          <w:b/>
          <w:i/>
          <w:color w:val="000000"/>
          <w:sz w:val="24"/>
          <w:szCs w:val="24"/>
          <w:lang w:eastAsia="ar-SA"/>
        </w:rPr>
        <w:t xml:space="preserve"> принимаются в соответствии с таблицей 3.5. </w:t>
      </w:r>
    </w:p>
    <w:p>
      <w:pPr>
        <w:pStyle w:val="ConsPlusNormal11"/>
        <w:ind w:left="8496" w:right="0" w:hanging="0"/>
        <w:jc w:val="both"/>
        <w:rPr>
          <w:rFonts w:eastAsia="Calibri" w:cs="Arial"/>
          <w:color w:val="000000"/>
          <w:sz w:val="24"/>
          <w:szCs w:val="24"/>
          <w:lang w:eastAsia="ar-SA"/>
        </w:rPr>
      </w:pPr>
      <w:r>
        <w:rPr>
          <w:rFonts w:eastAsia="Calibri" w:cs="Arial"/>
          <w:color w:val="000000"/>
          <w:sz w:val="24"/>
          <w:szCs w:val="24"/>
          <w:lang w:eastAsia="ar-SA"/>
        </w:rPr>
        <w:t xml:space="preserve">Таблица 3.5. </w:t>
      </w:r>
    </w:p>
    <w:tbl>
      <w:tblPr>
        <w:tblW w:w="10431" w:type="dxa"/>
        <w:jc w:val="left"/>
        <w:tblInd w:w="0" w:type="dxa"/>
        <w:tblBorders>
          <w:top w:val="single" w:sz="4" w:space="0" w:color="00000A"/>
          <w:left w:val="single" w:sz="4" w:space="0" w:color="00000A"/>
          <w:bottom w:val="single" w:sz="4" w:space="0" w:color="00000A"/>
          <w:insideH w:val="single" w:sz="4" w:space="0" w:color="00000A"/>
        </w:tblBorders>
        <w:tblCellMar>
          <w:top w:w="0" w:type="dxa"/>
          <w:left w:w="108" w:type="dxa"/>
          <w:bottom w:w="0" w:type="dxa"/>
          <w:right w:w="108" w:type="dxa"/>
        </w:tblCellMar>
      </w:tblPr>
      <w:tblGrid>
        <w:gridCol w:w="5542"/>
        <w:gridCol w:w="2818"/>
        <w:gridCol w:w="2071"/>
      </w:tblGrid>
      <w:tr>
        <w:trPr>
          <w:trHeight w:val="362" w:hRule="atLeast"/>
        </w:trPr>
        <w:tc>
          <w:tcPr>
            <w:tcW w:w="5542" w:type="dxa"/>
            <w:vMerge w:val="restart"/>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11"/>
              <w:ind w:left="0" w:right="37" w:hanging="0"/>
              <w:jc w:val="center"/>
              <w:rPr>
                <w:rFonts w:eastAsia="Calibri" w:cs="Arial"/>
                <w:b/>
                <w:b/>
                <w:color w:val="000000"/>
                <w:sz w:val="24"/>
                <w:szCs w:val="24"/>
                <w:lang w:eastAsia="ar-SA"/>
              </w:rPr>
            </w:pPr>
            <w:r>
              <w:rPr>
                <w:rFonts w:eastAsia="Calibri" w:cs="Arial"/>
                <w:b/>
                <w:color w:val="000000"/>
                <w:sz w:val="24"/>
                <w:szCs w:val="24"/>
                <w:lang w:eastAsia="ar-SA"/>
              </w:rPr>
              <w:t>Цель предоставления</w:t>
            </w:r>
          </w:p>
        </w:tc>
        <w:tc>
          <w:tcPr>
            <w:tcW w:w="4889"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8" w:type="dxa"/>
            </w:tcMar>
          </w:tcPr>
          <w:p>
            <w:pPr>
              <w:pStyle w:val="ConsPlusNormal11"/>
              <w:ind w:left="0" w:right="37" w:hanging="0"/>
              <w:jc w:val="center"/>
              <w:rPr>
                <w:rFonts w:eastAsia="Calibri" w:cs="Arial"/>
                <w:b/>
                <w:b/>
                <w:color w:val="000000"/>
                <w:sz w:val="24"/>
                <w:szCs w:val="24"/>
                <w:lang w:eastAsia="ar-SA"/>
              </w:rPr>
            </w:pPr>
            <w:r>
              <w:rPr>
                <w:rFonts w:eastAsia="Calibri" w:cs="Arial"/>
                <w:b/>
                <w:color w:val="000000"/>
                <w:sz w:val="24"/>
                <w:szCs w:val="24"/>
                <w:lang w:eastAsia="ar-SA"/>
              </w:rPr>
              <w:t>Размеры земельных участков, га</w:t>
            </w:r>
          </w:p>
        </w:tc>
      </w:tr>
      <w:tr>
        <w:trPr>
          <w:trHeight w:val="218" w:hRule="atLeast"/>
        </w:trPr>
        <w:tc>
          <w:tcPr>
            <w:tcW w:w="5542" w:type="dxa"/>
            <w:vMerge w:val="continue"/>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11"/>
              <w:snapToGrid w:val="false"/>
              <w:ind w:left="0" w:right="37" w:hanging="0"/>
              <w:jc w:val="center"/>
              <w:rPr>
                <w:rFonts w:eastAsia="Calibri" w:cs="Arial"/>
                <w:b/>
                <w:b/>
                <w:color w:val="000000"/>
                <w:sz w:val="24"/>
                <w:szCs w:val="24"/>
                <w:lang w:eastAsia="ar-SA"/>
              </w:rPr>
            </w:pPr>
            <w:r>
              <w:rPr>
                <w:rFonts w:eastAsia="Calibri" w:cs="Arial"/>
                <w:b/>
                <w:color w:val="000000"/>
                <w:sz w:val="24"/>
                <w:szCs w:val="24"/>
                <w:lang w:eastAsia="ar-SA"/>
              </w:rPr>
            </w:r>
          </w:p>
        </w:tc>
        <w:tc>
          <w:tcPr>
            <w:tcW w:w="2818"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11"/>
              <w:ind w:left="0" w:right="37" w:hanging="0"/>
              <w:jc w:val="center"/>
              <w:rPr>
                <w:rFonts w:eastAsia="Calibri" w:cs="Arial"/>
                <w:b/>
                <w:b/>
                <w:color w:val="000000"/>
                <w:sz w:val="24"/>
                <w:szCs w:val="24"/>
                <w:lang w:eastAsia="ar-SA"/>
              </w:rPr>
            </w:pPr>
            <w:r>
              <w:rPr>
                <w:rFonts w:eastAsia="Calibri" w:cs="Arial"/>
                <w:b/>
                <w:color w:val="000000"/>
                <w:sz w:val="24"/>
                <w:szCs w:val="24"/>
                <w:lang w:eastAsia="ar-SA"/>
              </w:rPr>
              <w:t>минимальные</w:t>
            </w:r>
          </w:p>
        </w:tc>
        <w:tc>
          <w:tcPr>
            <w:tcW w:w="20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8" w:type="dxa"/>
            </w:tcMar>
          </w:tcPr>
          <w:p>
            <w:pPr>
              <w:pStyle w:val="ConsPlusNormal11"/>
              <w:ind w:left="0" w:right="37" w:hanging="0"/>
              <w:jc w:val="center"/>
              <w:rPr>
                <w:rFonts w:eastAsia="Calibri" w:cs="Arial"/>
                <w:b/>
                <w:b/>
                <w:color w:val="000000"/>
                <w:sz w:val="24"/>
                <w:szCs w:val="24"/>
                <w:lang w:eastAsia="ar-SA"/>
              </w:rPr>
            </w:pPr>
            <w:r>
              <w:rPr>
                <w:rFonts w:eastAsia="Calibri" w:cs="Arial"/>
                <w:b/>
                <w:color w:val="000000"/>
                <w:sz w:val="24"/>
                <w:szCs w:val="24"/>
                <w:lang w:eastAsia="ar-SA"/>
              </w:rPr>
              <w:t>максимальные</w:t>
            </w:r>
          </w:p>
        </w:tc>
      </w:tr>
      <w:tr>
        <w:trPr>
          <w:trHeight w:val="218" w:hRule="atLeast"/>
        </w:trPr>
        <w:tc>
          <w:tcPr>
            <w:tcW w:w="5542"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11"/>
              <w:ind w:left="0" w:right="37" w:hanging="0"/>
              <w:jc w:val="center"/>
              <w:rPr>
                <w:rFonts w:eastAsia="Calibri" w:cs="Arial"/>
                <w:color w:val="000000"/>
                <w:sz w:val="24"/>
                <w:szCs w:val="24"/>
                <w:lang w:eastAsia="ar-SA"/>
              </w:rPr>
            </w:pPr>
            <w:r>
              <w:rPr>
                <w:rFonts w:eastAsia="Calibri" w:cs="Arial"/>
                <w:color w:val="000000"/>
                <w:sz w:val="24"/>
                <w:szCs w:val="24"/>
                <w:lang w:eastAsia="ar-SA"/>
              </w:rPr>
              <w:t>для индивидуального жилищного строительства</w:t>
            </w:r>
          </w:p>
        </w:tc>
        <w:tc>
          <w:tcPr>
            <w:tcW w:w="2818"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11"/>
              <w:ind w:left="0" w:right="37" w:hanging="0"/>
              <w:jc w:val="center"/>
              <w:rPr>
                <w:rFonts w:eastAsia="Calibri" w:cs="Arial"/>
                <w:color w:val="000000"/>
                <w:sz w:val="24"/>
                <w:szCs w:val="24"/>
                <w:lang w:eastAsia="ar-SA"/>
              </w:rPr>
            </w:pPr>
            <w:r>
              <w:rPr>
                <w:rFonts w:eastAsia="Calibri" w:cs="Arial"/>
                <w:color w:val="000000"/>
                <w:sz w:val="24"/>
                <w:szCs w:val="24"/>
                <w:lang w:eastAsia="ar-SA"/>
              </w:rPr>
              <w:t>0,05</w:t>
            </w:r>
          </w:p>
        </w:tc>
        <w:tc>
          <w:tcPr>
            <w:tcW w:w="20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11"/>
              <w:ind w:left="0" w:right="37" w:hanging="0"/>
              <w:jc w:val="center"/>
              <w:rPr>
                <w:rFonts w:eastAsia="Calibri" w:cs="Arial"/>
                <w:color w:val="000000"/>
                <w:sz w:val="24"/>
                <w:szCs w:val="24"/>
                <w:lang w:eastAsia="ar-SA"/>
              </w:rPr>
            </w:pPr>
            <w:r>
              <w:rPr>
                <w:rFonts w:eastAsia="Calibri" w:cs="Arial"/>
                <w:color w:val="000000"/>
                <w:sz w:val="24"/>
                <w:szCs w:val="24"/>
                <w:lang w:eastAsia="ar-SA"/>
              </w:rPr>
              <w:t>0,25</w:t>
            </w:r>
          </w:p>
        </w:tc>
      </w:tr>
      <w:tr>
        <w:trPr>
          <w:trHeight w:val="218" w:hRule="atLeast"/>
        </w:trPr>
        <w:tc>
          <w:tcPr>
            <w:tcW w:w="5542"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11"/>
              <w:ind w:left="0" w:right="37" w:hanging="0"/>
              <w:jc w:val="center"/>
              <w:rPr>
                <w:rFonts w:eastAsia="Calibri" w:cs="Arial"/>
                <w:color w:val="000000"/>
                <w:sz w:val="24"/>
                <w:szCs w:val="24"/>
                <w:lang w:eastAsia="ar-SA"/>
              </w:rPr>
            </w:pPr>
            <w:r>
              <w:rPr>
                <w:rFonts w:eastAsia="Calibri" w:cs="Arial"/>
                <w:color w:val="000000"/>
                <w:sz w:val="24"/>
                <w:szCs w:val="24"/>
                <w:lang w:eastAsia="ar-SA"/>
              </w:rPr>
              <w:t>для ведения личного подсобного хозяйства</w:t>
            </w:r>
          </w:p>
        </w:tc>
        <w:tc>
          <w:tcPr>
            <w:tcW w:w="2818"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11"/>
              <w:ind w:left="0" w:right="37" w:hanging="0"/>
              <w:jc w:val="center"/>
              <w:rPr>
                <w:rFonts w:eastAsia="Calibri" w:cs="Arial"/>
                <w:color w:val="000000"/>
                <w:sz w:val="24"/>
                <w:szCs w:val="24"/>
                <w:lang w:eastAsia="ar-SA"/>
              </w:rPr>
            </w:pPr>
            <w:r>
              <w:rPr>
                <w:rFonts w:eastAsia="Calibri" w:cs="Arial"/>
                <w:color w:val="000000"/>
                <w:sz w:val="24"/>
                <w:szCs w:val="24"/>
                <w:lang w:eastAsia="ar-SA"/>
              </w:rPr>
              <w:t>0,05</w:t>
            </w:r>
          </w:p>
        </w:tc>
        <w:tc>
          <w:tcPr>
            <w:tcW w:w="20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11"/>
              <w:ind w:left="0" w:right="37" w:hanging="0"/>
              <w:jc w:val="center"/>
              <w:rPr>
                <w:rFonts w:eastAsia="Calibri" w:cs="Arial"/>
                <w:color w:val="000000"/>
                <w:sz w:val="24"/>
                <w:szCs w:val="24"/>
                <w:lang w:eastAsia="ar-SA"/>
              </w:rPr>
            </w:pPr>
            <w:r>
              <w:rPr>
                <w:rFonts w:eastAsia="Calibri" w:cs="Arial"/>
                <w:color w:val="000000"/>
                <w:sz w:val="24"/>
                <w:szCs w:val="24"/>
                <w:lang w:eastAsia="ar-SA"/>
              </w:rPr>
              <w:t>0,5</w:t>
            </w:r>
          </w:p>
        </w:tc>
      </w:tr>
    </w:tbl>
    <w:p>
      <w:pPr>
        <w:pStyle w:val="Normal"/>
        <w:spacing w:lineRule="auto" w:line="240" w:before="0" w:after="0"/>
        <w:rPr>
          <w:rFonts w:ascii="Arial" w:hAnsi="Arial" w:cs="Arial"/>
          <w:sz w:val="24"/>
          <w:szCs w:val="24"/>
          <w:lang w:eastAsia="ru-RU"/>
        </w:rPr>
      </w:pPr>
      <w:r>
        <w:rPr>
          <w:rFonts w:cs="Arial" w:ascii="Arial" w:hAnsi="Arial"/>
          <w:sz w:val="24"/>
          <w:szCs w:val="24"/>
          <w:lang w:eastAsia="ru-RU"/>
        </w:rPr>
      </w:r>
    </w:p>
    <w:p>
      <w:pPr>
        <w:pStyle w:val="ConsPlusNormal1"/>
        <w:ind w:left="0" w:right="0" w:firstLine="567"/>
        <w:rPr>
          <w:rFonts w:cs="Arial"/>
          <w:color w:val="000000"/>
          <w:sz w:val="24"/>
          <w:szCs w:val="24"/>
        </w:rPr>
      </w:pPr>
      <w:r>
        <w:rPr>
          <w:rFonts w:cs="Arial"/>
          <w:color w:val="000000"/>
          <w:sz w:val="24"/>
          <w:szCs w:val="24"/>
        </w:rPr>
        <w:t>Границы и размеры территории участков при многоквартирных жилых домах, находящихся в общей долевой собственности членов товарищества собственников жилых помещений в многоквартирных домах, определяются документацией по планировке территории микрорайона (квартала) с учетом законодательства Российской Федерации.</w:t>
      </w:r>
    </w:p>
    <w:p>
      <w:pPr>
        <w:pStyle w:val="NoSpacing"/>
        <w:ind w:left="0" w:right="0" w:firstLine="567"/>
        <w:jc w:val="both"/>
        <w:rPr/>
      </w:pPr>
      <w:bookmarkStart w:id="7" w:name="__RefHeading___Toc494193903"/>
      <w:r>
        <w:rPr>
          <w:rStyle w:val="55555"/>
          <w:rFonts w:eastAsia="Calibri" w:cs="Arial" w:ascii="Arial" w:hAnsi="Arial"/>
        </w:rPr>
        <w:t>Рекомендуемые нормативы площадей участков для многоквартирных домов с количеством этажей до четырех</w:t>
      </w:r>
      <w:bookmarkEnd w:id="7"/>
      <w:r>
        <w:rPr>
          <w:rStyle w:val="55"/>
          <w:rFonts w:cs="Arial" w:ascii="Arial" w:hAnsi="Arial"/>
        </w:rPr>
        <w:t xml:space="preserve"> </w:t>
      </w:r>
      <w:r>
        <w:rPr>
          <w:rFonts w:cs="Arial" w:ascii="Arial" w:hAnsi="Arial"/>
          <w:sz w:val="24"/>
          <w:szCs w:val="24"/>
        </w:rPr>
        <w:t>приведены в таблице 3.6.</w:t>
      </w:r>
    </w:p>
    <w:p>
      <w:pPr>
        <w:pStyle w:val="NoSpacing"/>
        <w:jc w:val="right"/>
        <w:rPr>
          <w:rFonts w:ascii="Arial" w:hAnsi="Arial" w:cs="Arial"/>
          <w:sz w:val="24"/>
          <w:szCs w:val="24"/>
        </w:rPr>
      </w:pPr>
      <w:r>
        <w:rPr>
          <w:rFonts w:cs="Arial" w:ascii="Arial" w:hAnsi="Arial"/>
          <w:sz w:val="24"/>
          <w:szCs w:val="24"/>
        </w:rPr>
        <w:t>Таблица 3.6.</w:t>
      </w:r>
    </w:p>
    <w:tbl>
      <w:tblPr>
        <w:tblW w:w="9664" w:type="dxa"/>
        <w:jc w:val="left"/>
        <w:tblInd w:w="50" w:type="dxa"/>
        <w:tblBorders>
          <w:top w:val="single" w:sz="4" w:space="0" w:color="00000A"/>
          <w:left w:val="single" w:sz="4" w:space="0" w:color="00000A"/>
          <w:bottom w:val="single" w:sz="4" w:space="0" w:color="00000A"/>
          <w:insideH w:val="single" w:sz="4" w:space="0" w:color="00000A"/>
        </w:tblBorders>
        <w:tblCellMar>
          <w:top w:w="55" w:type="dxa"/>
          <w:left w:w="55" w:type="dxa"/>
          <w:bottom w:w="55" w:type="dxa"/>
          <w:right w:w="55" w:type="dxa"/>
        </w:tblCellMar>
      </w:tblPr>
      <w:tblGrid>
        <w:gridCol w:w="5244"/>
        <w:gridCol w:w="4420"/>
      </w:tblGrid>
      <w:tr>
        <w:trPr/>
        <w:tc>
          <w:tcPr>
            <w:tcW w:w="5244"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Normal"/>
              <w:widowControl w:val="false"/>
              <w:suppressAutoHyphens w:val="true"/>
              <w:spacing w:lineRule="auto" w:line="240" w:before="0" w:after="0"/>
              <w:ind w:left="0" w:right="0" w:firstLine="720"/>
              <w:jc w:val="center"/>
              <w:rPr>
                <w:rFonts w:ascii="Arial" w:hAnsi="Arial" w:cs="Arial"/>
                <w:b/>
                <w:b/>
                <w:sz w:val="24"/>
                <w:szCs w:val="24"/>
                <w:lang w:eastAsia="ar-SA"/>
              </w:rPr>
            </w:pPr>
            <w:r>
              <w:rPr>
                <w:rFonts w:cs="Arial" w:ascii="Arial" w:hAnsi="Arial"/>
                <w:b/>
                <w:sz w:val="24"/>
                <w:szCs w:val="24"/>
                <w:lang w:eastAsia="ar-SA"/>
              </w:rPr>
              <w:t>Вид использования</w:t>
            </w:r>
          </w:p>
        </w:tc>
        <w:tc>
          <w:tcPr>
            <w:tcW w:w="44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Normal"/>
              <w:snapToGrid w:val="false"/>
              <w:spacing w:lineRule="auto" w:line="240" w:before="0" w:after="0"/>
              <w:ind w:left="60" w:right="0" w:hanging="0"/>
              <w:jc w:val="both"/>
              <w:rPr>
                <w:rFonts w:ascii="Arial" w:hAnsi="Arial" w:cs="Arial"/>
                <w:b/>
                <w:b/>
                <w:color w:val="000000"/>
                <w:sz w:val="24"/>
                <w:szCs w:val="24"/>
                <w:lang w:eastAsia="ru-RU"/>
              </w:rPr>
            </w:pPr>
            <w:r>
              <w:rPr>
                <w:rFonts w:cs="Arial" w:ascii="Arial" w:hAnsi="Arial"/>
                <w:b/>
                <w:color w:val="000000"/>
                <w:sz w:val="24"/>
                <w:szCs w:val="24"/>
                <w:lang w:eastAsia="ru-RU"/>
              </w:rPr>
              <w:t>Рекомендуемые минимальные размеры земельных участков, кв.м.</w:t>
            </w:r>
          </w:p>
        </w:tc>
      </w:tr>
      <w:tr>
        <w:trPr/>
        <w:tc>
          <w:tcPr>
            <w:tcW w:w="5244"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ind w:left="60" w:right="0" w:hanging="0"/>
              <w:jc w:val="both"/>
              <w:rPr>
                <w:rFonts w:ascii="Arial" w:hAnsi="Arial" w:cs="Arial"/>
                <w:color w:val="000000"/>
                <w:sz w:val="24"/>
                <w:szCs w:val="24"/>
                <w:lang w:eastAsia="ru-RU"/>
              </w:rPr>
            </w:pPr>
            <w:r>
              <w:rPr>
                <w:rFonts w:cs="Arial" w:ascii="Arial" w:hAnsi="Arial"/>
                <w:color w:val="000000"/>
                <w:sz w:val="24"/>
                <w:szCs w:val="24"/>
                <w:lang w:eastAsia="ru-RU"/>
              </w:rPr>
              <w:t>При одно-, двухквартирных одно-, двухэтажных домах в застройке усадебного типа или при реконструкции существующей индивидуальной усадебной застройки</w:t>
            </w:r>
          </w:p>
        </w:tc>
        <w:tc>
          <w:tcPr>
            <w:tcW w:w="44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Normal"/>
              <w:widowControl w:val="false"/>
              <w:suppressAutoHyphens w:val="true"/>
              <w:spacing w:lineRule="auto" w:line="240" w:before="0" w:after="0"/>
              <w:ind w:left="0" w:right="0" w:firstLine="720"/>
              <w:jc w:val="center"/>
              <w:rPr>
                <w:rFonts w:ascii="Arial" w:hAnsi="Arial" w:cs="Arial"/>
                <w:sz w:val="24"/>
                <w:szCs w:val="24"/>
                <w:lang w:eastAsia="ar-SA"/>
              </w:rPr>
            </w:pPr>
            <w:r>
              <w:rPr>
                <w:rFonts w:cs="Arial" w:ascii="Arial" w:hAnsi="Arial"/>
                <w:sz w:val="24"/>
                <w:szCs w:val="24"/>
                <w:lang w:eastAsia="ar-SA"/>
              </w:rPr>
              <w:t>400- 600 - и более (включая площадь застройки)</w:t>
            </w:r>
          </w:p>
        </w:tc>
      </w:tr>
      <w:tr>
        <w:trPr/>
        <w:tc>
          <w:tcPr>
            <w:tcW w:w="5244"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ind w:left="60" w:right="0" w:hanging="0"/>
              <w:jc w:val="both"/>
              <w:rPr>
                <w:rFonts w:ascii="Arial" w:hAnsi="Arial" w:cs="Arial"/>
                <w:color w:val="000000"/>
                <w:sz w:val="24"/>
                <w:szCs w:val="24"/>
                <w:lang w:eastAsia="ru-RU"/>
              </w:rPr>
            </w:pPr>
            <w:r>
              <w:rPr>
                <w:rFonts w:cs="Arial" w:ascii="Arial" w:hAnsi="Arial"/>
                <w:color w:val="000000"/>
                <w:sz w:val="24"/>
                <w:szCs w:val="24"/>
                <w:lang w:eastAsia="ru-RU"/>
              </w:rPr>
              <w:t>При одно-, двух - или четырехквартирных домах одно-, двухэтажных домах коттеджного типа при размещении новой и реконструкции существующей малоэтажной застройки</w:t>
            </w:r>
          </w:p>
        </w:tc>
        <w:tc>
          <w:tcPr>
            <w:tcW w:w="44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Normal"/>
              <w:widowControl w:val="false"/>
              <w:suppressAutoHyphens w:val="true"/>
              <w:spacing w:lineRule="auto" w:line="240" w:before="0" w:after="0"/>
              <w:ind w:left="0" w:right="0" w:firstLine="720"/>
              <w:jc w:val="center"/>
              <w:rPr>
                <w:rFonts w:ascii="Arial" w:hAnsi="Arial" w:cs="Arial"/>
                <w:sz w:val="24"/>
                <w:szCs w:val="24"/>
                <w:lang w:eastAsia="ar-SA"/>
              </w:rPr>
            </w:pPr>
            <w:r>
              <w:rPr>
                <w:rFonts w:cs="Arial" w:ascii="Arial" w:hAnsi="Arial"/>
                <w:sz w:val="24"/>
                <w:szCs w:val="24"/>
                <w:lang w:eastAsia="ar-SA"/>
              </w:rPr>
              <w:t>200- 400 – и более (включая площадь застройки)</w:t>
            </w:r>
          </w:p>
        </w:tc>
      </w:tr>
      <w:tr>
        <w:trPr/>
        <w:tc>
          <w:tcPr>
            <w:tcW w:w="5244"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ind w:left="60" w:right="0" w:hanging="0"/>
              <w:jc w:val="both"/>
              <w:rPr>
                <w:rFonts w:ascii="Arial" w:hAnsi="Arial" w:cs="Arial"/>
                <w:color w:val="000000"/>
                <w:sz w:val="24"/>
                <w:szCs w:val="24"/>
                <w:lang w:eastAsia="ru-RU"/>
              </w:rPr>
            </w:pPr>
            <w:r>
              <w:rPr>
                <w:rFonts w:cs="Arial" w:ascii="Arial" w:hAnsi="Arial"/>
                <w:color w:val="000000"/>
                <w:sz w:val="24"/>
                <w:szCs w:val="24"/>
                <w:lang w:eastAsia="ru-RU"/>
              </w:rPr>
              <w:t>При многоквартирных одно-, двух-, трехэтажных домах в застройке блокированного типа на новых периферийных территориях малых городских населённых пунктов, крупных, больших и средних сельских населённых пунктов, в условиях реконструкции существующей индивидуальной усадебной застройки городских и сельских населённых пунктов любой величины</w:t>
            </w:r>
          </w:p>
        </w:tc>
        <w:tc>
          <w:tcPr>
            <w:tcW w:w="44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Normal"/>
              <w:widowControl w:val="false"/>
              <w:suppressAutoHyphens w:val="true"/>
              <w:spacing w:lineRule="auto" w:line="240" w:before="0" w:after="0"/>
              <w:ind w:left="0" w:right="0" w:firstLine="720"/>
              <w:jc w:val="center"/>
              <w:rPr>
                <w:rFonts w:ascii="Arial" w:hAnsi="Arial" w:cs="Arial"/>
                <w:sz w:val="24"/>
                <w:szCs w:val="24"/>
                <w:lang w:eastAsia="ar-SA"/>
              </w:rPr>
            </w:pPr>
            <w:r>
              <w:rPr>
                <w:rFonts w:cs="Arial" w:ascii="Arial" w:hAnsi="Arial"/>
                <w:sz w:val="24"/>
                <w:szCs w:val="24"/>
                <w:lang w:eastAsia="ar-SA"/>
              </w:rPr>
              <w:t>60 - 100 кв. м (без площади застройки)</w:t>
            </w:r>
          </w:p>
        </w:tc>
      </w:tr>
      <w:tr>
        <w:trPr/>
        <w:tc>
          <w:tcPr>
            <w:tcW w:w="5244"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ind w:left="60" w:right="0" w:hanging="0"/>
              <w:jc w:val="both"/>
              <w:rPr>
                <w:rFonts w:ascii="Arial" w:hAnsi="Arial" w:cs="Arial"/>
                <w:color w:val="000000"/>
                <w:sz w:val="24"/>
                <w:szCs w:val="24"/>
                <w:lang w:eastAsia="ru-RU"/>
              </w:rPr>
            </w:pPr>
            <w:r>
              <w:rPr>
                <w:rFonts w:cs="Arial" w:ascii="Arial" w:hAnsi="Arial"/>
                <w:color w:val="000000"/>
                <w:sz w:val="24"/>
                <w:szCs w:val="24"/>
                <w:lang w:eastAsia="ru-RU"/>
              </w:rPr>
              <w:t>При многоквартирных одно-, двух-, трехэтажных блокированных домах или 2-, 3-, 4-этажных домах сложной объемно-пространственной структуры (в том числе только для квартир первых этажей) при применении плотной малоэтажной застройки и в условиях реконструкции</w:t>
            </w:r>
          </w:p>
        </w:tc>
        <w:tc>
          <w:tcPr>
            <w:tcW w:w="44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Normal"/>
              <w:widowControl w:val="false"/>
              <w:suppressAutoHyphens w:val="true"/>
              <w:spacing w:lineRule="auto" w:line="240" w:before="0" w:after="0"/>
              <w:ind w:left="0" w:right="0" w:firstLine="720"/>
              <w:jc w:val="center"/>
              <w:rPr>
                <w:rFonts w:ascii="Arial" w:hAnsi="Arial" w:cs="Arial"/>
                <w:sz w:val="24"/>
                <w:szCs w:val="24"/>
                <w:lang w:eastAsia="ar-SA"/>
              </w:rPr>
            </w:pPr>
            <w:r>
              <w:rPr>
                <w:rFonts w:cs="Arial" w:ascii="Arial" w:hAnsi="Arial"/>
                <w:sz w:val="24"/>
                <w:szCs w:val="24"/>
                <w:lang w:eastAsia="ar-SA"/>
              </w:rPr>
              <w:t>30 - 60 кв. м (без площади застройки)</w:t>
            </w:r>
          </w:p>
        </w:tc>
      </w:tr>
    </w:tbl>
    <w:p>
      <w:pPr>
        <w:pStyle w:val="NoSpacing"/>
        <w:ind w:left="0" w:right="0" w:firstLine="568"/>
        <w:jc w:val="both"/>
        <w:rPr>
          <w:rFonts w:ascii="Arial" w:hAnsi="Arial" w:cs="Arial"/>
          <w:sz w:val="24"/>
          <w:szCs w:val="24"/>
        </w:rPr>
      </w:pPr>
      <w:r>
        <w:rPr>
          <w:rFonts w:cs="Arial" w:ascii="Arial" w:hAnsi="Arial"/>
          <w:sz w:val="24"/>
          <w:szCs w:val="24"/>
        </w:rPr>
        <w:t>3.3.11. Объемы реконструируемого или подлежащего сносу жилищного фонда следует определять в установленном порядке с учетом его экономической и исторической ценности, технического состояния, максимального сохранения жилищного фонда, пригодного для проживания, и сложившейся исторической среды.</w:t>
      </w:r>
    </w:p>
    <w:p>
      <w:pPr>
        <w:pStyle w:val="NoSpacing"/>
        <w:ind w:left="0" w:right="0" w:firstLine="568"/>
        <w:jc w:val="both"/>
        <w:rPr>
          <w:rFonts w:ascii="Arial" w:hAnsi="Arial" w:cs="Arial"/>
          <w:sz w:val="24"/>
          <w:szCs w:val="24"/>
        </w:rPr>
      </w:pPr>
      <w:r>
        <w:rPr>
          <w:rFonts w:cs="Arial" w:ascii="Arial" w:hAnsi="Arial"/>
          <w:sz w:val="24"/>
          <w:szCs w:val="24"/>
        </w:rPr>
        <w:t>3.3.12. Подготовка проекта планировки застроенной территории, включая проект межевания, осуществляется в соответствии с требованиями Градостроительного кодекса Российской Федерации, градостроительного регламента и местных нормативов.</w:t>
      </w:r>
    </w:p>
    <w:p>
      <w:pPr>
        <w:pStyle w:val="NoSpacing"/>
        <w:ind w:left="0" w:right="0" w:firstLine="568"/>
        <w:jc w:val="both"/>
        <w:rPr>
          <w:rFonts w:ascii="Arial" w:hAnsi="Arial" w:cs="Arial"/>
          <w:sz w:val="24"/>
          <w:szCs w:val="24"/>
        </w:rPr>
      </w:pPr>
      <w:r>
        <w:rPr>
          <w:rFonts w:cs="Arial" w:ascii="Arial" w:hAnsi="Arial"/>
          <w:sz w:val="24"/>
          <w:szCs w:val="24"/>
        </w:rPr>
        <w:t>При подготовке проекта планировки застроенной территории следует предусматривать строительство и (или) реконструкцию объектов инженерной, социальной и коммунально-бытовой инфраструктур, упорядочение планировочной структуры и сети улиц, озеленение и благоустройство территории, максимальное сохранение своеобразия архитектурного облика жилых и общественных зданий, их модернизацию и капитальный ремонт, реставрацию и приспособление под современное использование памятников истории и культуры.</w:t>
      </w:r>
    </w:p>
    <w:p>
      <w:pPr>
        <w:pStyle w:val="NoSpacing"/>
        <w:ind w:left="0" w:right="0" w:firstLine="708"/>
        <w:jc w:val="both"/>
        <w:rPr/>
      </w:pPr>
      <w:r>
        <w:rPr>
          <w:rFonts w:cs="Arial" w:ascii="Arial" w:hAnsi="Arial"/>
          <w:i/>
          <w:sz w:val="24"/>
          <w:szCs w:val="24"/>
        </w:rPr>
        <w:t xml:space="preserve">3.4. </w:t>
      </w:r>
      <w:r>
        <w:rPr>
          <w:rStyle w:val="55555"/>
          <w:rFonts w:eastAsia="Calibri" w:cs="Arial" w:ascii="Arial" w:hAnsi="Arial"/>
        </w:rPr>
        <w:t>Расчетные показатели максимального уровня территориальной доступности объектов жилых зон</w:t>
      </w:r>
      <w:r>
        <w:rPr>
          <w:rFonts w:cs="Arial" w:ascii="Arial" w:hAnsi="Arial"/>
          <w:i/>
          <w:sz w:val="24"/>
          <w:szCs w:val="24"/>
        </w:rPr>
        <w:t xml:space="preserve"> не устанавливаются</w:t>
      </w:r>
      <w:r>
        <w:rPr>
          <w:rFonts w:cs="Arial" w:ascii="Arial" w:hAnsi="Arial"/>
          <w:sz w:val="24"/>
          <w:szCs w:val="24"/>
        </w:rPr>
        <w:t>.</w:t>
      </w:r>
    </w:p>
    <w:p>
      <w:pPr>
        <w:pStyle w:val="NoSpacing"/>
        <w:jc w:val="both"/>
        <w:rPr>
          <w:rFonts w:ascii="Arial" w:hAnsi="Arial" w:cs="Arial"/>
          <w:sz w:val="24"/>
          <w:szCs w:val="24"/>
        </w:rPr>
      </w:pPr>
      <w:r>
        <w:rPr>
          <w:rFonts w:cs="Arial" w:ascii="Arial" w:hAnsi="Arial"/>
          <w:sz w:val="24"/>
          <w:szCs w:val="24"/>
        </w:rPr>
      </w:r>
    </w:p>
    <w:p>
      <w:pPr>
        <w:pStyle w:val="Style117"/>
        <w:rPr>
          <w:rFonts w:ascii="Arial" w:hAnsi="Arial" w:cs="Arial"/>
        </w:rPr>
      </w:pPr>
      <w:bookmarkStart w:id="8" w:name="__RefHeading___Toc494193904"/>
      <w:bookmarkEnd w:id="8"/>
      <w:r>
        <w:rPr>
          <w:rFonts w:cs="Arial" w:ascii="Arial" w:hAnsi="Arial"/>
        </w:rPr>
        <w:t>4. Расчетные показатели общественно-деловой застройки</w:t>
      </w:r>
    </w:p>
    <w:p>
      <w:pPr>
        <w:pStyle w:val="NoSpacing"/>
        <w:ind w:left="0" w:right="0" w:firstLine="708"/>
        <w:jc w:val="both"/>
        <w:rPr>
          <w:rFonts w:ascii="Arial" w:hAnsi="Arial" w:cs="Arial"/>
          <w:sz w:val="24"/>
          <w:szCs w:val="24"/>
        </w:rPr>
      </w:pPr>
      <w:r>
        <w:rPr>
          <w:rFonts w:cs="Arial" w:ascii="Arial" w:hAnsi="Arial"/>
          <w:sz w:val="24"/>
          <w:szCs w:val="24"/>
        </w:rPr>
      </w:r>
    </w:p>
    <w:p>
      <w:pPr>
        <w:pStyle w:val="NoSpacing"/>
        <w:ind w:left="0" w:right="0" w:firstLine="708"/>
        <w:jc w:val="both"/>
        <w:rPr>
          <w:rFonts w:ascii="Arial" w:hAnsi="Arial" w:cs="Arial"/>
          <w:i/>
          <w:i/>
          <w:sz w:val="24"/>
          <w:szCs w:val="24"/>
        </w:rPr>
      </w:pPr>
      <w:r>
        <w:rPr>
          <w:rFonts w:cs="Arial" w:ascii="Arial" w:hAnsi="Arial"/>
          <w:i/>
          <w:sz w:val="24"/>
          <w:szCs w:val="24"/>
        </w:rPr>
        <w:t>4.1. Параметры зон общественно-деловой застройки.</w:t>
      </w:r>
    </w:p>
    <w:p>
      <w:pPr>
        <w:pStyle w:val="ConsPlusNormal1"/>
        <w:ind w:left="0" w:right="0" w:firstLine="567"/>
        <w:rPr>
          <w:rFonts w:cs="Arial"/>
          <w:color w:val="000000"/>
          <w:sz w:val="24"/>
          <w:szCs w:val="24"/>
        </w:rPr>
      </w:pPr>
      <w:r>
        <w:rPr>
          <w:rFonts w:cs="Arial"/>
          <w:color w:val="000000"/>
          <w:sz w:val="24"/>
          <w:szCs w:val="24"/>
        </w:rPr>
        <w:t>4.1.1. Общественно-деловые зоны предназначены для размещения объектов культуры, торговли, общественного питания, бытового обслуживания, здравоохранения, коммерческой деятельности, административных и научно-исследовательских учреждений, учреждений профессионального образования, культовых сооружений и других объектов, обеспечивающих деловую, финансовую и общественную активность жизни населенного пункта.</w:t>
      </w:r>
    </w:p>
    <w:p>
      <w:pPr>
        <w:pStyle w:val="ConsPlusNormal1"/>
        <w:ind w:left="0" w:right="0" w:firstLine="567"/>
        <w:rPr>
          <w:rFonts w:cs="Arial"/>
          <w:color w:val="000000"/>
          <w:sz w:val="24"/>
          <w:szCs w:val="24"/>
        </w:rPr>
      </w:pPr>
      <w:r>
        <w:rPr>
          <w:rFonts w:cs="Arial"/>
          <w:color w:val="000000"/>
          <w:sz w:val="24"/>
          <w:szCs w:val="24"/>
        </w:rPr>
        <w:t>4.1.2. Общественно-деловые зоны следует формировать преимущественно в центральных частях населенных пунктов, на территориях, прилегающих к магистральным улицам, общественно-транспортным узлам, промышленным предприятиям и другим объектам массового посещения.</w:t>
      </w:r>
    </w:p>
    <w:p>
      <w:pPr>
        <w:pStyle w:val="Normal"/>
        <w:spacing w:lineRule="auto" w:line="240" w:before="0" w:after="0"/>
        <w:ind w:left="0" w:right="0" w:firstLine="709"/>
        <w:jc w:val="both"/>
        <w:rPr/>
      </w:pPr>
      <w:r>
        <w:rPr>
          <w:rFonts w:cs="Arial" w:ascii="Arial" w:hAnsi="Arial"/>
          <w:color w:val="000000"/>
          <w:sz w:val="24"/>
          <w:szCs w:val="24"/>
        </w:rPr>
        <w:t xml:space="preserve">4.1.3. </w:t>
      </w:r>
      <w:r>
        <w:rPr>
          <w:rFonts w:cs="Arial" w:ascii="Arial" w:hAnsi="Arial"/>
          <w:sz w:val="24"/>
          <w:szCs w:val="24"/>
        </w:rPr>
        <w:t>При размещении общественно-деловых зон следует учитывать особенности их функционирования, потребность в территории, необходимость устройства автостоянок большой вместимости, создание развитой транспортной и инженерной инфраструктур, а также степень воздействия на окружающую среду и прилегающую застройку.</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4.1.4. При реконструкции сложившейся на территории зоны застройки следует предусматривать мероприятия по устранению вредного влияния производственных предприятий на окружающую среду (изменение технологии с переходом на безвредные процессы, уменьшение мощности, перепрофилирование предприятия или отдельного производства или его перебазирование в производственную зону).</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4.1.5. В общественно-деловых зонах допускается размещать: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w:t>
        <w:tab/>
        <w:t xml:space="preserve">производственные предприятия, осуществляющие обслуживание населения, площадью не более 200 кв. м, встроенные или занимающие часть здания без производственной территории, экологически безопасные;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w:t>
        <w:tab/>
        <w:t xml:space="preserve">предприятия индустрии развлечений при отсутствии установленных ограничений на их размещение.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4.1.5. Конкретный перечень объектов, разрешенных для размещения в общественно-деловой зоне, определяется Правилами землепользования и застройки муниципального образования.</w:t>
      </w:r>
    </w:p>
    <w:p>
      <w:pPr>
        <w:pStyle w:val="NoSpacing"/>
        <w:ind w:left="0" w:right="0" w:firstLine="708"/>
        <w:jc w:val="both"/>
        <w:rPr>
          <w:rFonts w:ascii="Arial" w:hAnsi="Arial" w:cs="Arial"/>
          <w:i/>
          <w:i/>
          <w:sz w:val="24"/>
          <w:szCs w:val="24"/>
        </w:rPr>
      </w:pPr>
      <w:r>
        <w:rPr>
          <w:rFonts w:cs="Arial" w:ascii="Arial" w:hAnsi="Arial"/>
          <w:i/>
          <w:sz w:val="24"/>
          <w:szCs w:val="24"/>
        </w:rPr>
        <w:t>4.2. Градостроительные характеристики общественно-деловой зоны.</w:t>
      </w:r>
    </w:p>
    <w:p>
      <w:pPr>
        <w:pStyle w:val="NoSpacing"/>
        <w:ind w:left="0" w:right="0" w:firstLine="708"/>
        <w:jc w:val="both"/>
        <w:rPr>
          <w:rFonts w:ascii="Arial" w:hAnsi="Arial" w:cs="Arial"/>
          <w:sz w:val="24"/>
          <w:szCs w:val="24"/>
        </w:rPr>
      </w:pPr>
      <w:r>
        <w:rPr>
          <w:rFonts w:cs="Arial" w:ascii="Arial" w:hAnsi="Arial"/>
          <w:sz w:val="24"/>
          <w:szCs w:val="24"/>
        </w:rPr>
        <w:t>4.2.1. Здания в общественно-деловой зоне следует размещать с отступом от красных линий. Размещение зданий по красной линии допускается в условиях реконструкции сложившейся застройки при соответствующем обосновании и согласовании с уполномоченными органами местного самоуправления.</w:t>
      </w:r>
    </w:p>
    <w:p>
      <w:pPr>
        <w:pStyle w:val="NoSpacing"/>
        <w:ind w:left="0" w:right="0" w:firstLine="708"/>
        <w:jc w:val="both"/>
        <w:rPr>
          <w:rFonts w:ascii="Arial" w:hAnsi="Arial" w:cs="Arial"/>
          <w:sz w:val="24"/>
          <w:szCs w:val="24"/>
        </w:rPr>
      </w:pPr>
      <w:r>
        <w:rPr>
          <w:rFonts w:cs="Arial" w:ascii="Arial" w:hAnsi="Arial"/>
          <w:sz w:val="24"/>
          <w:szCs w:val="24"/>
        </w:rPr>
        <w:t>4.2.2. Общественное пространство общественно-деловой зоны формируется на основе: единой пешеходной зоны, обеспечивающей взаимосвязанность объектов центра, непрерывности пешеходных коммуникаций на всех уровнях комплекса, удобства подхода к остановкам транспорта и озелененным рекреационным площадкам.</w:t>
      </w:r>
    </w:p>
    <w:p>
      <w:pPr>
        <w:pStyle w:val="NoSpacing"/>
        <w:ind w:left="0" w:right="0" w:firstLine="708"/>
        <w:jc w:val="both"/>
        <w:rPr>
          <w:rFonts w:ascii="Arial" w:hAnsi="Arial" w:cs="Arial"/>
          <w:sz w:val="24"/>
          <w:szCs w:val="24"/>
        </w:rPr>
      </w:pPr>
      <w:r>
        <w:rPr>
          <w:rFonts w:cs="Arial" w:ascii="Arial" w:hAnsi="Arial"/>
          <w:sz w:val="24"/>
          <w:szCs w:val="24"/>
        </w:rPr>
        <w:t>4.2.3. Интенсивность использования территории общественно-деловых зон характеризуется плотностью застройки (тыс. кв.м. /га), процентом застроенности территории.</w:t>
      </w:r>
    </w:p>
    <w:p>
      <w:pPr>
        <w:pStyle w:val="NoSpacing"/>
        <w:ind w:left="0" w:right="0" w:firstLine="708"/>
        <w:jc w:val="both"/>
        <w:rPr>
          <w:rFonts w:ascii="Arial" w:hAnsi="Arial" w:cs="Arial"/>
          <w:sz w:val="24"/>
          <w:szCs w:val="24"/>
        </w:rPr>
      </w:pPr>
      <w:r>
        <w:rPr>
          <w:rFonts w:cs="Arial" w:ascii="Arial" w:hAnsi="Arial"/>
          <w:sz w:val="24"/>
          <w:szCs w:val="24"/>
        </w:rPr>
        <w:t>Интенсивность застройки территории, занимаемой зданиями различного функционального назначения, следует принимать с учетом сложившейся планировки и застройки, значения.</w:t>
      </w:r>
    </w:p>
    <w:p>
      <w:pPr>
        <w:pStyle w:val="NoSpacing"/>
        <w:ind w:left="0" w:right="0" w:firstLine="708"/>
        <w:jc w:val="both"/>
        <w:rPr>
          <w:rFonts w:ascii="Arial" w:hAnsi="Arial" w:cs="Arial"/>
          <w:sz w:val="24"/>
          <w:szCs w:val="24"/>
        </w:rPr>
      </w:pPr>
      <w:r>
        <w:rPr>
          <w:rFonts w:cs="Arial" w:ascii="Arial" w:hAnsi="Arial"/>
          <w:sz w:val="24"/>
          <w:szCs w:val="24"/>
        </w:rPr>
        <w:t>4.2.4. Основными показателями плотности застройки являются:</w:t>
      </w:r>
    </w:p>
    <w:p>
      <w:pPr>
        <w:pStyle w:val="Normal"/>
        <w:tabs>
          <w:tab w:val="left" w:pos="7770" w:leader="none"/>
          <w:tab w:val="right" w:pos="9922" w:leader="none"/>
        </w:tabs>
        <w:spacing w:lineRule="auto" w:line="240" w:before="0" w:after="0"/>
        <w:rPr/>
      </w:pPr>
      <w:r>
        <w:rPr>
          <w:rFonts w:cs="Arial" w:ascii="Arial" w:hAnsi="Arial"/>
          <w:i/>
          <w:sz w:val="24"/>
          <w:szCs w:val="24"/>
        </w:rPr>
        <w:t>- коэффициент застройки</w:t>
      </w:r>
      <w:r>
        <w:rPr>
          <w:rFonts w:cs="Arial" w:ascii="Arial" w:hAnsi="Arial"/>
          <w:sz w:val="24"/>
          <w:szCs w:val="24"/>
        </w:rPr>
        <w:t xml:space="preserve"> – отношение площади, занятой под зданиями и сооружениями, к площади участка (квартала);</w:t>
      </w:r>
    </w:p>
    <w:p>
      <w:pPr>
        <w:pStyle w:val="Normal"/>
        <w:tabs>
          <w:tab w:val="left" w:pos="7770" w:leader="none"/>
          <w:tab w:val="right" w:pos="9922" w:leader="none"/>
        </w:tabs>
        <w:spacing w:lineRule="auto" w:line="240" w:before="0" w:after="0"/>
        <w:rPr>
          <w:rFonts w:ascii="Arial" w:hAnsi="Arial" w:cs="Arial"/>
          <w:sz w:val="24"/>
          <w:szCs w:val="24"/>
        </w:rPr>
      </w:pPr>
      <w:r>
        <w:rPr>
          <w:rFonts w:cs="Arial" w:ascii="Arial" w:hAnsi="Arial"/>
          <w:sz w:val="24"/>
          <w:szCs w:val="24"/>
        </w:rPr>
        <w:t xml:space="preserve">Для общественно-деловых зон  при многофункциональной застройке коэффициент застройки принимается не более 1,0, для специализированной общественной застройки – не более 0,8; </w:t>
      </w:r>
    </w:p>
    <w:p>
      <w:pPr>
        <w:pStyle w:val="Normal"/>
        <w:tabs>
          <w:tab w:val="left" w:pos="7770" w:leader="none"/>
          <w:tab w:val="right" w:pos="9922" w:leader="none"/>
        </w:tabs>
        <w:spacing w:lineRule="auto" w:line="240" w:before="0" w:after="0"/>
        <w:rPr/>
      </w:pPr>
      <w:r>
        <w:rPr>
          <w:rFonts w:cs="Arial" w:ascii="Arial" w:hAnsi="Arial"/>
          <w:i/>
          <w:sz w:val="24"/>
          <w:szCs w:val="24"/>
        </w:rPr>
        <w:t>- коэффициент плотности застройки</w:t>
      </w:r>
      <w:r>
        <w:rPr>
          <w:rFonts w:cs="Arial" w:ascii="Arial" w:hAnsi="Arial"/>
          <w:sz w:val="24"/>
          <w:szCs w:val="24"/>
        </w:rPr>
        <w:t xml:space="preserve"> – отношение площади всех этажей зданий и сооружений к площади участка (квартала).</w:t>
      </w:r>
    </w:p>
    <w:p>
      <w:pPr>
        <w:pStyle w:val="Normal"/>
        <w:tabs>
          <w:tab w:val="left" w:pos="7770" w:leader="none"/>
          <w:tab w:val="right" w:pos="9922" w:leader="none"/>
        </w:tabs>
        <w:spacing w:lineRule="auto" w:line="240" w:before="0" w:after="0"/>
        <w:rPr>
          <w:rFonts w:ascii="Arial" w:hAnsi="Arial" w:cs="Arial"/>
          <w:sz w:val="24"/>
          <w:szCs w:val="24"/>
        </w:rPr>
      </w:pPr>
      <w:r>
        <w:rPr>
          <w:rFonts w:cs="Arial" w:ascii="Arial" w:hAnsi="Arial"/>
          <w:sz w:val="24"/>
          <w:szCs w:val="24"/>
        </w:rPr>
        <w:t xml:space="preserve">Для общественно-деловых зон  при многофункциональной застройке коэффициент плотности  застройки принимается не более 3,0, для специализированной общественной застройки – не более 2,4; </w:t>
      </w:r>
    </w:p>
    <w:p>
      <w:pPr>
        <w:pStyle w:val="Normal"/>
        <w:tabs>
          <w:tab w:val="left" w:pos="7770" w:leader="none"/>
          <w:tab w:val="right" w:pos="9922" w:leader="none"/>
        </w:tabs>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Примечания. 1. Для  общественно-деловых зон коэффициенты застройки и коэффициенты плотности  застройки  приведены для  территории квартала с учетом   необходимых по расчету учреждений и предприятий обслуживания, гаражей; стоянок для  автомобилей, зеленых насаждений, площадок и других объектов благоустройства.                  </w:t>
      </w:r>
    </w:p>
    <w:p>
      <w:pPr>
        <w:pStyle w:val="Normal"/>
        <w:tabs>
          <w:tab w:val="left" w:pos="7770" w:leader="none"/>
          <w:tab w:val="right" w:pos="9922" w:leader="none"/>
        </w:tabs>
        <w:spacing w:lineRule="auto" w:line="240" w:before="0" w:after="0"/>
        <w:jc w:val="both"/>
        <w:rPr>
          <w:rFonts w:ascii="Arial" w:hAnsi="Arial" w:cs="Arial"/>
          <w:sz w:val="24"/>
          <w:szCs w:val="24"/>
        </w:rPr>
      </w:pPr>
      <w:r>
        <w:rPr>
          <w:rFonts w:cs="Arial" w:ascii="Arial" w:hAnsi="Arial"/>
          <w:sz w:val="24"/>
          <w:szCs w:val="24"/>
        </w:rPr>
        <w:t>2. При подсчете коэффициентов плотности застройки площадь этажей определяется по внешним размерам здания. Учитываются только надземные этажи, включая мансардные.  Подземные этажи  зданий и сооружений не учитываются. Подземное сооружение не учитывается, если поверхность земли (надземная территория) над ним используется  под озеленение,  организацию площадок, автостоянок и другие виды благоустройства.</w:t>
      </w:r>
    </w:p>
    <w:p>
      <w:pPr>
        <w:pStyle w:val="Normal"/>
        <w:tabs>
          <w:tab w:val="left" w:pos="7770" w:leader="none"/>
          <w:tab w:val="right" w:pos="9922" w:leader="none"/>
        </w:tabs>
        <w:spacing w:lineRule="auto" w:line="240" w:before="0" w:after="0"/>
        <w:jc w:val="both"/>
        <w:rPr>
          <w:rFonts w:ascii="Arial" w:hAnsi="Arial" w:cs="Arial"/>
          <w:sz w:val="24"/>
          <w:szCs w:val="24"/>
        </w:rPr>
      </w:pPr>
      <w:r>
        <w:rPr>
          <w:rFonts w:cs="Arial" w:ascii="Arial" w:hAnsi="Arial"/>
          <w:sz w:val="24"/>
          <w:szCs w:val="24"/>
        </w:rPr>
        <w:t xml:space="preserve">3. Границами кварталов являются красные линии.                       </w:t>
      </w:r>
    </w:p>
    <w:p>
      <w:pPr>
        <w:pStyle w:val="Normal"/>
        <w:tabs>
          <w:tab w:val="left" w:pos="7770" w:leader="none"/>
          <w:tab w:val="right" w:pos="9922" w:leader="none"/>
        </w:tabs>
        <w:spacing w:lineRule="auto" w:line="240" w:before="0" w:after="0"/>
        <w:jc w:val="both"/>
        <w:rPr>
          <w:rFonts w:ascii="Arial" w:hAnsi="Arial" w:cs="Arial"/>
          <w:sz w:val="24"/>
          <w:szCs w:val="24"/>
        </w:rPr>
      </w:pPr>
      <w:r>
        <w:rPr>
          <w:rFonts w:cs="Arial" w:ascii="Arial" w:hAnsi="Arial"/>
          <w:sz w:val="24"/>
          <w:szCs w:val="24"/>
        </w:rPr>
        <w:t>4. При реконструкции сложившихся кварталов общественно-деловых зон (включая   надстройку этажей, мансард) необходимо предусматривать требуемый по расчету объем  учреждений и предприятий обслуживания для проживающего в этих кварталах населения. Допускается учитывать имеющиеся в соседних кварталах учреждения обслуживания при соблюдении нормативных радиусов их доступности (кроме дошкольных учреждений и начальных школ). В условиях реконструкции существующей   застройки плотность застройки допускается повышать, но не более чем на 30% при  соблюдении санитарно-гигиенических и противопожарных норм.</w:t>
      </w:r>
    </w:p>
    <w:p>
      <w:pPr>
        <w:pStyle w:val="ConsPlusNormal11"/>
        <w:suppressAutoHyphens w:val="false"/>
        <w:jc w:val="center"/>
        <w:rPr>
          <w:rFonts w:cs="Arial"/>
          <w:sz w:val="24"/>
          <w:szCs w:val="24"/>
        </w:rPr>
      </w:pPr>
      <w:r>
        <w:rPr>
          <w:rFonts w:cs="Arial"/>
          <w:sz w:val="24"/>
          <w:szCs w:val="24"/>
        </w:rPr>
      </w:r>
    </w:p>
    <w:p>
      <w:pPr>
        <w:pStyle w:val="ConsPlusNormal11"/>
        <w:suppressAutoHyphens w:val="false"/>
        <w:jc w:val="center"/>
        <w:rPr>
          <w:rFonts w:cs="Arial"/>
          <w:sz w:val="24"/>
          <w:szCs w:val="24"/>
        </w:rPr>
      </w:pPr>
      <w:r>
        <w:rPr>
          <w:rFonts w:cs="Arial"/>
          <w:sz w:val="24"/>
          <w:szCs w:val="24"/>
        </w:rPr>
      </w:r>
    </w:p>
    <w:p>
      <w:pPr>
        <w:pStyle w:val="ConsPlusNormal11"/>
        <w:suppressAutoHyphens w:val="false"/>
        <w:jc w:val="center"/>
        <w:rPr>
          <w:rFonts w:cs="Arial"/>
          <w:sz w:val="24"/>
          <w:szCs w:val="24"/>
        </w:rPr>
      </w:pPr>
      <w:r>
        <w:rPr>
          <w:rFonts w:cs="Arial"/>
          <w:sz w:val="24"/>
          <w:szCs w:val="24"/>
        </w:rPr>
      </w:r>
    </w:p>
    <w:p>
      <w:pPr>
        <w:pStyle w:val="ConsPlusNormal11"/>
        <w:suppressAutoHyphens w:val="false"/>
        <w:jc w:val="center"/>
        <w:rPr>
          <w:rFonts w:cs="Arial"/>
          <w:sz w:val="24"/>
          <w:szCs w:val="24"/>
        </w:rPr>
      </w:pPr>
      <w:r>
        <w:rPr>
          <w:rFonts w:cs="Arial"/>
          <w:sz w:val="24"/>
          <w:szCs w:val="24"/>
        </w:rPr>
      </w:r>
    </w:p>
    <w:p>
      <w:pPr>
        <w:pStyle w:val="ConsPlusNormal11"/>
        <w:suppressAutoHyphens w:val="false"/>
        <w:jc w:val="center"/>
        <w:rPr>
          <w:rFonts w:cs="Arial"/>
          <w:sz w:val="24"/>
          <w:szCs w:val="24"/>
        </w:rPr>
      </w:pPr>
      <w:r>
        <w:rPr>
          <w:rFonts w:cs="Arial"/>
          <w:sz w:val="24"/>
          <w:szCs w:val="24"/>
        </w:rPr>
      </w:r>
    </w:p>
    <w:p>
      <w:pPr>
        <w:pStyle w:val="ConsPlusNormal11"/>
        <w:suppressAutoHyphens w:val="false"/>
        <w:jc w:val="center"/>
        <w:rPr>
          <w:rFonts w:cs="Arial"/>
          <w:sz w:val="24"/>
          <w:szCs w:val="24"/>
        </w:rPr>
      </w:pPr>
      <w:r>
        <w:rPr>
          <w:rFonts w:cs="Arial"/>
          <w:sz w:val="24"/>
          <w:szCs w:val="24"/>
        </w:rPr>
      </w:r>
    </w:p>
    <w:p>
      <w:pPr>
        <w:sectPr>
          <w:footerReference w:type="default" r:id="rId6"/>
          <w:type w:val="nextPage"/>
          <w:pgSz w:w="11906" w:h="16838"/>
          <w:pgMar w:left="1134" w:right="567" w:header="0" w:top="851" w:footer="709" w:bottom="851" w:gutter="0"/>
          <w:pgNumType w:fmt="decimal"/>
          <w:formProt w:val="false"/>
          <w:textDirection w:val="lrTb"/>
          <w:docGrid w:type="default" w:linePitch="600" w:charSpace="36864"/>
        </w:sectPr>
      </w:pPr>
    </w:p>
    <w:p>
      <w:pPr>
        <w:pStyle w:val="ConsPlusNormal11"/>
        <w:suppressAutoHyphens w:val="false"/>
        <w:jc w:val="center"/>
        <w:rPr>
          <w:rFonts w:cs="Arial"/>
          <w:sz w:val="24"/>
          <w:szCs w:val="24"/>
        </w:rPr>
      </w:pPr>
      <w:r>
        <w:rPr>
          <w:rFonts w:cs="Arial"/>
          <w:sz w:val="24"/>
          <w:szCs w:val="24"/>
        </w:rPr>
      </w:r>
    </w:p>
    <w:p>
      <w:pPr>
        <w:pStyle w:val="NoSpacing"/>
        <w:ind w:left="0" w:right="0" w:firstLine="708"/>
        <w:jc w:val="center"/>
        <w:rPr>
          <w:rFonts w:ascii="Arial" w:hAnsi="Arial" w:cs="Arial"/>
          <w:i/>
          <w:i/>
          <w:sz w:val="24"/>
          <w:szCs w:val="24"/>
        </w:rPr>
      </w:pPr>
      <w:r>
        <w:rPr>
          <w:rFonts w:cs="Arial" w:ascii="Arial" w:hAnsi="Arial"/>
          <w:i/>
          <w:sz w:val="24"/>
          <w:szCs w:val="24"/>
        </w:rPr>
        <w:t>4.3. 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социально значимых объектов повседневного и периодического обслуживания дл Кушнурского сельсовета.</w:t>
      </w:r>
    </w:p>
    <w:p>
      <w:pPr>
        <w:pStyle w:val="ConsPlusNormal11"/>
        <w:suppressAutoHyphens w:val="false"/>
        <w:jc w:val="center"/>
        <w:rPr>
          <w:rFonts w:cs="Arial"/>
          <w:b/>
          <w:b/>
          <w:sz w:val="24"/>
          <w:szCs w:val="24"/>
        </w:rPr>
      </w:pPr>
      <w:r>
        <w:rPr>
          <w:rFonts w:cs="Arial"/>
          <w:b/>
          <w:sz w:val="24"/>
          <w:szCs w:val="24"/>
        </w:rPr>
      </w:r>
    </w:p>
    <w:p>
      <w:pPr>
        <w:pStyle w:val="555551"/>
        <w:rPr/>
      </w:pPr>
      <w:bookmarkStart w:id="9" w:name="__RefHeading___Toc494193905"/>
      <w:r>
        <w:rPr>
          <w:rFonts w:cs="Arial" w:ascii="Arial" w:hAnsi="Arial"/>
        </w:rPr>
        <w:t>4.3.1.</w:t>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образования</w:t>
      </w:r>
      <w:bookmarkEnd w:id="9"/>
      <w:r>
        <w:rPr>
          <w:rFonts w:cs="Arial" w:ascii="Arial" w:hAnsi="Arial"/>
        </w:rPr>
        <w:t xml:space="preserve"> </w:t>
      </w:r>
    </w:p>
    <w:tbl>
      <w:tblPr>
        <w:tblW w:w="15090" w:type="dxa"/>
        <w:jc w:val="left"/>
        <w:tblInd w:w="-141"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473"/>
        <w:gridCol w:w="8"/>
        <w:gridCol w:w="24"/>
        <w:gridCol w:w="81"/>
        <w:gridCol w:w="42"/>
        <w:gridCol w:w="2398"/>
        <w:gridCol w:w="12"/>
        <w:gridCol w:w="214"/>
        <w:gridCol w:w="2086"/>
        <w:gridCol w:w="65"/>
        <w:gridCol w:w="48"/>
        <w:gridCol w:w="2"/>
        <w:gridCol w:w="2285"/>
        <w:gridCol w:w="31"/>
        <w:gridCol w:w="86"/>
        <w:gridCol w:w="2"/>
        <w:gridCol w:w="51"/>
        <w:gridCol w:w="2132"/>
        <w:gridCol w:w="109"/>
        <w:gridCol w:w="2"/>
        <w:gridCol w:w="764"/>
        <w:gridCol w:w="561"/>
        <w:gridCol w:w="720"/>
        <w:gridCol w:w="417"/>
        <w:gridCol w:w="56"/>
        <w:gridCol w:w="104"/>
        <w:gridCol w:w="145"/>
        <w:gridCol w:w="1"/>
        <w:gridCol w:w="76"/>
        <w:gridCol w:w="644"/>
        <w:gridCol w:w="719"/>
        <w:gridCol w:w="722"/>
        <w:gridCol w:w="5"/>
        <w:gridCol w:w="5"/>
      </w:tblGrid>
      <w:tr>
        <w:trPr/>
        <w:tc>
          <w:tcPr>
            <w:tcW w:w="505" w:type="dxa"/>
            <w:gridSpan w:val="3"/>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N п/п</w:t>
            </w:r>
          </w:p>
        </w:tc>
        <w:tc>
          <w:tcPr>
            <w:tcW w:w="2747" w:type="dxa"/>
            <w:gridSpan w:val="5"/>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Наименование вида объекта</w:t>
            </w:r>
          </w:p>
        </w:tc>
        <w:tc>
          <w:tcPr>
            <w:tcW w:w="11838" w:type="dxa"/>
            <w:gridSpan w:val="2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11"/>
              <w:jc w:val="center"/>
              <w:rPr>
                <w:rFonts w:cs="Arial"/>
                <w:b/>
                <w:b/>
                <w:sz w:val="24"/>
                <w:szCs w:val="24"/>
              </w:rPr>
            </w:pPr>
            <w:r>
              <w:rPr>
                <w:rFonts w:cs="Arial"/>
                <w:b/>
                <w:sz w:val="24"/>
                <w:szCs w:val="24"/>
              </w:rPr>
              <w:t>Предельные значения расчетных показателей</w:t>
            </w:r>
          </w:p>
        </w:tc>
      </w:tr>
      <w:tr>
        <w:trPr/>
        <w:tc>
          <w:tcPr>
            <w:tcW w:w="505"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Тип расчетного показателя</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Вид расчетного показателя</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Наименование расчетного показателя, единица измерения</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Предельное значение расчетного показателя</w:t>
            </w:r>
          </w:p>
        </w:tc>
      </w:tr>
      <w:tr>
        <w:trPr/>
        <w:tc>
          <w:tcPr>
            <w:tcW w:w="505"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1</w:t>
            </w:r>
          </w:p>
        </w:tc>
        <w:tc>
          <w:tcPr>
            <w:tcW w:w="2747"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2</w:t>
            </w:r>
          </w:p>
        </w:tc>
        <w:tc>
          <w:tcPr>
            <w:tcW w:w="2201"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3</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4</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5</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6</w:t>
            </w:r>
          </w:p>
        </w:tc>
      </w:tr>
      <w:tr>
        <w:trPr/>
        <w:tc>
          <w:tcPr>
            <w:tcW w:w="505" w:type="dxa"/>
            <w:gridSpan w:val="3"/>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1.</w:t>
            </w:r>
          </w:p>
        </w:tc>
        <w:tc>
          <w:tcPr>
            <w:tcW w:w="274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Дошкольные образовательные организации</w:t>
            </w:r>
          </w:p>
        </w:tc>
        <w:tc>
          <w:tcPr>
            <w:tcW w:w="2201"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мест</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Normal"/>
              <w:snapToGrid w:val="false"/>
              <w:spacing w:lineRule="auto" w:line="240" w:before="0" w:after="0"/>
              <w:jc w:val="both"/>
              <w:rPr>
                <w:rFonts w:ascii="Arial" w:hAnsi="Arial" w:cs="Arial"/>
                <w:sz w:val="24"/>
                <w:szCs w:val="24"/>
              </w:rPr>
            </w:pPr>
            <w:r>
              <w:rPr>
                <w:rFonts w:cs="Arial" w:ascii="Arial" w:hAnsi="Arial"/>
                <w:sz w:val="24"/>
                <w:szCs w:val="24"/>
              </w:rPr>
              <w:t>Устанавливается в зависимости, от демографической структуры населения исходя из охвата детскими учреждениями в пределах 85%, в т.ч.:</w:t>
            </w:r>
          </w:p>
          <w:p>
            <w:pPr>
              <w:pStyle w:val="Normal"/>
              <w:spacing w:lineRule="auto" w:line="240" w:before="0" w:after="0"/>
              <w:jc w:val="both"/>
              <w:rPr>
                <w:rFonts w:ascii="Arial" w:hAnsi="Arial" w:cs="Arial"/>
                <w:sz w:val="24"/>
                <w:szCs w:val="24"/>
              </w:rPr>
            </w:pPr>
            <w:r>
              <w:rPr>
                <w:rFonts w:cs="Arial" w:ascii="Arial" w:hAnsi="Arial"/>
                <w:sz w:val="24"/>
                <w:szCs w:val="24"/>
              </w:rPr>
              <w:t>общего типа – 70% детей;</w:t>
            </w:r>
          </w:p>
          <w:p>
            <w:pPr>
              <w:pStyle w:val="Normal"/>
              <w:spacing w:lineRule="auto" w:line="240" w:before="0" w:after="0"/>
              <w:jc w:val="both"/>
              <w:rPr>
                <w:rFonts w:ascii="Arial" w:hAnsi="Arial" w:cs="Arial"/>
                <w:sz w:val="24"/>
                <w:szCs w:val="24"/>
              </w:rPr>
            </w:pPr>
            <w:r>
              <w:rPr>
                <w:rFonts w:cs="Arial" w:ascii="Arial" w:hAnsi="Arial"/>
                <w:sz w:val="24"/>
                <w:szCs w:val="24"/>
              </w:rPr>
              <w:t>специализированного – 3%;</w:t>
            </w:r>
          </w:p>
          <w:p>
            <w:pPr>
              <w:pStyle w:val="ConsPlusNormal11"/>
              <w:spacing w:lineRule="auto" w:line="240"/>
              <w:rPr>
                <w:rFonts w:cs="Arial"/>
                <w:sz w:val="24"/>
                <w:szCs w:val="24"/>
              </w:rPr>
            </w:pPr>
            <w:r>
              <w:rPr>
                <w:rFonts w:cs="Arial"/>
                <w:sz w:val="24"/>
                <w:szCs w:val="24"/>
              </w:rPr>
              <w:t>оздоровительного – 12%.</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кв. м/место</w:t>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мощность, мест</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обеспеченность, кв. м/место</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до 100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40</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свыше 100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35</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в комплексе организаций свыше 500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30</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групповой площадки для детей ясельного возраста</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7,5</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605"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Пешеходная доступность, м</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в сельских населенных пунктах - 500 м</w:t>
            </w:r>
          </w:p>
        </w:tc>
      </w:tr>
      <w:tr>
        <w:trPr/>
        <w:tc>
          <w:tcPr>
            <w:tcW w:w="15090" w:type="dxa"/>
            <w:gridSpan w:val="3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NoSpacing"/>
              <w:ind w:left="0" w:right="0" w:firstLine="708"/>
              <w:jc w:val="both"/>
              <w:rPr>
                <w:rFonts w:ascii="Arial" w:hAnsi="Arial" w:cs="Arial"/>
                <w:sz w:val="24"/>
                <w:szCs w:val="24"/>
              </w:rPr>
            </w:pPr>
            <w:r>
              <w:rPr>
                <w:rFonts w:cs="Arial" w:ascii="Arial" w:hAnsi="Arial"/>
                <w:sz w:val="24"/>
                <w:szCs w:val="24"/>
              </w:rPr>
              <w:t>Примечания:</w:t>
            </w:r>
          </w:p>
          <w:p>
            <w:pPr>
              <w:pStyle w:val="NoSpacing"/>
              <w:ind w:left="0" w:right="0" w:firstLine="708"/>
              <w:jc w:val="both"/>
              <w:rPr>
                <w:rFonts w:ascii="Arial" w:hAnsi="Arial" w:cs="Arial"/>
                <w:sz w:val="24"/>
                <w:szCs w:val="24"/>
              </w:rPr>
            </w:pPr>
            <w:r>
              <w:rPr>
                <w:rFonts w:cs="Arial" w:ascii="Arial" w:hAnsi="Arial"/>
                <w:sz w:val="24"/>
                <w:szCs w:val="24"/>
              </w:rPr>
              <w:t xml:space="preserve">1. Для сельских населенных пунктов с численностью населения менее 200 человек следует предусматривать дошкольные образовательные организации малой вместимости, объединенные с начальными классами. Минимальную обеспеченность такими организациями и их вместимость следует принимать по заданию на проектирование в зависимости от местных условий. </w:t>
            </w:r>
          </w:p>
          <w:p>
            <w:pPr>
              <w:pStyle w:val="NoSpacing"/>
              <w:ind w:left="0" w:right="0" w:firstLine="708"/>
              <w:jc w:val="both"/>
              <w:rPr>
                <w:rFonts w:ascii="Arial" w:hAnsi="Arial" w:cs="Arial"/>
                <w:sz w:val="24"/>
                <w:szCs w:val="24"/>
              </w:rPr>
            </w:pPr>
            <w:r>
              <w:rPr>
                <w:rFonts w:cs="Arial" w:ascii="Arial" w:hAnsi="Arial"/>
                <w:sz w:val="24"/>
                <w:szCs w:val="24"/>
              </w:rPr>
              <w:t>2. Вместимость ДОУ для сельских населенных пунктов и поселков городского типа рекомендуется не более 140 мест.</w:t>
            </w:r>
          </w:p>
          <w:p>
            <w:pPr>
              <w:pStyle w:val="NoSpacing"/>
              <w:ind w:left="0" w:right="0" w:firstLine="708"/>
              <w:jc w:val="both"/>
              <w:rPr>
                <w:rFonts w:ascii="Arial" w:hAnsi="Arial" w:cs="Arial"/>
                <w:sz w:val="24"/>
                <w:szCs w:val="24"/>
              </w:rPr>
            </w:pPr>
            <w:r>
              <w:rPr>
                <w:rFonts w:cs="Arial" w:ascii="Arial" w:hAnsi="Arial"/>
                <w:sz w:val="24"/>
                <w:szCs w:val="24"/>
              </w:rPr>
              <w:t>3. Размеры земельных участков могут быть уменьшены на 25% - в условиях реконструкции; на 15% - при размещении на рельефе с уклоном более 20%</w:t>
            </w:r>
          </w:p>
        </w:tc>
      </w:tr>
      <w:tr>
        <w:trPr/>
        <w:tc>
          <w:tcPr>
            <w:tcW w:w="505" w:type="dxa"/>
            <w:gridSpan w:val="3"/>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2.</w:t>
            </w:r>
          </w:p>
        </w:tc>
        <w:tc>
          <w:tcPr>
            <w:tcW w:w="274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Общеобразовательные организации</w:t>
            </w:r>
          </w:p>
        </w:tc>
        <w:tc>
          <w:tcPr>
            <w:tcW w:w="2201"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учащийся</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Normal"/>
              <w:snapToGrid w:val="false"/>
              <w:spacing w:lineRule="auto" w:line="240" w:before="0" w:after="0"/>
              <w:rPr>
                <w:rFonts w:ascii="Arial" w:hAnsi="Arial" w:cs="Arial"/>
                <w:sz w:val="24"/>
                <w:szCs w:val="24"/>
              </w:rPr>
            </w:pPr>
            <w:r>
              <w:rPr>
                <w:rFonts w:cs="Arial" w:ascii="Arial" w:hAnsi="Arial"/>
                <w:sz w:val="24"/>
                <w:szCs w:val="24"/>
              </w:rPr>
              <w:t>Устанавливается в зависимости, от демографической структуры населения исходя из обеспеченности:</w:t>
            </w:r>
          </w:p>
          <w:p>
            <w:pPr>
              <w:pStyle w:val="Normal"/>
              <w:spacing w:lineRule="auto" w:line="240" w:before="0" w:after="0"/>
              <w:rPr>
                <w:rFonts w:ascii="Arial" w:hAnsi="Arial" w:cs="Arial"/>
                <w:sz w:val="24"/>
                <w:szCs w:val="24"/>
              </w:rPr>
            </w:pPr>
            <w:r>
              <w:rPr>
                <w:rFonts w:cs="Arial" w:ascii="Arial" w:hAnsi="Arial"/>
                <w:sz w:val="24"/>
                <w:szCs w:val="24"/>
              </w:rPr>
              <w:t>- неполным средним образованием 100% детей;</w:t>
            </w:r>
          </w:p>
          <w:p>
            <w:pPr>
              <w:pStyle w:val="ConsPlusNormal11"/>
              <w:spacing w:lineRule="auto" w:line="240"/>
              <w:rPr>
                <w:rFonts w:cs="Arial"/>
                <w:sz w:val="24"/>
                <w:szCs w:val="24"/>
              </w:rPr>
            </w:pPr>
            <w:r>
              <w:rPr>
                <w:rFonts w:cs="Arial"/>
                <w:sz w:val="24"/>
                <w:szCs w:val="24"/>
              </w:rPr>
              <w:t>- средним образованием (10-11 кл.) – 75% детей при обучении в одну смену.</w:t>
            </w:r>
          </w:p>
          <w:p>
            <w:pPr>
              <w:pStyle w:val="ConsPlusNormal11"/>
              <w:spacing w:lineRule="auto" w:line="240"/>
              <w:rPr>
                <w:rFonts w:cs="Arial"/>
                <w:sz w:val="24"/>
                <w:szCs w:val="24"/>
              </w:rPr>
            </w:pPr>
            <w:r>
              <w:rPr>
                <w:rFonts w:cs="Arial"/>
                <w:sz w:val="24"/>
                <w:szCs w:val="24"/>
              </w:rPr>
              <w:t>На территории жилой застройки - 100 учащихся на 1 тыс. человек общей численности населения</w:t>
            </w:r>
          </w:p>
        </w:tc>
      </w:tr>
      <w:tr>
        <w:trPr>
          <w:trHeight w:val="562" w:hRule="atLeast"/>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кв. м/учащийся</w:t>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мощность, мест</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обеспеченность, кв. м/учащийся</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40 до 400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50</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400 до 500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60</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500 до 600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50</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600 до 800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40</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800 до 1100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33</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1100 до 1500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21</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1500 до 2000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17</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844"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2000</w:t>
            </w:r>
          </w:p>
        </w:tc>
        <w:tc>
          <w:tcPr>
            <w:tcW w:w="209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16</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605" w:type="dxa"/>
            <w:gridSpan w:val="8"/>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Пешеходная доступность, м</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в сельских населенных пунктах:</w:t>
            </w:r>
          </w:p>
          <w:p>
            <w:pPr>
              <w:pStyle w:val="ConsPlusNormal11"/>
              <w:rPr>
                <w:rFonts w:cs="Arial"/>
                <w:sz w:val="24"/>
                <w:szCs w:val="24"/>
              </w:rPr>
            </w:pPr>
            <w:r>
              <w:rPr>
                <w:rFonts w:cs="Arial"/>
                <w:sz w:val="24"/>
                <w:szCs w:val="24"/>
              </w:rPr>
              <w:t>для учащихся 1 ступени обучения - 2000;</w:t>
            </w:r>
          </w:p>
          <w:p>
            <w:pPr>
              <w:pStyle w:val="ConsPlusNormal11"/>
              <w:rPr>
                <w:rFonts w:cs="Arial"/>
                <w:sz w:val="24"/>
                <w:szCs w:val="24"/>
              </w:rPr>
            </w:pPr>
            <w:r>
              <w:rPr>
                <w:rFonts w:cs="Arial"/>
                <w:sz w:val="24"/>
                <w:szCs w:val="24"/>
              </w:rPr>
              <w:t>для учащихся 2-3 ступени обучения - 4000;</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605" w:type="dxa"/>
            <w:gridSpan w:val="8"/>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Транспортная доступность, минут</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для учащихся 1 ступени обучения - 15 в одну сторону;</w:t>
            </w:r>
          </w:p>
          <w:p>
            <w:pPr>
              <w:pStyle w:val="ConsPlusNormal11"/>
              <w:rPr>
                <w:rFonts w:cs="Arial"/>
                <w:sz w:val="24"/>
                <w:szCs w:val="24"/>
              </w:rPr>
            </w:pPr>
            <w:r>
              <w:rPr>
                <w:rFonts w:cs="Arial"/>
                <w:sz w:val="24"/>
                <w:szCs w:val="24"/>
              </w:rPr>
              <w:t>для учащихся 2-3 ступени обучения - 30 в одну сторону</w:t>
            </w:r>
          </w:p>
        </w:tc>
      </w:tr>
      <w:tr>
        <w:trPr/>
        <w:tc>
          <w:tcPr>
            <w:tcW w:w="15090" w:type="dxa"/>
            <w:gridSpan w:val="3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Примечания:</w:t>
            </w:r>
          </w:p>
          <w:p>
            <w:pPr>
              <w:pStyle w:val="ConsPlusNormal11"/>
              <w:rPr>
                <w:rFonts w:cs="Arial"/>
                <w:sz w:val="24"/>
                <w:szCs w:val="24"/>
              </w:rPr>
            </w:pPr>
            <w:r>
              <w:rPr>
                <w:rFonts w:cs="Arial"/>
                <w:sz w:val="24"/>
                <w:szCs w:val="24"/>
              </w:rPr>
              <w:t>1. Для учащихся, проживающих на расстоянии свыше предельно допустимого транспортного обслуживания, а также при транспортной недоступности в период неблагоприятных погодных условий и отсутствии транспортного круглогодичного сообщения предусматривается пришкольный интернат из расчета 10% мест общей вместимости организации.</w:t>
            </w:r>
          </w:p>
          <w:p>
            <w:pPr>
              <w:pStyle w:val="ConsPlusNormal11"/>
              <w:rPr>
                <w:rFonts w:cs="Arial"/>
                <w:sz w:val="24"/>
                <w:szCs w:val="24"/>
              </w:rPr>
            </w:pPr>
            <w:r>
              <w:rPr>
                <w:rFonts w:cs="Arial"/>
                <w:sz w:val="24"/>
                <w:szCs w:val="24"/>
              </w:rPr>
              <w:t>2. Вместимость вновь строящихся, сельских малокомплектных учреждений для I ступени обучения - 80 человек, I и II ступеней - 250 человек, I, II и III ступеней - 500 человек.</w:t>
            </w:r>
          </w:p>
          <w:p>
            <w:pPr>
              <w:pStyle w:val="ConsPlusNormal11"/>
              <w:rPr>
                <w:rFonts w:cs="Arial"/>
                <w:sz w:val="24"/>
                <w:szCs w:val="24"/>
              </w:rPr>
            </w:pPr>
            <w:r>
              <w:rPr>
                <w:rFonts w:cs="Arial"/>
                <w:sz w:val="24"/>
                <w:szCs w:val="24"/>
              </w:rPr>
              <w:t>3. Размеры земельных участков школ могут быть уменьшены на 20% - в условиях реконструкции; увеличены на 30% - в сельских поселениях, если для организации учебно-опытной работы не предусмотрены специальные земельные участки.</w:t>
            </w:r>
          </w:p>
          <w:p>
            <w:pPr>
              <w:pStyle w:val="ConsPlusNormal11"/>
              <w:rPr>
                <w:rFonts w:cs="Arial"/>
                <w:sz w:val="24"/>
                <w:szCs w:val="24"/>
              </w:rPr>
            </w:pPr>
            <w:r>
              <w:rPr>
                <w:rFonts w:cs="Arial"/>
                <w:sz w:val="24"/>
                <w:szCs w:val="24"/>
              </w:rPr>
              <w:t>4. Спортивная зона школы может быть объединена с физкультурно-оздоровительным комплексом микрорайона</w:t>
            </w:r>
          </w:p>
        </w:tc>
      </w:tr>
      <w:tr>
        <w:trPr/>
        <w:tc>
          <w:tcPr>
            <w:tcW w:w="505" w:type="dxa"/>
            <w:gridSpan w:val="3"/>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3.</w:t>
            </w:r>
          </w:p>
        </w:tc>
        <w:tc>
          <w:tcPr>
            <w:tcW w:w="274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Организации дополнительного образования</w:t>
            </w:r>
          </w:p>
        </w:tc>
        <w:tc>
          <w:tcPr>
            <w:tcW w:w="2201"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мест</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80% охват от общего числа детей в возрасте от 5 до 18 лет</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заданию на проектирование для отдельно стоящего здания либо в первых этажах жилых зданий, общественных центров</w:t>
            </w:r>
          </w:p>
        </w:tc>
      </w:tr>
      <w:tr>
        <w:trPr/>
        <w:tc>
          <w:tcPr>
            <w:tcW w:w="50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4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605"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Транспортная доступность, минут</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30минут  в одну сторону</w:t>
            </w:r>
          </w:p>
        </w:tc>
      </w:tr>
      <w:tr>
        <w:trPr/>
        <w:tc>
          <w:tcPr>
            <w:tcW w:w="15090" w:type="dxa"/>
            <w:gridSpan w:val="3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Примечания:</w:t>
            </w:r>
          </w:p>
          <w:p>
            <w:pPr>
              <w:pStyle w:val="ConsPlusNormal11"/>
              <w:rPr>
                <w:rFonts w:cs="Arial"/>
                <w:sz w:val="24"/>
                <w:szCs w:val="24"/>
              </w:rPr>
            </w:pPr>
            <w:r>
              <w:rPr>
                <w:rFonts w:cs="Arial"/>
                <w:sz w:val="24"/>
                <w:szCs w:val="24"/>
              </w:rPr>
              <w:t>1. Норматив обеспеченности следует определять исходя из количества детей, фактически охваченных дополнительным образованием.</w:t>
            </w:r>
          </w:p>
          <w:p>
            <w:pPr>
              <w:pStyle w:val="ConsPlusNormal11"/>
              <w:rPr>
                <w:rFonts w:cs="Arial"/>
                <w:sz w:val="24"/>
                <w:szCs w:val="24"/>
              </w:rPr>
            </w:pPr>
            <w:r>
              <w:rPr>
                <w:rFonts w:cs="Arial"/>
                <w:sz w:val="24"/>
                <w:szCs w:val="24"/>
              </w:rPr>
              <w:t>2. Проектная мощность организаций дополнительного образования определяется согласно удельному нормативу 60 мест на 1 тыс. человек общей численности населения, установленному с учетом сменности данных организаций</w:t>
            </w:r>
          </w:p>
        </w:tc>
      </w:tr>
      <w:tr>
        <w:trPr/>
        <w:tc>
          <w:tcPr>
            <w:tcW w:w="628"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4.</w:t>
            </w:r>
          </w:p>
        </w:tc>
        <w:tc>
          <w:tcPr>
            <w:tcW w:w="2624" w:type="dxa"/>
            <w:gridSpan w:val="3"/>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Специальные учебно-воспитательные учреждения для обучающихся с девиантным (общественно опасным) поведением</w:t>
            </w:r>
          </w:p>
        </w:tc>
        <w:tc>
          <w:tcPr>
            <w:tcW w:w="2201"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183"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мест</w:t>
            </w:r>
          </w:p>
        </w:tc>
        <w:tc>
          <w:tcPr>
            <w:tcW w:w="5050" w:type="dxa"/>
            <w:gridSpan w:val="1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заданию на проектирование</w:t>
            </w:r>
          </w:p>
        </w:tc>
      </w:tr>
      <w:tr>
        <w:trPr/>
        <w:tc>
          <w:tcPr>
            <w:tcW w:w="628"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624"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183"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га</w:t>
            </w:r>
          </w:p>
        </w:tc>
        <w:tc>
          <w:tcPr>
            <w:tcW w:w="5050" w:type="dxa"/>
            <w:gridSpan w:val="1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заданию на проектирование</w:t>
            </w:r>
          </w:p>
        </w:tc>
      </w:tr>
      <w:tr>
        <w:trPr/>
        <w:tc>
          <w:tcPr>
            <w:tcW w:w="628"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624"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6788" w:type="dxa"/>
            <w:gridSpan w:val="10"/>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5050" w:type="dxa"/>
            <w:gridSpan w:val="1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не нормируется</w:t>
            </w:r>
          </w:p>
        </w:tc>
      </w:tr>
      <w:tr>
        <w:trPr/>
        <w:tc>
          <w:tcPr>
            <w:tcW w:w="628"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5.</w:t>
            </w:r>
          </w:p>
        </w:tc>
        <w:tc>
          <w:tcPr>
            <w:tcW w:w="2624" w:type="dxa"/>
            <w:gridSpan w:val="3"/>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Образовательные организации для детей-сирот и детей, оставшихся без попечения родителей</w:t>
            </w:r>
          </w:p>
        </w:tc>
        <w:tc>
          <w:tcPr>
            <w:tcW w:w="2201"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183"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мест</w:t>
            </w:r>
          </w:p>
        </w:tc>
        <w:tc>
          <w:tcPr>
            <w:tcW w:w="5050" w:type="dxa"/>
            <w:gridSpan w:val="1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заданию на проектирование</w:t>
            </w:r>
          </w:p>
        </w:tc>
      </w:tr>
      <w:tr>
        <w:trPr/>
        <w:tc>
          <w:tcPr>
            <w:tcW w:w="628"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624"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01"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183"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га</w:t>
            </w:r>
          </w:p>
        </w:tc>
        <w:tc>
          <w:tcPr>
            <w:tcW w:w="5050" w:type="dxa"/>
            <w:gridSpan w:val="1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рекомендуется размещать образовательные организации для детей-сирот и детей, оставшихся без попечения родителей, в составе детских домов-интернатов</w:t>
            </w:r>
          </w:p>
        </w:tc>
      </w:tr>
      <w:tr>
        <w:trPr/>
        <w:tc>
          <w:tcPr>
            <w:tcW w:w="628"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624"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6788" w:type="dxa"/>
            <w:gridSpan w:val="10"/>
            <w:tcBorders>
              <w:top w:val="single" w:sz="4" w:space="0" w:color="00000A"/>
              <w:left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5050" w:type="dxa"/>
            <w:gridSpan w:val="14"/>
            <w:tcBorders>
              <w:top w:val="single" w:sz="4" w:space="0" w:color="00000A"/>
              <w:left w:val="single" w:sz="4" w:space="0" w:color="00000A"/>
              <w:right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не нормируется</w:t>
            </w:r>
          </w:p>
        </w:tc>
      </w:tr>
      <w:tr>
        <w:trPr/>
        <w:tc>
          <w:tcPr>
            <w:tcW w:w="15090" w:type="dxa"/>
            <w:gridSpan w:val="3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551"/>
              <w:snapToGrid w:val="false"/>
              <w:rPr>
                <w:rFonts w:ascii="Arial" w:hAnsi="Arial" w:cs="Arial"/>
              </w:rPr>
            </w:pPr>
            <w:r>
              <w:rPr>
                <w:rFonts w:cs="Arial" w:ascii="Arial" w:hAnsi="Arial"/>
              </w:rPr>
            </w:r>
          </w:p>
          <w:p>
            <w:pPr>
              <w:pStyle w:val="555551"/>
              <w:rPr>
                <w:rFonts w:ascii="Arial" w:hAnsi="Arial" w:cs="Arial"/>
              </w:rPr>
            </w:pPr>
            <w:bookmarkStart w:id="10" w:name="__RefHeading___Toc494193906"/>
            <w:bookmarkEnd w:id="10"/>
            <w:r>
              <w:rPr>
                <w:rFonts w:cs="Arial" w:ascii="Arial" w:hAnsi="Arial"/>
              </w:rPr>
              <w:t>4.3.2.</w:t>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здравоохранения</w:t>
            </w:r>
          </w:p>
          <w:p>
            <w:pPr>
              <w:pStyle w:val="551"/>
              <w:rPr>
                <w:rFonts w:ascii="Arial" w:hAnsi="Arial" w:cs="Arial"/>
              </w:rPr>
            </w:pPr>
            <w:r>
              <w:rPr>
                <w:rFonts w:cs="Arial" w:ascii="Arial" w:hAnsi="Arial"/>
              </w:rPr>
            </w:r>
          </w:p>
        </w:tc>
      </w:tr>
      <w:tr>
        <w:trPr/>
        <w:tc>
          <w:tcPr>
            <w:tcW w:w="586" w:type="dxa"/>
            <w:gridSpan w:val="4"/>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N п/п</w:t>
            </w:r>
          </w:p>
        </w:tc>
        <w:tc>
          <w:tcPr>
            <w:tcW w:w="2666" w:type="dxa"/>
            <w:gridSpan w:val="4"/>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Наименование вида объекта</w:t>
            </w:r>
          </w:p>
        </w:tc>
        <w:tc>
          <w:tcPr>
            <w:tcW w:w="11838" w:type="dxa"/>
            <w:gridSpan w:val="2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11"/>
              <w:jc w:val="center"/>
              <w:rPr>
                <w:rFonts w:cs="Arial"/>
                <w:b/>
                <w:b/>
                <w:sz w:val="24"/>
                <w:szCs w:val="24"/>
              </w:rPr>
            </w:pPr>
            <w:r>
              <w:rPr>
                <w:rFonts w:cs="Arial"/>
                <w:b/>
                <w:sz w:val="24"/>
                <w:szCs w:val="24"/>
              </w:rPr>
              <w:t>Предельные значения расчетных показателей</w:t>
            </w:r>
          </w:p>
        </w:tc>
      </w:tr>
      <w:tr>
        <w:trPr>
          <w:trHeight w:val="1430" w:hRule="atLeast"/>
        </w:trPr>
        <w:tc>
          <w:tcPr>
            <w:tcW w:w="586" w:type="dxa"/>
            <w:gridSpan w:val="4"/>
            <w:tcBorders>
              <w:top w:val="single" w:sz="4" w:space="0" w:color="00000A"/>
              <w:left w:val="single" w:sz="2" w:space="0" w:color="00000A"/>
            </w:tcBorders>
            <w:shd w:fill="auto" w:val="clear"/>
            <w:tcMar>
              <w:left w:w="64" w:type="dxa"/>
            </w:tcMar>
          </w:tcPr>
          <w:p>
            <w:pPr>
              <w:pStyle w:val="Style115"/>
              <w:jc w:val="center"/>
              <w:rPr>
                <w:rFonts w:ascii="Arial" w:hAnsi="Arial" w:cs="Arial"/>
                <w:color w:val="00000A"/>
              </w:rPr>
            </w:pPr>
            <w:r>
              <w:rPr>
                <w:rFonts w:cs="Arial" w:ascii="Arial" w:hAnsi="Arial"/>
                <w:color w:val="00000A"/>
              </w:rPr>
              <w:t>1.</w:t>
            </w:r>
          </w:p>
        </w:tc>
        <w:tc>
          <w:tcPr>
            <w:tcW w:w="2666" w:type="dxa"/>
            <w:gridSpan w:val="4"/>
            <w:tcBorders>
              <w:top w:val="single" w:sz="4" w:space="0" w:color="00000A"/>
              <w:left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Лечебно- профилактические медицинские организации, оказывающие медицинскую помощь в амбулаторных условиях </w:t>
            </w:r>
          </w:p>
        </w:tc>
        <w:tc>
          <w:tcPr>
            <w:tcW w:w="2201" w:type="dxa"/>
            <w:gridSpan w:val="4"/>
            <w:vMerge w:val="restart"/>
            <w:tcBorders>
              <w:top w:val="single" w:sz="4"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Расчетные показатели минимально допустимого уровня обеспеченности</w:t>
            </w:r>
          </w:p>
        </w:tc>
        <w:tc>
          <w:tcPr>
            <w:tcW w:w="2404" w:type="dxa"/>
            <w:gridSpan w:val="4"/>
            <w:tcBorders>
              <w:top w:val="single" w:sz="4"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допустимого уровня мощности объекта</w:t>
            </w:r>
          </w:p>
        </w:tc>
        <w:tc>
          <w:tcPr>
            <w:tcW w:w="2183" w:type="dxa"/>
            <w:gridSpan w:val="2"/>
            <w:tcBorders>
              <w:top w:val="single" w:sz="4"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Уровень обеспеченности, посещение в смену </w:t>
            </w:r>
          </w:p>
        </w:tc>
        <w:tc>
          <w:tcPr>
            <w:tcW w:w="5045" w:type="dxa"/>
            <w:gridSpan w:val="14"/>
            <w:tcBorders>
              <w:top w:val="single" w:sz="4"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181,5 на 10 тыс. человек </w:t>
            </w:r>
          </w:p>
        </w:tc>
      </w:tr>
      <w:tr>
        <w:trPr/>
        <w:tc>
          <w:tcPr>
            <w:tcW w:w="586" w:type="dxa"/>
            <w:gridSpan w:val="4"/>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666" w:type="dxa"/>
            <w:gridSpan w:val="4"/>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201" w:type="dxa"/>
            <w:gridSpan w:val="4"/>
            <w:vMerge w:val="continue"/>
            <w:tcBorders>
              <w:top w:val="single" w:sz="4"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04" w:type="dxa"/>
            <w:gridSpan w:val="4"/>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допустимой площади территории для размещения объекта</w:t>
            </w:r>
          </w:p>
        </w:tc>
        <w:tc>
          <w:tcPr>
            <w:tcW w:w="2183" w:type="dxa"/>
            <w:gridSpan w:val="2"/>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Размер земельного участка, га/посещений в смену</w:t>
            </w:r>
          </w:p>
        </w:tc>
        <w:tc>
          <w:tcPr>
            <w:tcW w:w="5045" w:type="dxa"/>
            <w:gridSpan w:val="14"/>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На 100 посещений в смену - 0,1, но не менее 0,5 для отдельно стоящего здания, встроенные - 0,2 на объект </w:t>
            </w:r>
          </w:p>
        </w:tc>
      </w:tr>
      <w:tr>
        <w:trPr/>
        <w:tc>
          <w:tcPr>
            <w:tcW w:w="15085" w:type="dxa"/>
            <w:gridSpan w:val="32"/>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64" w:type="dxa"/>
            </w:tcMar>
          </w:tcPr>
          <w:p>
            <w:pPr>
              <w:pStyle w:val="Normal"/>
              <w:rPr>
                <w:rFonts w:ascii="Arial" w:hAnsi="Arial" w:cs="Arial"/>
                <w:color w:val="00000A"/>
              </w:rPr>
            </w:pPr>
            <w:r>
              <w:rPr>
                <w:rFonts w:cs="Arial" w:ascii="Arial" w:hAnsi="Arial"/>
                <w:color w:val="00000A"/>
              </w:rPr>
              <w:t xml:space="preserve">Транспортная доступность для сельских населенных пунктов или их групп (с использованием транспорта), мин.30 </w:t>
            </w:r>
          </w:p>
          <w:p>
            <w:pPr>
              <w:pStyle w:val="Style115"/>
              <w:rPr>
                <w:rFonts w:ascii="Arial" w:hAnsi="Arial" w:cs="Arial"/>
                <w:color w:val="00000A"/>
              </w:rPr>
            </w:pPr>
            <w:r>
              <w:rPr>
                <w:rFonts w:cs="Arial" w:ascii="Arial" w:hAnsi="Arial"/>
                <w:color w:val="00000A"/>
              </w:rPr>
              <w:t>Примечания:</w:t>
            </w:r>
          </w:p>
          <w:p>
            <w:pPr>
              <w:pStyle w:val="Style115"/>
              <w:rPr>
                <w:rFonts w:ascii="Arial" w:hAnsi="Arial" w:cs="Arial"/>
                <w:color w:val="00000A"/>
              </w:rPr>
            </w:pPr>
            <w:r>
              <w:rPr>
                <w:rFonts w:cs="Arial" w:ascii="Arial" w:hAnsi="Arial"/>
                <w:color w:val="00000A"/>
              </w:rPr>
              <w:t>1. При размещении лечебно-профилактических медицинских организаций по необходимости предусматривать площади для размещения молочных кухонь (или их раздаточных пунктов).</w:t>
            </w:r>
          </w:p>
          <w:p>
            <w:pPr>
              <w:pStyle w:val="Style115"/>
              <w:rPr>
                <w:rFonts w:ascii="Arial" w:hAnsi="Arial" w:cs="Arial"/>
                <w:color w:val="00000A"/>
              </w:rPr>
            </w:pPr>
            <w:r>
              <w:rPr>
                <w:rFonts w:cs="Arial" w:ascii="Arial" w:hAnsi="Arial"/>
                <w:color w:val="00000A"/>
              </w:rPr>
              <w:t xml:space="preserve">2. Размещение молочных кухонь (или их раздаточных пунктов) также возможно при прочих объектах общественно-делового назначения </w:t>
            </w:r>
          </w:p>
        </w:tc>
      </w:tr>
      <w:tr>
        <w:trPr>
          <w:trHeight w:val="1430" w:hRule="atLeast"/>
        </w:trPr>
        <w:tc>
          <w:tcPr>
            <w:tcW w:w="628" w:type="dxa"/>
            <w:gridSpan w:val="5"/>
            <w:tcBorders>
              <w:top w:val="single" w:sz="2" w:space="0" w:color="00000A"/>
              <w:left w:val="single" w:sz="2" w:space="0" w:color="00000A"/>
            </w:tcBorders>
            <w:shd w:fill="auto" w:val="clear"/>
            <w:tcMar>
              <w:left w:w="64" w:type="dxa"/>
            </w:tcMar>
          </w:tcPr>
          <w:p>
            <w:pPr>
              <w:pStyle w:val="Style115"/>
              <w:jc w:val="center"/>
              <w:rPr/>
            </w:pPr>
            <w:r>
              <w:rPr>
                <w:rFonts w:cs="Arial" w:ascii="Arial" w:hAnsi="Arial"/>
                <w:color w:val="00000A"/>
              </w:rPr>
              <w:t>2.</w:t>
            </w:r>
            <w:r>
              <w:rPr/>
              <w:t xml:space="preserve">Расчетный показатель максимально допустимого уровня территориальной доступности </w:t>
            </w:r>
          </w:p>
        </w:tc>
        <w:tc>
          <w:tcPr>
            <w:tcW w:w="2624" w:type="dxa"/>
            <w:gridSpan w:val="3"/>
            <w:tcBorders>
              <w:top w:val="single" w:sz="2" w:space="0" w:color="00000A"/>
              <w:left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Лечебно- профилактические медицинские организации, оказывающие медицинскую помощь в стационарных условиях </w:t>
            </w:r>
          </w:p>
        </w:tc>
        <w:tc>
          <w:tcPr>
            <w:tcW w:w="2201" w:type="dxa"/>
            <w:gridSpan w:val="4"/>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Расчетные показатели минимально допустимого уровня обеспеченности</w:t>
            </w:r>
          </w:p>
        </w:tc>
        <w:tc>
          <w:tcPr>
            <w:tcW w:w="2404" w:type="dxa"/>
            <w:gridSpan w:val="4"/>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допустимого уровня мощности объекта</w:t>
            </w:r>
          </w:p>
        </w:tc>
        <w:tc>
          <w:tcPr>
            <w:tcW w:w="2183" w:type="dxa"/>
            <w:gridSpan w:val="2"/>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Уровень обеспеченности, койка </w:t>
            </w:r>
          </w:p>
        </w:tc>
        <w:tc>
          <w:tcPr>
            <w:tcW w:w="5045" w:type="dxa"/>
            <w:gridSpan w:val="14"/>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71,9 на 10 тыс. человек, в том числе:</w:t>
            </w:r>
          </w:p>
          <w:p>
            <w:pPr>
              <w:pStyle w:val="Style115"/>
              <w:rPr>
                <w:rFonts w:ascii="Arial" w:hAnsi="Arial" w:cs="Arial"/>
                <w:color w:val="00000A"/>
              </w:rPr>
            </w:pPr>
            <w:r>
              <w:rPr>
                <w:rFonts w:cs="Arial" w:ascii="Arial" w:hAnsi="Arial"/>
                <w:color w:val="00000A"/>
              </w:rPr>
              <w:t>- в больничных - 71,4;</w:t>
            </w:r>
          </w:p>
          <w:p>
            <w:pPr>
              <w:pStyle w:val="Style115"/>
              <w:rPr>
                <w:rFonts w:ascii="Arial" w:hAnsi="Arial" w:cs="Arial"/>
                <w:color w:val="00000A"/>
              </w:rPr>
            </w:pPr>
            <w:r>
              <w:rPr>
                <w:rFonts w:cs="Arial" w:ascii="Arial" w:hAnsi="Arial"/>
                <w:color w:val="00000A"/>
              </w:rPr>
              <w:t>- в хосписах - 0,5</w:t>
            </w:r>
          </w:p>
        </w:tc>
      </w:tr>
      <w:tr>
        <w:trPr>
          <w:trHeight w:val="762" w:hRule="atLeast"/>
        </w:trPr>
        <w:tc>
          <w:tcPr>
            <w:tcW w:w="628" w:type="dxa"/>
            <w:gridSpan w:val="5"/>
            <w:vMerge w:val="restart"/>
            <w:tcBorders>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624" w:type="dxa"/>
            <w:gridSpan w:val="3"/>
            <w:vMerge w:val="restart"/>
            <w:tcBorders>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201"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04" w:type="dxa"/>
            <w:gridSpan w:val="4"/>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допустимой площади территории для размещения объекта</w:t>
            </w:r>
          </w:p>
        </w:tc>
        <w:tc>
          <w:tcPr>
            <w:tcW w:w="2183" w:type="dxa"/>
            <w:gridSpan w:val="2"/>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Размер земельного участка, кв. м/койка </w:t>
            </w:r>
          </w:p>
        </w:tc>
        <w:tc>
          <w:tcPr>
            <w:tcW w:w="875" w:type="dxa"/>
            <w:gridSpan w:val="3"/>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при вмес- тимости, коек </w:t>
            </w:r>
          </w:p>
        </w:tc>
        <w:tc>
          <w:tcPr>
            <w:tcW w:w="561" w:type="dxa"/>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до 50 </w:t>
            </w:r>
          </w:p>
        </w:tc>
        <w:tc>
          <w:tcPr>
            <w:tcW w:w="720" w:type="dxa"/>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свыше 50 до 200 </w:t>
            </w:r>
          </w:p>
        </w:tc>
        <w:tc>
          <w:tcPr>
            <w:tcW w:w="723" w:type="dxa"/>
            <w:gridSpan w:val="5"/>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свыше 200 до 400 </w:t>
            </w:r>
          </w:p>
        </w:tc>
        <w:tc>
          <w:tcPr>
            <w:tcW w:w="720" w:type="dxa"/>
            <w:gridSpan w:val="2"/>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свыше 400 до 800 </w:t>
            </w:r>
          </w:p>
        </w:tc>
        <w:tc>
          <w:tcPr>
            <w:tcW w:w="719" w:type="dxa"/>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свыше 800 до 1000 </w:t>
            </w:r>
          </w:p>
        </w:tc>
        <w:tc>
          <w:tcPr>
            <w:tcW w:w="727"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свыше 1000 </w:t>
            </w:r>
          </w:p>
        </w:tc>
      </w:tr>
      <w:tr>
        <w:trPr>
          <w:trHeight w:val="761" w:hRule="atLeast"/>
        </w:trPr>
        <w:tc>
          <w:tcPr>
            <w:tcW w:w="628" w:type="dxa"/>
            <w:gridSpan w:val="5"/>
            <w:vMerge w:val="continue"/>
            <w:tcBorders>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624" w:type="dxa"/>
            <w:gridSpan w:val="3"/>
            <w:vMerge w:val="continue"/>
            <w:tcBorders>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201"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04"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183" w:type="dxa"/>
            <w:gridSpan w:val="2"/>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875" w:type="dxa"/>
            <w:gridSpan w:val="3"/>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кв. м на 1 койку </w:t>
            </w:r>
          </w:p>
        </w:tc>
        <w:tc>
          <w:tcPr>
            <w:tcW w:w="561" w:type="dxa"/>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300 </w:t>
            </w:r>
          </w:p>
        </w:tc>
        <w:tc>
          <w:tcPr>
            <w:tcW w:w="720" w:type="dxa"/>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200 </w:t>
            </w:r>
          </w:p>
        </w:tc>
        <w:tc>
          <w:tcPr>
            <w:tcW w:w="723" w:type="dxa"/>
            <w:gridSpan w:val="5"/>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150 </w:t>
            </w:r>
          </w:p>
        </w:tc>
        <w:tc>
          <w:tcPr>
            <w:tcW w:w="720" w:type="dxa"/>
            <w:gridSpan w:val="2"/>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100 </w:t>
            </w:r>
          </w:p>
        </w:tc>
        <w:tc>
          <w:tcPr>
            <w:tcW w:w="719" w:type="dxa"/>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80 </w:t>
            </w:r>
          </w:p>
        </w:tc>
        <w:tc>
          <w:tcPr>
            <w:tcW w:w="727"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60 </w:t>
            </w:r>
          </w:p>
        </w:tc>
      </w:tr>
      <w:tr>
        <w:trPr/>
        <w:tc>
          <w:tcPr>
            <w:tcW w:w="628" w:type="dxa"/>
            <w:gridSpan w:val="5"/>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624" w:type="dxa"/>
            <w:gridSpan w:val="3"/>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6788" w:type="dxa"/>
            <w:gridSpan w:val="10"/>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Расчетный показатель максимально допустимого уровня территориальной доступности </w:t>
            </w:r>
          </w:p>
        </w:tc>
        <w:tc>
          <w:tcPr>
            <w:tcW w:w="5045" w:type="dxa"/>
            <w:gridSpan w:val="14"/>
            <w:tcBorders>
              <w:top w:val="single" w:sz="2" w:space="0" w:color="00000A"/>
              <w:left w:val="single" w:sz="4" w:space="0" w:color="00000A"/>
              <w:bottom w:val="single" w:sz="2" w:space="0" w:color="00000A"/>
              <w:right w:val="single" w:sz="2" w:space="0" w:color="00000A"/>
              <w:insideH w:val="single" w:sz="2" w:space="0" w:color="00000A"/>
              <w:insideV w:val="single" w:sz="2" w:space="0" w:color="00000A"/>
            </w:tcBorders>
            <w:shd w:fill="auto" w:val="clear"/>
            <w:tcMar>
              <w:left w:w="62" w:type="dxa"/>
            </w:tcMar>
          </w:tcPr>
          <w:p>
            <w:pPr>
              <w:pStyle w:val="Style115"/>
              <w:jc w:val="center"/>
              <w:rPr>
                <w:rFonts w:ascii="Arial" w:hAnsi="Arial" w:cs="Arial"/>
                <w:color w:val="00000A"/>
              </w:rPr>
            </w:pPr>
            <w:r>
              <w:rPr>
                <w:rFonts w:cs="Arial" w:ascii="Arial" w:hAnsi="Arial"/>
                <w:color w:val="00000A"/>
              </w:rPr>
              <w:t>не нормируется</w:t>
            </w:r>
          </w:p>
        </w:tc>
      </w:tr>
      <w:tr>
        <w:trPr/>
        <w:tc>
          <w:tcPr>
            <w:tcW w:w="15085" w:type="dxa"/>
            <w:gridSpan w:val="32"/>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Примечания:</w:t>
            </w:r>
          </w:p>
          <w:p>
            <w:pPr>
              <w:pStyle w:val="Style115"/>
              <w:rPr>
                <w:rFonts w:ascii="Arial" w:hAnsi="Arial" w:cs="Arial"/>
                <w:color w:val="00000A"/>
              </w:rPr>
            </w:pPr>
            <w:r>
              <w:rPr>
                <w:rFonts w:cs="Arial" w:ascii="Arial" w:hAnsi="Arial"/>
                <w:color w:val="00000A"/>
              </w:rPr>
              <w:t>1. На 1 койко-место для детей следует принимать норму всего стационара с коэффициентом 1,5.</w:t>
            </w:r>
          </w:p>
          <w:p>
            <w:pPr>
              <w:pStyle w:val="Style115"/>
              <w:rPr>
                <w:rFonts w:ascii="Arial" w:hAnsi="Arial" w:cs="Arial"/>
                <w:color w:val="00000A"/>
              </w:rPr>
            </w:pPr>
            <w:r>
              <w:rPr>
                <w:rFonts w:cs="Arial" w:ascii="Arial" w:hAnsi="Arial"/>
                <w:color w:val="00000A"/>
              </w:rPr>
              <w:t xml:space="preserve">2. На 1 койко-место для родильных домов следует принимать норму всего стационара с коэффициентом 0,7 </w:t>
            </w:r>
          </w:p>
        </w:tc>
      </w:tr>
      <w:tr>
        <w:trPr>
          <w:trHeight w:val="254" w:hRule="atLeast"/>
        </w:trPr>
        <w:tc>
          <w:tcPr>
            <w:tcW w:w="586" w:type="dxa"/>
            <w:gridSpan w:val="4"/>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jc w:val="center"/>
              <w:rPr>
                <w:rFonts w:ascii="Arial" w:hAnsi="Arial" w:cs="Arial"/>
                <w:color w:val="00000A"/>
              </w:rPr>
            </w:pPr>
            <w:r>
              <w:rPr>
                <w:rFonts w:cs="Arial" w:ascii="Arial" w:hAnsi="Arial"/>
                <w:color w:val="00000A"/>
              </w:rPr>
              <w:t>3.</w:t>
            </w:r>
          </w:p>
        </w:tc>
        <w:tc>
          <w:tcPr>
            <w:tcW w:w="2452" w:type="dxa"/>
            <w:gridSpan w:val="3"/>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Медицинские организации скорой медицинской помощи </w:t>
            </w:r>
          </w:p>
        </w:tc>
        <w:tc>
          <w:tcPr>
            <w:tcW w:w="2413" w:type="dxa"/>
            <w:gridSpan w:val="4"/>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Расчетные показатели минимально допустимого уровня обеспеченности</w:t>
            </w:r>
          </w:p>
        </w:tc>
        <w:tc>
          <w:tcPr>
            <w:tcW w:w="2404" w:type="dxa"/>
            <w:gridSpan w:val="4"/>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допустимого уровня мощности объекта</w:t>
            </w:r>
          </w:p>
        </w:tc>
        <w:tc>
          <w:tcPr>
            <w:tcW w:w="2294" w:type="dxa"/>
            <w:gridSpan w:val="4"/>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Уровень обеспеченности, автомобиль</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1 на 10 тыс. человек </w:t>
            </w:r>
          </w:p>
        </w:tc>
      </w:tr>
      <w:tr>
        <w:trPr>
          <w:trHeight w:val="1656" w:hRule="atLeast"/>
        </w:trPr>
        <w:tc>
          <w:tcPr>
            <w:tcW w:w="586"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jc w:val="center"/>
              <w:rPr>
                <w:rFonts w:ascii="Arial" w:hAnsi="Arial" w:cs="Arial"/>
                <w:color w:val="00000A"/>
              </w:rPr>
            </w:pPr>
            <w:r>
              <w:rPr>
                <w:rFonts w:cs="Arial" w:ascii="Arial" w:hAnsi="Arial"/>
                <w:color w:val="00000A"/>
              </w:rPr>
            </w:r>
          </w:p>
        </w:tc>
        <w:tc>
          <w:tcPr>
            <w:tcW w:w="2452" w:type="dxa"/>
            <w:gridSpan w:val="3"/>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13"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04" w:type="dxa"/>
            <w:gridSpan w:val="4"/>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допустимой площади территории для размещения объекта</w:t>
            </w:r>
          </w:p>
        </w:tc>
        <w:tc>
          <w:tcPr>
            <w:tcW w:w="2294" w:type="dxa"/>
            <w:gridSpan w:val="4"/>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Размер земельного участка, кв.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500 на 1 автомобиль, но не менее 2000 на 1 объект</w:t>
            </w:r>
          </w:p>
        </w:tc>
      </w:tr>
      <w:tr>
        <w:trPr/>
        <w:tc>
          <w:tcPr>
            <w:tcW w:w="586" w:type="dxa"/>
            <w:gridSpan w:val="4"/>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52" w:type="dxa"/>
            <w:gridSpan w:val="3"/>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7113" w:type="dxa"/>
            <w:gridSpan w:val="13"/>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Расчетный показатель максимально допустимого уровня территориальной доступности </w:t>
            </w:r>
          </w:p>
        </w:tc>
        <w:tc>
          <w:tcPr>
            <w:tcW w:w="4934" w:type="dxa"/>
            <w:gridSpan w:val="12"/>
            <w:tcBorders>
              <w:top w:val="single" w:sz="4" w:space="0" w:color="00000A"/>
              <w:left w:val="single" w:sz="2" w:space="0" w:color="00000A"/>
              <w:bottom w:val="single" w:sz="4" w:space="0" w:color="00000A"/>
              <w:right w:val="single" w:sz="2" w:space="0" w:color="00000A"/>
              <w:insideH w:val="single" w:sz="4" w:space="0" w:color="00000A"/>
              <w:insideV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в пределах 30-минутной доступности автомобиля до пациента </w:t>
            </w:r>
          </w:p>
        </w:tc>
      </w:tr>
      <w:tr>
        <w:trPr>
          <w:trHeight w:val="254" w:hRule="atLeast"/>
        </w:trPr>
        <w:tc>
          <w:tcPr>
            <w:tcW w:w="586" w:type="dxa"/>
            <w:gridSpan w:val="4"/>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jc w:val="center"/>
              <w:rPr>
                <w:rFonts w:ascii="Arial" w:hAnsi="Arial" w:cs="Arial"/>
                <w:color w:val="00000A"/>
              </w:rPr>
            </w:pPr>
            <w:r>
              <w:rPr>
                <w:rFonts w:cs="Arial" w:ascii="Arial" w:hAnsi="Arial"/>
                <w:color w:val="00000A"/>
              </w:rPr>
              <w:t>4.</w:t>
            </w:r>
          </w:p>
        </w:tc>
        <w:tc>
          <w:tcPr>
            <w:tcW w:w="2452" w:type="dxa"/>
            <w:gridSpan w:val="3"/>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Фельдшерские или фельдшерско-акушерские пункты</w:t>
            </w:r>
          </w:p>
        </w:tc>
        <w:tc>
          <w:tcPr>
            <w:tcW w:w="2413" w:type="dxa"/>
            <w:gridSpan w:val="4"/>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Расчетные показатели минимально допустимого уровня обеспеченности</w:t>
            </w:r>
          </w:p>
        </w:tc>
        <w:tc>
          <w:tcPr>
            <w:tcW w:w="2404" w:type="dxa"/>
            <w:gridSpan w:val="4"/>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допустимого уровня мощности объекта</w:t>
            </w:r>
          </w:p>
        </w:tc>
        <w:tc>
          <w:tcPr>
            <w:tcW w:w="2294" w:type="dxa"/>
            <w:gridSpan w:val="4"/>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Уровень обеспеченности, автомобиль</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заданию на проектирование</w:t>
            </w:r>
          </w:p>
        </w:tc>
      </w:tr>
      <w:tr>
        <w:trPr>
          <w:trHeight w:val="1656" w:hRule="atLeast"/>
        </w:trPr>
        <w:tc>
          <w:tcPr>
            <w:tcW w:w="586"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jc w:val="center"/>
              <w:rPr>
                <w:rFonts w:ascii="Arial" w:hAnsi="Arial" w:cs="Arial"/>
                <w:color w:val="00000A"/>
              </w:rPr>
            </w:pPr>
            <w:r>
              <w:rPr>
                <w:rFonts w:cs="Arial" w:ascii="Arial" w:hAnsi="Arial"/>
                <w:color w:val="00000A"/>
              </w:rPr>
            </w:r>
          </w:p>
        </w:tc>
        <w:tc>
          <w:tcPr>
            <w:tcW w:w="2452" w:type="dxa"/>
            <w:gridSpan w:val="3"/>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13"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04" w:type="dxa"/>
            <w:gridSpan w:val="4"/>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допустимой площади территории для размещения объекта</w:t>
            </w:r>
          </w:p>
        </w:tc>
        <w:tc>
          <w:tcPr>
            <w:tcW w:w="2294" w:type="dxa"/>
            <w:gridSpan w:val="4"/>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Размер земельного участка, кв.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Не менее 0,2 га</w:t>
            </w:r>
          </w:p>
        </w:tc>
      </w:tr>
      <w:tr>
        <w:trPr/>
        <w:tc>
          <w:tcPr>
            <w:tcW w:w="586" w:type="dxa"/>
            <w:gridSpan w:val="4"/>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52" w:type="dxa"/>
            <w:gridSpan w:val="3"/>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7113" w:type="dxa"/>
            <w:gridSpan w:val="13"/>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Расчетный показатель максимально допустимого уровня территориальной доступности </w:t>
            </w:r>
          </w:p>
        </w:tc>
        <w:tc>
          <w:tcPr>
            <w:tcW w:w="4934" w:type="dxa"/>
            <w:gridSpan w:val="12"/>
            <w:vMerge w:val="restart"/>
            <w:tcBorders>
              <w:top w:val="single" w:sz="4" w:space="0" w:color="00000A"/>
              <w:left w:val="single" w:sz="2" w:space="0" w:color="00000A"/>
              <w:bottom w:val="single" w:sz="4" w:space="0" w:color="00000A"/>
              <w:right w:val="single" w:sz="2" w:space="0" w:color="00000A"/>
              <w:insideH w:val="single" w:sz="4" w:space="0" w:color="00000A"/>
              <w:insideV w:val="single" w:sz="2" w:space="0" w:color="00000A"/>
            </w:tcBorders>
            <w:shd w:fill="auto" w:val="clear"/>
            <w:tcMar>
              <w:left w:w="64" w:type="dxa"/>
            </w:tcMar>
          </w:tcPr>
          <w:p>
            <w:pPr>
              <w:pStyle w:val="Style115"/>
              <w:rPr>
                <w:rFonts w:ascii="Arial" w:hAnsi="Arial" w:cs="Arial"/>
              </w:rPr>
            </w:pPr>
            <w:r>
              <w:rPr>
                <w:rFonts w:cs="Arial" w:ascii="Arial" w:hAnsi="Arial"/>
              </w:rPr>
              <w:t>в пределах 30-минутной доступности на транспорте</w:t>
            </w:r>
          </w:p>
        </w:tc>
      </w:tr>
      <w:tr>
        <w:trPr/>
        <w:tc>
          <w:tcPr>
            <w:tcW w:w="586" w:type="dxa"/>
            <w:gridSpan w:val="4"/>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52" w:type="dxa"/>
            <w:gridSpan w:val="3"/>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7113" w:type="dxa"/>
            <w:gridSpan w:val="13"/>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4934" w:type="dxa"/>
            <w:gridSpan w:val="12"/>
            <w:vMerge w:val="continue"/>
            <w:tcBorders>
              <w:top w:val="single" w:sz="4" w:space="0" w:color="00000A"/>
              <w:left w:val="single" w:sz="2" w:space="0" w:color="00000A"/>
              <w:bottom w:val="single" w:sz="4" w:space="0" w:color="00000A"/>
              <w:right w:val="single" w:sz="2" w:space="0" w:color="00000A"/>
              <w:insideH w:val="single" w:sz="4" w:space="0" w:color="00000A"/>
              <w:insideV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r>
      <w:tr>
        <w:trPr>
          <w:trHeight w:val="254" w:hRule="atLeast"/>
        </w:trPr>
        <w:tc>
          <w:tcPr>
            <w:tcW w:w="586" w:type="dxa"/>
            <w:gridSpan w:val="4"/>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jc w:val="center"/>
              <w:rPr>
                <w:rFonts w:ascii="Arial" w:hAnsi="Arial" w:cs="Arial"/>
                <w:color w:val="00000A"/>
              </w:rPr>
            </w:pPr>
            <w:r>
              <w:rPr>
                <w:rFonts w:cs="Arial" w:ascii="Arial" w:hAnsi="Arial"/>
                <w:color w:val="00000A"/>
              </w:rPr>
              <w:t>5.</w:t>
            </w:r>
          </w:p>
        </w:tc>
        <w:tc>
          <w:tcPr>
            <w:tcW w:w="2452" w:type="dxa"/>
            <w:gridSpan w:val="3"/>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Аптеки </w:t>
            </w:r>
          </w:p>
          <w:p>
            <w:pPr>
              <w:pStyle w:val="Style115"/>
              <w:rPr>
                <w:rFonts w:ascii="Arial" w:hAnsi="Arial" w:cs="Arial"/>
                <w:color w:val="00000A"/>
              </w:rPr>
            </w:pPr>
            <w:r>
              <w:rPr>
                <w:rFonts w:cs="Arial" w:ascii="Arial" w:hAnsi="Arial"/>
                <w:color w:val="00000A"/>
              </w:rPr>
            </w:r>
          </w:p>
          <w:p>
            <w:pPr>
              <w:pStyle w:val="Style115"/>
              <w:rPr>
                <w:rFonts w:ascii="Arial" w:hAnsi="Arial" w:cs="Arial"/>
                <w:color w:val="00000A"/>
              </w:rPr>
            </w:pPr>
            <w:r>
              <w:rPr>
                <w:rFonts w:cs="Arial" w:ascii="Arial" w:hAnsi="Arial"/>
                <w:color w:val="00000A"/>
              </w:rPr>
            </w:r>
          </w:p>
        </w:tc>
        <w:tc>
          <w:tcPr>
            <w:tcW w:w="2413" w:type="dxa"/>
            <w:gridSpan w:val="4"/>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Расчетные показатели минимально допустимого уровня обеспеченности</w:t>
            </w:r>
          </w:p>
        </w:tc>
        <w:tc>
          <w:tcPr>
            <w:tcW w:w="2404" w:type="dxa"/>
            <w:gridSpan w:val="4"/>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допустимого уровня мощности объекта</w:t>
            </w:r>
          </w:p>
        </w:tc>
        <w:tc>
          <w:tcPr>
            <w:tcW w:w="2294" w:type="dxa"/>
            <w:gridSpan w:val="4"/>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Уровень обеспеченности, </w:t>
            </w:r>
          </w:p>
          <w:p>
            <w:pPr>
              <w:pStyle w:val="Style115"/>
              <w:rPr>
                <w:rFonts w:ascii="Arial" w:hAnsi="Arial" w:cs="Arial"/>
                <w:color w:val="00000A"/>
              </w:rPr>
            </w:pPr>
            <w:r>
              <w:rPr>
                <w:rFonts w:cs="Arial" w:ascii="Arial" w:hAnsi="Arial"/>
                <w:color w:val="00000A"/>
              </w:rPr>
              <w:t xml:space="preserve">учреждений </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1 на 6,2 тыс.жителей</w:t>
            </w:r>
          </w:p>
        </w:tc>
      </w:tr>
      <w:tr>
        <w:trPr>
          <w:trHeight w:val="1656" w:hRule="atLeast"/>
        </w:trPr>
        <w:tc>
          <w:tcPr>
            <w:tcW w:w="586"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jc w:val="center"/>
              <w:rPr>
                <w:rFonts w:ascii="Arial" w:hAnsi="Arial" w:cs="Arial"/>
                <w:color w:val="00000A"/>
              </w:rPr>
            </w:pPr>
            <w:r>
              <w:rPr>
                <w:rFonts w:cs="Arial" w:ascii="Arial" w:hAnsi="Arial"/>
                <w:color w:val="00000A"/>
              </w:rPr>
            </w:r>
          </w:p>
        </w:tc>
        <w:tc>
          <w:tcPr>
            <w:tcW w:w="2452" w:type="dxa"/>
            <w:gridSpan w:val="3"/>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13"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04" w:type="dxa"/>
            <w:gridSpan w:val="4"/>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допустимой площади территории для размещения объекта</w:t>
            </w:r>
          </w:p>
        </w:tc>
        <w:tc>
          <w:tcPr>
            <w:tcW w:w="2294" w:type="dxa"/>
            <w:gridSpan w:val="4"/>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Размер земельного участка, кв.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I-II группа - 0,3 га или втроенные;</w:t>
            </w:r>
          </w:p>
          <w:p>
            <w:pPr>
              <w:pStyle w:val="Style115"/>
              <w:rPr>
                <w:rFonts w:ascii="Arial" w:hAnsi="Arial" w:cs="Arial"/>
                <w:color w:val="00000A"/>
              </w:rPr>
            </w:pPr>
            <w:r>
              <w:rPr>
                <w:rFonts w:cs="Arial" w:ascii="Arial" w:hAnsi="Arial"/>
                <w:color w:val="00000A"/>
              </w:rPr>
              <w:t>III–V группа - 0,25 га;</w:t>
            </w:r>
          </w:p>
          <w:p>
            <w:pPr>
              <w:pStyle w:val="Style115"/>
              <w:rPr>
                <w:rFonts w:ascii="Arial" w:hAnsi="Arial" w:cs="Arial"/>
                <w:color w:val="00000A"/>
              </w:rPr>
            </w:pPr>
            <w:r>
              <w:rPr>
                <w:rFonts w:cs="Arial" w:ascii="Arial" w:hAnsi="Arial"/>
                <w:color w:val="00000A"/>
              </w:rPr>
              <w:t>VI-VII группа – 0,2 га</w:t>
            </w:r>
          </w:p>
        </w:tc>
      </w:tr>
      <w:tr>
        <w:trPr/>
        <w:tc>
          <w:tcPr>
            <w:tcW w:w="586" w:type="dxa"/>
            <w:gridSpan w:val="4"/>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52" w:type="dxa"/>
            <w:gridSpan w:val="3"/>
            <w:tcBorders>
              <w:left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7113" w:type="dxa"/>
            <w:gridSpan w:val="13"/>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Расчетный показатель максимально допустимого уровня территориальной доступности </w:t>
            </w:r>
          </w:p>
        </w:tc>
        <w:tc>
          <w:tcPr>
            <w:tcW w:w="4934" w:type="dxa"/>
            <w:gridSpan w:val="12"/>
            <w:vMerge w:val="restart"/>
            <w:tcBorders>
              <w:top w:val="single" w:sz="4" w:space="0" w:color="00000A"/>
              <w:left w:val="single" w:sz="2" w:space="0" w:color="00000A"/>
              <w:bottom w:val="single" w:sz="4" w:space="0" w:color="00000A"/>
              <w:right w:val="single" w:sz="2" w:space="0" w:color="00000A"/>
              <w:insideH w:val="single" w:sz="4" w:space="0" w:color="00000A"/>
              <w:insideV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В зоне многоквартирной и малоэтажной жилой застройки – 300м, в зоне застройки индивидуальными жилыми домами – 600м</w:t>
            </w:r>
          </w:p>
        </w:tc>
      </w:tr>
      <w:tr>
        <w:trPr/>
        <w:tc>
          <w:tcPr>
            <w:tcW w:w="586" w:type="dxa"/>
            <w:gridSpan w:val="4"/>
            <w:tcBorders>
              <w:left w:val="single" w:sz="2" w:space="0" w:color="00000A"/>
              <w:bottom w:val="single" w:sz="2" w:space="0" w:color="00000A"/>
              <w:insideH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52" w:type="dxa"/>
            <w:gridSpan w:val="3"/>
            <w:tcBorders>
              <w:left w:val="single" w:sz="2" w:space="0" w:color="00000A"/>
              <w:bottom w:val="single" w:sz="2" w:space="0" w:color="00000A"/>
              <w:insideH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7113" w:type="dxa"/>
            <w:gridSpan w:val="13"/>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4934" w:type="dxa"/>
            <w:gridSpan w:val="12"/>
            <w:vMerge w:val="continue"/>
            <w:tcBorders>
              <w:top w:val="single" w:sz="4" w:space="0" w:color="00000A"/>
              <w:left w:val="single" w:sz="2" w:space="0" w:color="00000A"/>
              <w:bottom w:val="single" w:sz="4" w:space="0" w:color="00000A"/>
              <w:right w:val="single" w:sz="2" w:space="0" w:color="00000A"/>
              <w:insideH w:val="single" w:sz="4" w:space="0" w:color="00000A"/>
              <w:insideV w:val="single" w:sz="2"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r>
      <w:tr>
        <w:trPr>
          <w:trHeight w:val="472" w:hRule="atLeast"/>
        </w:trPr>
        <w:tc>
          <w:tcPr>
            <w:tcW w:w="586" w:type="dxa"/>
            <w:gridSpan w:val="4"/>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jc w:val="center"/>
              <w:rPr>
                <w:rFonts w:ascii="Arial" w:hAnsi="Arial" w:cs="Arial"/>
                <w:color w:val="00000A"/>
              </w:rPr>
            </w:pPr>
            <w:r>
              <w:rPr>
                <w:rFonts w:cs="Arial" w:ascii="Arial" w:hAnsi="Arial"/>
                <w:color w:val="00000A"/>
              </w:rPr>
              <w:t>6.</w:t>
            </w:r>
          </w:p>
        </w:tc>
        <w:tc>
          <w:tcPr>
            <w:tcW w:w="2452" w:type="dxa"/>
            <w:gridSpan w:val="3"/>
            <w:vMerge w:val="restart"/>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Медицинские организации особого типа </w:t>
            </w:r>
          </w:p>
        </w:tc>
        <w:tc>
          <w:tcPr>
            <w:tcW w:w="7113" w:type="dxa"/>
            <w:gridSpan w:val="13"/>
            <w:tcBorders>
              <w:top w:val="single" w:sz="2" w:space="0" w:color="00000A"/>
              <w:left w:val="single" w:sz="2" w:space="0" w:color="00000A"/>
              <w:bottom w:val="single" w:sz="2" w:space="0" w:color="00000A"/>
              <w:insideH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Уровень обеспеченности, объект </w:t>
            </w:r>
          </w:p>
        </w:tc>
        <w:tc>
          <w:tcPr>
            <w:tcW w:w="4934" w:type="dxa"/>
            <w:gridSpan w:val="12"/>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по заданию на проектирование </w:t>
            </w:r>
          </w:p>
        </w:tc>
      </w:tr>
      <w:tr>
        <w:trPr/>
        <w:tc>
          <w:tcPr>
            <w:tcW w:w="586"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52" w:type="dxa"/>
            <w:gridSpan w:val="3"/>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7113" w:type="dxa"/>
            <w:gridSpan w:val="13"/>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Размер земельного участка, га </w:t>
            </w:r>
          </w:p>
        </w:tc>
        <w:tc>
          <w:tcPr>
            <w:tcW w:w="4934" w:type="dxa"/>
            <w:gridSpan w:val="12"/>
            <w:tcBorders>
              <w:top w:val="single" w:sz="2" w:space="0" w:color="00000A"/>
              <w:left w:val="single" w:sz="2" w:space="0" w:color="00000A"/>
              <w:bottom w:val="single" w:sz="4" w:space="0" w:color="00000A"/>
              <w:right w:val="single" w:sz="2" w:space="0" w:color="00000A"/>
              <w:insideH w:val="single" w:sz="4" w:space="0" w:color="00000A"/>
              <w:insideV w:val="single" w:sz="2"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по заданию на проектирование </w:t>
            </w:r>
          </w:p>
        </w:tc>
      </w:tr>
      <w:tr>
        <w:trPr/>
        <w:tc>
          <w:tcPr>
            <w:tcW w:w="586" w:type="dxa"/>
            <w:gridSpan w:val="4"/>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2452" w:type="dxa"/>
            <w:gridSpan w:val="3"/>
            <w:vMerge w:val="continue"/>
            <w:tcBorders>
              <w:top w:val="single" w:sz="2" w:space="0" w:color="00000A"/>
              <w:left w:val="single" w:sz="2" w:space="0" w:color="00000A"/>
              <w:bottom w:val="single" w:sz="4" w:space="0" w:color="00000A"/>
              <w:insideH w:val="single" w:sz="4" w:space="0" w:color="00000A"/>
            </w:tcBorders>
            <w:shd w:fill="auto" w:val="clear"/>
            <w:tcMar>
              <w:left w:w="64" w:type="dxa"/>
            </w:tcMar>
          </w:tcPr>
          <w:p>
            <w:pPr>
              <w:pStyle w:val="Style115"/>
              <w:snapToGrid w:val="false"/>
              <w:rPr>
                <w:rFonts w:ascii="Arial" w:hAnsi="Arial" w:cs="Arial"/>
                <w:color w:val="00000A"/>
              </w:rPr>
            </w:pPr>
            <w:r>
              <w:rPr>
                <w:rFonts w:cs="Arial" w:ascii="Arial" w:hAnsi="Arial"/>
                <w:color w:val="00000A"/>
              </w:rPr>
            </w:r>
          </w:p>
        </w:tc>
        <w:tc>
          <w:tcPr>
            <w:tcW w:w="7113" w:type="dxa"/>
            <w:gridSpan w:val="13"/>
            <w:tcBorders>
              <w:top w:val="single" w:sz="4" w:space="0" w:color="00000A"/>
              <w:left w:val="single" w:sz="2" w:space="0" w:color="00000A"/>
              <w:bottom w:val="single" w:sz="4" w:space="0" w:color="00000A"/>
              <w:insideH w:val="single" w:sz="4" w:space="0" w:color="00000A"/>
            </w:tcBorders>
            <w:shd w:fill="auto" w:val="clear"/>
            <w:tcMar>
              <w:left w:w="64" w:type="dxa"/>
            </w:tcMar>
          </w:tcPr>
          <w:p>
            <w:pPr>
              <w:pStyle w:val="Style115"/>
              <w:rPr>
                <w:rFonts w:ascii="Arial" w:hAnsi="Arial" w:cs="Arial"/>
                <w:color w:val="00000A"/>
              </w:rPr>
            </w:pPr>
            <w:r>
              <w:rPr>
                <w:rFonts w:cs="Arial" w:ascii="Arial" w:hAnsi="Arial"/>
                <w:color w:val="00000A"/>
              </w:rPr>
              <w:t xml:space="preserve">Расчетный показатель максимально допустимого уровня территориальной доступности </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не нормируется </w:t>
            </w:r>
          </w:p>
        </w:tc>
      </w:tr>
      <w:tr>
        <w:trPr/>
        <w:tc>
          <w:tcPr>
            <w:tcW w:w="15090" w:type="dxa"/>
            <w:gridSpan w:val="3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551"/>
              <w:snapToGrid w:val="false"/>
              <w:ind w:left="0" w:right="0" w:hanging="0"/>
              <w:rPr>
                <w:rFonts w:ascii="Arial" w:hAnsi="Arial" w:cs="Arial"/>
              </w:rPr>
            </w:pPr>
            <w:r>
              <w:rPr>
                <w:rFonts w:cs="Arial" w:ascii="Arial" w:hAnsi="Arial"/>
              </w:rPr>
            </w:r>
          </w:p>
          <w:p>
            <w:pPr>
              <w:pStyle w:val="551"/>
              <w:ind w:left="0" w:right="0" w:hanging="0"/>
              <w:rPr>
                <w:rFonts w:ascii="Arial" w:hAnsi="Arial" w:cs="Arial"/>
              </w:rPr>
            </w:pPr>
            <w:r>
              <w:rPr>
                <w:rFonts w:cs="Arial" w:ascii="Arial" w:hAnsi="Arial"/>
              </w:rPr>
            </w:r>
          </w:p>
          <w:p>
            <w:pPr>
              <w:pStyle w:val="555551"/>
              <w:rPr>
                <w:rFonts w:ascii="Arial" w:hAnsi="Arial" w:cs="Arial"/>
              </w:rPr>
            </w:pPr>
            <w:bookmarkStart w:id="11" w:name="__RefHeading___Toc494193907"/>
            <w:bookmarkEnd w:id="11"/>
            <w:r>
              <w:rPr>
                <w:rFonts w:cs="Arial" w:ascii="Arial" w:hAnsi="Arial"/>
              </w:rPr>
              <w:t>4.3.3.</w:t>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культуры местного значения</w:t>
            </w:r>
          </w:p>
          <w:p>
            <w:pPr>
              <w:pStyle w:val="551"/>
              <w:rPr>
                <w:rFonts w:ascii="Arial" w:hAnsi="Arial" w:cs="Arial"/>
              </w:rPr>
            </w:pPr>
            <w:r>
              <w:rPr>
                <w:rFonts w:cs="Arial" w:ascii="Arial" w:hAnsi="Arial"/>
              </w:rPr>
            </w:r>
          </w:p>
        </w:tc>
      </w:tr>
      <w:tr>
        <w:trPr/>
        <w:tc>
          <w:tcPr>
            <w:tcW w:w="473"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N п/п</w:t>
            </w:r>
          </w:p>
        </w:tc>
        <w:tc>
          <w:tcPr>
            <w:tcW w:w="2553" w:type="dxa"/>
            <w:gridSpan w:val="5"/>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Наименование вида объекта</w:t>
            </w:r>
          </w:p>
        </w:tc>
        <w:tc>
          <w:tcPr>
            <w:tcW w:w="12064" w:type="dxa"/>
            <w:gridSpan w:val="2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11"/>
              <w:jc w:val="center"/>
              <w:rPr>
                <w:rFonts w:cs="Arial"/>
                <w:b/>
                <w:b/>
                <w:sz w:val="24"/>
                <w:szCs w:val="24"/>
              </w:rPr>
            </w:pPr>
            <w:r>
              <w:rPr>
                <w:rFonts w:cs="Arial"/>
                <w:b/>
                <w:sz w:val="24"/>
                <w:szCs w:val="24"/>
              </w:rPr>
              <w:t>Предельные значения расчетных показателей</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1.</w:t>
            </w:r>
          </w:p>
        </w:tc>
        <w:tc>
          <w:tcPr>
            <w:tcW w:w="2545"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Помещения для культурно-досуговой деятельности</w:t>
            </w:r>
          </w:p>
        </w:tc>
        <w:tc>
          <w:tcPr>
            <w:tcW w:w="2425"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w:t>
            </w:r>
          </w:p>
          <w:p>
            <w:pPr>
              <w:pStyle w:val="ConsPlusNormal11"/>
              <w:rPr>
                <w:rFonts w:cs="Arial"/>
                <w:sz w:val="24"/>
                <w:szCs w:val="24"/>
              </w:rPr>
            </w:pPr>
            <w:r>
              <w:rPr>
                <w:rFonts w:cs="Arial"/>
                <w:sz w:val="24"/>
                <w:szCs w:val="24"/>
              </w:rPr>
              <w:t>кв. м площади пола</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50 на 1 тыс. населения</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45"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25"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заданию на проектирование</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45"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829"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Пешеходная доступность,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 в пределах населенного пункта</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2.</w:t>
            </w:r>
          </w:p>
        </w:tc>
        <w:tc>
          <w:tcPr>
            <w:tcW w:w="2545"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910"/>
              <w:widowControl/>
              <w:spacing w:lineRule="exact" w:line="274"/>
              <w:ind w:left="10" w:right="0" w:hanging="10"/>
              <w:rPr/>
            </w:pPr>
            <w:r>
              <w:rPr>
                <w:rStyle w:val="FontStyle54"/>
                <w:rFonts w:eastAsia="" w:cs="Arial" w:ascii="Arial" w:hAnsi="Arial"/>
                <w:sz w:val="24"/>
                <w:szCs w:val="24"/>
              </w:rPr>
              <w:t>Клубы для сельских</w:t>
            </w:r>
          </w:p>
          <w:p>
            <w:pPr>
              <w:pStyle w:val="Style910"/>
              <w:widowControl/>
              <w:spacing w:lineRule="auto" w:line="240"/>
              <w:rPr/>
            </w:pPr>
            <w:r>
              <w:rPr>
                <w:rStyle w:val="FontStyle54"/>
                <w:rFonts w:eastAsia="" w:cs="Arial" w:ascii="Arial" w:hAnsi="Arial"/>
                <w:sz w:val="24"/>
                <w:szCs w:val="24"/>
              </w:rPr>
              <w:t>поселений или</w:t>
            </w:r>
          </w:p>
          <w:p>
            <w:pPr>
              <w:pStyle w:val="Style910"/>
              <w:rPr/>
            </w:pPr>
            <w:r>
              <w:rPr>
                <w:rStyle w:val="FontStyle54"/>
                <w:rFonts w:eastAsia="" w:cs="Arial" w:ascii="Arial" w:hAnsi="Arial"/>
                <w:sz w:val="24"/>
                <w:szCs w:val="24"/>
              </w:rPr>
              <w:t>их групп</w:t>
            </w:r>
          </w:p>
        </w:tc>
        <w:tc>
          <w:tcPr>
            <w:tcW w:w="2425"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910"/>
              <w:widowControl/>
              <w:spacing w:lineRule="exact" w:line="274"/>
              <w:ind w:left="5" w:right="0" w:hanging="5"/>
              <w:rPr/>
            </w:pPr>
            <w:r>
              <w:rPr>
                <w:rStyle w:val="FontStyle54"/>
                <w:rFonts w:eastAsia="" w:cs="Arial" w:ascii="Arial" w:hAnsi="Arial"/>
                <w:sz w:val="24"/>
                <w:szCs w:val="24"/>
              </w:rPr>
              <w:t>Расчетные показатели</w:t>
            </w:r>
          </w:p>
          <w:p>
            <w:pPr>
              <w:pStyle w:val="Style910"/>
              <w:widowControl/>
              <w:spacing w:lineRule="auto" w:line="240"/>
              <w:rPr/>
            </w:pPr>
            <w:r>
              <w:rPr>
                <w:rStyle w:val="FontStyle54"/>
                <w:rFonts w:eastAsia="" w:cs="Arial" w:ascii="Arial" w:hAnsi="Arial"/>
                <w:sz w:val="24"/>
                <w:szCs w:val="24"/>
              </w:rPr>
              <w:t>минимально</w:t>
            </w:r>
          </w:p>
          <w:p>
            <w:pPr>
              <w:pStyle w:val="Style910"/>
              <w:widowControl/>
              <w:spacing w:lineRule="exact" w:line="274"/>
              <w:rPr/>
            </w:pPr>
            <w:r>
              <w:rPr>
                <w:rStyle w:val="FontStyle54"/>
                <w:rFonts w:eastAsia="" w:cs="Arial" w:ascii="Arial" w:hAnsi="Arial"/>
                <w:sz w:val="24"/>
                <w:szCs w:val="24"/>
              </w:rPr>
              <w:t>допустимого уровня</w:t>
            </w:r>
          </w:p>
          <w:p>
            <w:pPr>
              <w:pStyle w:val="Style910"/>
              <w:spacing w:lineRule="exact" w:line="274"/>
              <w:rPr/>
            </w:pPr>
            <w:r>
              <w:rPr>
                <w:rStyle w:val="FontStyle54"/>
                <w:rFonts w:eastAsia="" w:cs="Arial" w:ascii="Arial" w:hAnsi="Arial"/>
                <w:sz w:val="24"/>
                <w:szCs w:val="24"/>
              </w:rPr>
              <w:t>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910"/>
              <w:widowControl/>
              <w:spacing w:lineRule="exact" w:line="274"/>
              <w:ind w:left="0" w:right="0" w:firstLine="5"/>
              <w:rPr/>
            </w:pPr>
            <w:r>
              <w:rPr>
                <w:rStyle w:val="FontStyle54"/>
                <w:rFonts w:eastAsia="" w:cs="Arial" w:ascii="Arial" w:hAnsi="Arial"/>
                <w:sz w:val="24"/>
                <w:szCs w:val="24"/>
              </w:rPr>
              <w:t>Расчетный показатель</w:t>
            </w:r>
          </w:p>
          <w:p>
            <w:pPr>
              <w:pStyle w:val="Style910"/>
              <w:widowControl/>
              <w:spacing w:lineRule="auto" w:line="240"/>
              <w:rPr/>
            </w:pPr>
            <w:r>
              <w:rPr>
                <w:rStyle w:val="FontStyle54"/>
                <w:rFonts w:eastAsia="" w:cs="Arial" w:ascii="Arial" w:hAnsi="Arial"/>
                <w:sz w:val="24"/>
                <w:szCs w:val="24"/>
              </w:rPr>
              <w:t>минимально</w:t>
            </w:r>
          </w:p>
          <w:p>
            <w:pPr>
              <w:pStyle w:val="Style910"/>
              <w:ind w:left="0" w:right="0" w:firstLine="10"/>
              <w:rPr/>
            </w:pPr>
            <w:r>
              <w:rPr>
                <w:rStyle w:val="FontStyle54"/>
                <w:rFonts w:eastAsia="" w:cs="Arial" w:ascii="Arial" w:hAnsi="Arial"/>
                <w:sz w:val="24"/>
                <w:szCs w:val="24"/>
              </w:rPr>
              <w:t>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910"/>
              <w:widowControl/>
              <w:spacing w:lineRule="exact" w:line="274"/>
              <w:rPr/>
            </w:pPr>
            <w:r>
              <w:rPr>
                <w:rStyle w:val="FontStyle54"/>
                <w:rFonts w:eastAsia="" w:cs="Arial" w:ascii="Arial" w:hAnsi="Arial"/>
                <w:sz w:val="24"/>
                <w:szCs w:val="24"/>
              </w:rPr>
              <w:t>Уровень обеспеченности,</w:t>
            </w:r>
          </w:p>
          <w:p>
            <w:pPr>
              <w:pStyle w:val="Style910"/>
              <w:widowControl/>
              <w:spacing w:lineRule="auto" w:line="240"/>
              <w:rPr/>
            </w:pPr>
            <w:r>
              <w:rPr>
                <w:rStyle w:val="FontStyle54"/>
                <w:rFonts w:eastAsia="" w:cs="Arial" w:ascii="Arial" w:hAnsi="Arial"/>
                <w:sz w:val="24"/>
                <w:szCs w:val="24"/>
              </w:rPr>
              <w:t>посетительское место</w:t>
            </w:r>
          </w:p>
          <w:p>
            <w:pPr>
              <w:pStyle w:val="Style910"/>
              <w:rPr/>
            </w:pPr>
            <w:r>
              <w:rPr>
                <w:rStyle w:val="FontStyle54"/>
                <w:rFonts w:eastAsia="" w:cs="Arial" w:ascii="Arial" w:hAnsi="Arial"/>
                <w:sz w:val="24"/>
                <w:szCs w:val="24"/>
              </w:rPr>
              <w:t>на 1 тыс.чел.</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910"/>
              <w:widowControl/>
              <w:spacing w:lineRule="auto" w:line="240"/>
              <w:rPr/>
            </w:pPr>
            <w:r>
              <w:rPr>
                <w:rStyle w:val="FontStyle54"/>
                <w:rFonts w:eastAsia="" w:cs="Arial" w:ascii="Arial" w:hAnsi="Arial"/>
                <w:sz w:val="24"/>
                <w:szCs w:val="24"/>
              </w:rPr>
              <w:t>св.0,2 до 1 - 500-300</w:t>
            </w:r>
          </w:p>
          <w:p>
            <w:pPr>
              <w:pStyle w:val="Style910"/>
              <w:widowControl/>
              <w:spacing w:lineRule="auto" w:line="240"/>
              <w:rPr/>
            </w:pPr>
            <w:r>
              <w:rPr>
                <w:rStyle w:val="FontStyle54"/>
                <w:rFonts w:eastAsia="" w:cs="Arial" w:ascii="Arial" w:hAnsi="Arial"/>
                <w:sz w:val="24"/>
                <w:szCs w:val="24"/>
              </w:rPr>
              <w:t>св. 1 до 2 - 300-230</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45"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25"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заданию на проектирование</w:t>
            </w:r>
          </w:p>
        </w:tc>
      </w:tr>
      <w:tr>
        <w:trPr>
          <w:trHeight w:val="527" w:hRule="atLeast"/>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45"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7123"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 для муниципального района</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в пределах населенного пункта</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3.</w:t>
            </w:r>
          </w:p>
        </w:tc>
        <w:tc>
          <w:tcPr>
            <w:tcW w:w="2545"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Кинотеатры</w:t>
            </w:r>
          </w:p>
        </w:tc>
        <w:tc>
          <w:tcPr>
            <w:tcW w:w="2425"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обеспеченности количеством объектов</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объектов</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1 - на муниципальный район;</w:t>
            </w:r>
          </w:p>
          <w:p>
            <w:pPr>
              <w:pStyle w:val="ConsPlusNormal11"/>
              <w:rPr>
                <w:rFonts w:cs="Arial"/>
                <w:sz w:val="24"/>
                <w:szCs w:val="24"/>
              </w:rPr>
            </w:pPr>
            <w:r>
              <w:rPr>
                <w:rFonts w:cs="Arial"/>
                <w:sz w:val="24"/>
                <w:szCs w:val="24"/>
              </w:rPr>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45"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25"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заданию на проектирование</w:t>
            </w:r>
          </w:p>
        </w:tc>
      </w:tr>
      <w:tr>
        <w:trPr>
          <w:trHeight w:val="527" w:hRule="atLeast"/>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45"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7123"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 для муниципального района</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 xml:space="preserve">В пределах транспортной доступности </w:t>
            </w:r>
          </w:p>
        </w:tc>
      </w:tr>
      <w:tr>
        <w:trPr/>
        <w:tc>
          <w:tcPr>
            <w:tcW w:w="15090" w:type="dxa"/>
            <w:gridSpan w:val="3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Примечания:</w:t>
            </w:r>
          </w:p>
          <w:p>
            <w:pPr>
              <w:pStyle w:val="ConsPlusNormal11"/>
              <w:rPr>
                <w:rFonts w:cs="Arial"/>
                <w:sz w:val="24"/>
                <w:szCs w:val="24"/>
              </w:rPr>
            </w:pPr>
            <w:r>
              <w:rPr>
                <w:rFonts w:cs="Arial"/>
                <w:sz w:val="24"/>
                <w:szCs w:val="24"/>
              </w:rPr>
              <w:t>1. Целесообразно размещать на территории муниципального района (поселений) универсальный объект культурно-досугового назначения, который при необходимости может исполнять функции различных видов объектов (кинотеатр, выставочный зал, учреждение культуры клубного типа и др.).</w:t>
            </w:r>
          </w:p>
          <w:p>
            <w:pPr>
              <w:pStyle w:val="ConsPlusNormal11"/>
              <w:rPr>
                <w:rFonts w:cs="Arial"/>
                <w:sz w:val="24"/>
                <w:szCs w:val="24"/>
              </w:rPr>
            </w:pPr>
            <w:r>
              <w:rPr>
                <w:rFonts w:cs="Arial"/>
                <w:sz w:val="24"/>
                <w:szCs w:val="24"/>
              </w:rPr>
              <w:t>2. Необходимое количество зрительских мест для кинотеатров устанавливается из расчета 2 места на 1 тыс. человек</w:t>
            </w:r>
          </w:p>
        </w:tc>
      </w:tr>
      <w:tr>
        <w:trPr>
          <w:trHeight w:val="625" w:hRule="atLeast"/>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4.</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Сельские</w:t>
            </w:r>
          </w:p>
          <w:p>
            <w:pPr>
              <w:pStyle w:val="ConsPlusNormal11"/>
              <w:rPr>
                <w:rFonts w:cs="Arial"/>
                <w:sz w:val="24"/>
                <w:szCs w:val="24"/>
              </w:rPr>
            </w:pPr>
            <w:r>
              <w:rPr>
                <w:rFonts w:cs="Arial"/>
                <w:sz w:val="24"/>
                <w:szCs w:val="24"/>
              </w:rPr>
              <w:t>массовые</w:t>
            </w:r>
          </w:p>
          <w:p>
            <w:pPr>
              <w:pStyle w:val="ConsPlusNormal11"/>
              <w:rPr>
                <w:rFonts w:cs="Arial"/>
                <w:sz w:val="24"/>
                <w:szCs w:val="24"/>
              </w:rPr>
            </w:pPr>
            <w:r>
              <w:rPr>
                <w:rFonts w:cs="Arial"/>
                <w:sz w:val="24"/>
                <w:szCs w:val="24"/>
              </w:rPr>
              <w:t>библиотеки</w:t>
            </w:r>
          </w:p>
          <w:p>
            <w:pPr>
              <w:pStyle w:val="ConsPlusNormal11"/>
              <w:rPr>
                <w:rFonts w:cs="Arial"/>
                <w:sz w:val="24"/>
                <w:szCs w:val="24"/>
              </w:rPr>
            </w:pPr>
            <w:r>
              <w:rPr>
                <w:rFonts w:cs="Arial"/>
                <w:sz w:val="24"/>
                <w:szCs w:val="24"/>
              </w:rPr>
              <w:t>для сельских</w:t>
            </w:r>
          </w:p>
          <w:p>
            <w:pPr>
              <w:pStyle w:val="ConsPlusNormal11"/>
              <w:rPr>
                <w:rFonts w:cs="Arial"/>
                <w:sz w:val="24"/>
                <w:szCs w:val="24"/>
              </w:rPr>
            </w:pPr>
            <w:r>
              <w:rPr>
                <w:rFonts w:cs="Arial"/>
                <w:sz w:val="24"/>
                <w:szCs w:val="24"/>
              </w:rPr>
              <w:t>поселений или</w:t>
            </w:r>
          </w:p>
          <w:p>
            <w:pPr>
              <w:pStyle w:val="ConsPlusNormal11"/>
              <w:rPr>
                <w:rFonts w:cs="Arial"/>
                <w:sz w:val="24"/>
                <w:szCs w:val="24"/>
              </w:rPr>
            </w:pPr>
            <w:r>
              <w:rPr>
                <w:rFonts w:cs="Arial"/>
                <w:sz w:val="24"/>
                <w:szCs w:val="24"/>
              </w:rPr>
              <w:t>их групп</w:t>
            </w:r>
          </w:p>
        </w:tc>
        <w:tc>
          <w:tcPr>
            <w:tcW w:w="2413"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57" w:type="dxa"/>
            <w:gridSpan w:val="6"/>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обеспеченности количеством объектов</w:t>
            </w:r>
          </w:p>
        </w:tc>
        <w:tc>
          <w:tcPr>
            <w:tcW w:w="224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41"/>
              <w:widowControl/>
              <w:spacing w:lineRule="auto" w:line="240"/>
              <w:jc w:val="left"/>
              <w:rPr>
                <w:rFonts w:ascii="Arial" w:hAnsi="Arial" w:eastAsia="Arial" w:cs="Arial"/>
              </w:rPr>
            </w:pPr>
            <w:r>
              <w:rPr>
                <w:rFonts w:eastAsia="Arial" w:cs="Arial" w:ascii="Arial" w:hAnsi="Arial"/>
              </w:rPr>
              <w:t>Уровень</w:t>
            </w:r>
          </w:p>
          <w:p>
            <w:pPr>
              <w:pStyle w:val="Style141"/>
              <w:widowControl/>
              <w:spacing w:lineRule="auto" w:line="240"/>
              <w:jc w:val="left"/>
              <w:rPr>
                <w:rFonts w:ascii="Arial" w:hAnsi="Arial" w:eastAsia="Arial" w:cs="Arial"/>
              </w:rPr>
            </w:pPr>
            <w:r>
              <w:rPr>
                <w:rFonts w:eastAsia="Arial" w:cs="Arial" w:ascii="Arial" w:hAnsi="Arial"/>
              </w:rPr>
              <w:t>обеспеченности,</w:t>
            </w:r>
          </w:p>
          <w:p>
            <w:pPr>
              <w:pStyle w:val="Style141"/>
              <w:widowControl/>
              <w:spacing w:lineRule="auto" w:line="240"/>
              <w:jc w:val="left"/>
              <w:rPr>
                <w:rFonts w:ascii="Arial" w:hAnsi="Arial" w:eastAsia="Arial" w:cs="Arial"/>
              </w:rPr>
            </w:pPr>
            <w:r>
              <w:rPr>
                <w:rFonts w:eastAsia="Arial" w:cs="Arial" w:ascii="Arial" w:hAnsi="Arial"/>
              </w:rPr>
              <w:t>на 1 тыс.чел. зоны</w:t>
            </w:r>
          </w:p>
          <w:p>
            <w:pPr>
              <w:pStyle w:val="Style141"/>
              <w:jc w:val="left"/>
              <w:rPr>
                <w:rFonts w:ascii="Arial" w:hAnsi="Arial" w:eastAsia="Arial" w:cs="Arial"/>
              </w:rPr>
            </w:pPr>
            <w:r>
              <w:rPr>
                <w:rFonts w:eastAsia="Arial" w:cs="Arial" w:ascii="Arial" w:hAnsi="Arial"/>
              </w:rPr>
              <w:t>обслуживания</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св.1 до 2 - 6-7,5 тыс .ед. хранения</w:t>
            </w:r>
          </w:p>
        </w:tc>
      </w:tr>
      <w:tr>
        <w:trPr>
          <w:trHeight w:val="625" w:hRule="atLeast"/>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41"/>
              <w:widowControl/>
              <w:snapToGrid w:val="false"/>
              <w:spacing w:lineRule="auto" w:line="240"/>
              <w:jc w:val="left"/>
              <w:rPr>
                <w:rFonts w:ascii="Arial" w:hAnsi="Arial" w:cs="Arial"/>
                <w:sz w:val="24"/>
                <w:szCs w:val="24"/>
              </w:rPr>
            </w:pPr>
            <w:r>
              <w:rPr>
                <w:rFonts w:cs="Arial" w:ascii="Arial" w:hAnsi="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ascii="Arial" w:hAnsi="Arial" w:cs="Arial"/>
                <w:sz w:val="24"/>
                <w:szCs w:val="24"/>
              </w:rPr>
            </w:pPr>
            <w:r>
              <w:rPr>
                <w:rFonts w:cs="Arial"/>
                <w:sz w:val="24"/>
                <w:szCs w:val="24"/>
              </w:rPr>
            </w:r>
          </w:p>
        </w:tc>
        <w:tc>
          <w:tcPr>
            <w:tcW w:w="2457" w:type="dxa"/>
            <w:gridSpan w:val="6"/>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4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41"/>
              <w:widowControl/>
              <w:snapToGrid w:val="false"/>
              <w:spacing w:lineRule="auto" w:line="240"/>
              <w:jc w:val="left"/>
              <w:rPr>
                <w:rFonts w:ascii="Arial" w:hAnsi="Arial" w:cs="Arial"/>
                <w:sz w:val="24"/>
                <w:szCs w:val="24"/>
              </w:rPr>
            </w:pPr>
            <w:r>
              <w:rPr>
                <w:rFonts w:cs="Arial" w:ascii="Arial" w:hAnsi="Arial"/>
                <w:sz w:val="24"/>
                <w:szCs w:val="24"/>
              </w:rPr>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5-6 читальных мест</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57"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41"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заданию на проектирование</w:t>
            </w:r>
          </w:p>
        </w:tc>
      </w:tr>
      <w:tr>
        <w:trPr>
          <w:trHeight w:val="527" w:hRule="atLeast"/>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870" w:type="dxa"/>
            <w:gridSpan w:val="10"/>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 для муниципального района</w:t>
            </w:r>
          </w:p>
        </w:tc>
        <w:tc>
          <w:tcPr>
            <w:tcW w:w="2241"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Пешеходная доступность, минут</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30 минут</w:t>
            </w:r>
          </w:p>
        </w:tc>
      </w:tr>
      <w:tr>
        <w:trPr/>
        <w:tc>
          <w:tcPr>
            <w:tcW w:w="15090" w:type="dxa"/>
            <w:gridSpan w:val="3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551"/>
              <w:snapToGrid w:val="false"/>
              <w:ind w:left="0" w:right="0" w:hanging="0"/>
              <w:rPr>
                <w:rFonts w:ascii="Arial" w:hAnsi="Arial" w:cs="Arial"/>
              </w:rPr>
            </w:pPr>
            <w:r>
              <w:rPr>
                <w:rFonts w:cs="Arial" w:ascii="Arial" w:hAnsi="Arial"/>
              </w:rPr>
            </w:r>
          </w:p>
          <w:p>
            <w:pPr>
              <w:pStyle w:val="555551"/>
              <w:rPr>
                <w:rFonts w:ascii="Arial" w:hAnsi="Arial" w:cs="Arial"/>
              </w:rPr>
            </w:pPr>
            <w:bookmarkStart w:id="12" w:name="__RefHeading___Toc494193908"/>
            <w:bookmarkEnd w:id="12"/>
            <w:r>
              <w:rPr>
                <w:rFonts w:cs="Arial" w:ascii="Arial" w:hAnsi="Arial"/>
              </w:rPr>
              <w:t>4.3.4.</w:t>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торговли, общественного питания и бытового обслуживания</w:t>
            </w:r>
          </w:p>
          <w:p>
            <w:pPr>
              <w:pStyle w:val="551"/>
              <w:rPr>
                <w:rFonts w:ascii="Arial" w:hAnsi="Arial" w:cs="Arial"/>
              </w:rPr>
            </w:pPr>
            <w:r>
              <w:rPr>
                <w:rFonts w:cs="Arial" w:ascii="Arial" w:hAnsi="Arial"/>
              </w:rPr>
            </w:r>
          </w:p>
        </w:tc>
      </w:tr>
      <w:tr>
        <w:trPr/>
        <w:tc>
          <w:tcPr>
            <w:tcW w:w="473"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N п/п</w:t>
            </w:r>
          </w:p>
        </w:tc>
        <w:tc>
          <w:tcPr>
            <w:tcW w:w="2553" w:type="dxa"/>
            <w:gridSpan w:val="5"/>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Наименование вида объекта</w:t>
            </w:r>
          </w:p>
        </w:tc>
        <w:tc>
          <w:tcPr>
            <w:tcW w:w="12064" w:type="dxa"/>
            <w:gridSpan w:val="2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11"/>
              <w:jc w:val="center"/>
              <w:rPr>
                <w:rFonts w:cs="Arial"/>
                <w:b/>
                <w:b/>
                <w:sz w:val="24"/>
                <w:szCs w:val="24"/>
              </w:rPr>
            </w:pPr>
            <w:r>
              <w:rPr>
                <w:rFonts w:cs="Arial"/>
                <w:b/>
                <w:sz w:val="24"/>
                <w:szCs w:val="24"/>
              </w:rPr>
              <w:t>Предельные значения расчетных показателей</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1.</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Предприятия торговли</w:t>
            </w:r>
          </w:p>
          <w:p>
            <w:pPr>
              <w:pStyle w:val="ConsPlusNormal11"/>
              <w:rPr>
                <w:rFonts w:cs="Arial"/>
                <w:sz w:val="24"/>
                <w:szCs w:val="24"/>
              </w:rPr>
            </w:pPr>
            <w:r>
              <w:rPr>
                <w:rFonts w:cs="Arial"/>
                <w:sz w:val="24"/>
                <w:szCs w:val="24"/>
              </w:rPr>
              <w:t>(магазины, торговые центры, торговые комплексы)</w:t>
            </w:r>
          </w:p>
        </w:tc>
        <w:tc>
          <w:tcPr>
            <w:tcW w:w="2413"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кв. м площади торговых объектов</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в соответствии с утвержденными нормативами минимальной обеспеченности населения Нижегородской области площадью торговых объектов</w:t>
            </w:r>
          </w:p>
        </w:tc>
      </w:tr>
      <w:tr>
        <w:trPr>
          <w:trHeight w:val="763" w:hRule="atLeast"/>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га/объект</w:t>
            </w:r>
          </w:p>
        </w:tc>
        <w:tc>
          <w:tcPr>
            <w:tcW w:w="2520"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торговые центры поселений с числом жителей, тыс. чел.</w:t>
            </w:r>
          </w:p>
        </w:tc>
        <w:tc>
          <w:tcPr>
            <w:tcW w:w="2421"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га/объект</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20"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до 1</w:t>
            </w:r>
          </w:p>
        </w:tc>
        <w:tc>
          <w:tcPr>
            <w:tcW w:w="2421"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0,1 - 0,2</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20"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1 до 3</w:t>
            </w:r>
          </w:p>
        </w:tc>
        <w:tc>
          <w:tcPr>
            <w:tcW w:w="2421"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0,2 - 0,4</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20"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3 до 4</w:t>
            </w:r>
          </w:p>
        </w:tc>
        <w:tc>
          <w:tcPr>
            <w:tcW w:w="2421"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0,4 - 0,6</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20"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5 до 6</w:t>
            </w:r>
          </w:p>
        </w:tc>
        <w:tc>
          <w:tcPr>
            <w:tcW w:w="2421"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0,6 - 1</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20"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7 до 10</w:t>
            </w:r>
          </w:p>
        </w:tc>
        <w:tc>
          <w:tcPr>
            <w:tcW w:w="2421"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1 - 1,2</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817"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Пешеходная доступность,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 - 2000</w:t>
            </w:r>
          </w:p>
        </w:tc>
      </w:tr>
      <w:tr>
        <w:trPr/>
        <w:tc>
          <w:tcPr>
            <w:tcW w:w="15090" w:type="dxa"/>
            <w:gridSpan w:val="3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Примечание: для сезонного населения садоводческих, огороднических объединений, дачных хозяйств и жилого фонда с временным проживанием в сельских населенных пунктах уровень обеспеченности предприятиями торговли устанавливается из расчета 80 кв. м площади торговых объектов на 1 тыс. человек</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2.</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Предприятия общественного питания</w:t>
            </w:r>
          </w:p>
        </w:tc>
        <w:tc>
          <w:tcPr>
            <w:tcW w:w="2413"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мест</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 - 23 места на 1 тыс. человек.</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га/100 мест</w:t>
            </w:r>
          </w:p>
        </w:tc>
        <w:tc>
          <w:tcPr>
            <w:tcW w:w="2624" w:type="dxa"/>
            <w:gridSpan w:val="7"/>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мощность, мест</w:t>
            </w:r>
          </w:p>
        </w:tc>
        <w:tc>
          <w:tcPr>
            <w:tcW w:w="2317" w:type="dxa"/>
            <w:gridSpan w:val="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размер участка, га/100 мест</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624" w:type="dxa"/>
            <w:gridSpan w:val="7"/>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до 50</w:t>
            </w:r>
          </w:p>
        </w:tc>
        <w:tc>
          <w:tcPr>
            <w:tcW w:w="2317" w:type="dxa"/>
            <w:gridSpan w:val="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0,2 - 0,25</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624" w:type="dxa"/>
            <w:gridSpan w:val="7"/>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 50 до 150</w:t>
            </w:r>
          </w:p>
        </w:tc>
        <w:tc>
          <w:tcPr>
            <w:tcW w:w="2317" w:type="dxa"/>
            <w:gridSpan w:val="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0,15 - 0,2</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624" w:type="dxa"/>
            <w:gridSpan w:val="7"/>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свыше 150</w:t>
            </w:r>
          </w:p>
        </w:tc>
        <w:tc>
          <w:tcPr>
            <w:tcW w:w="2317" w:type="dxa"/>
            <w:gridSpan w:val="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0,1</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817"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Пешеходная доступность,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 - 2000</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3.</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Предприятия бытового обслуживания</w:t>
            </w:r>
          </w:p>
        </w:tc>
        <w:tc>
          <w:tcPr>
            <w:tcW w:w="2413"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w:t>
            </w:r>
          </w:p>
          <w:p>
            <w:pPr>
              <w:pStyle w:val="ConsPlusNormal11"/>
              <w:rPr>
                <w:rFonts w:cs="Arial"/>
                <w:sz w:val="24"/>
                <w:szCs w:val="24"/>
              </w:rPr>
            </w:pPr>
            <w:r>
              <w:rPr>
                <w:rFonts w:cs="Arial"/>
                <w:sz w:val="24"/>
                <w:szCs w:val="24"/>
              </w:rPr>
              <w:t>рабочих мест</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w:t>
            </w:r>
          </w:p>
          <w:p>
            <w:pPr>
              <w:pStyle w:val="ConsPlusNormal11"/>
              <w:rPr>
                <w:rFonts w:cs="Arial"/>
                <w:sz w:val="24"/>
                <w:szCs w:val="24"/>
              </w:rPr>
            </w:pPr>
            <w:r>
              <w:rPr>
                <w:rFonts w:cs="Arial"/>
                <w:sz w:val="24"/>
                <w:szCs w:val="24"/>
              </w:rPr>
              <w:t>7 рабочих мест на 1 тыс. человек</w:t>
            </w:r>
          </w:p>
        </w:tc>
      </w:tr>
      <w:tr>
        <w:trPr>
          <w:trHeight w:val="1286" w:hRule="atLeast"/>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w:t>
            </w:r>
          </w:p>
          <w:p>
            <w:pPr>
              <w:pStyle w:val="ConsPlusNormal11"/>
              <w:rPr>
                <w:rFonts w:cs="Arial"/>
                <w:sz w:val="24"/>
                <w:szCs w:val="24"/>
              </w:rPr>
            </w:pPr>
            <w:r>
              <w:rPr>
                <w:rFonts w:cs="Arial"/>
                <w:sz w:val="24"/>
                <w:szCs w:val="24"/>
              </w:rPr>
              <w:t>га/10 рабочих мест</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0,1 - 0,2</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817"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Пешеходная доступность,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p>
            <w:pPr>
              <w:pStyle w:val="ConsPlusNormal11"/>
              <w:rPr>
                <w:rFonts w:cs="Arial"/>
                <w:sz w:val="24"/>
                <w:szCs w:val="24"/>
              </w:rPr>
            </w:pPr>
            <w:r>
              <w:rPr>
                <w:rFonts w:cs="Arial"/>
                <w:sz w:val="24"/>
                <w:szCs w:val="24"/>
              </w:rPr>
              <w:t>сельские населенные пункты - 2000</w:t>
            </w:r>
          </w:p>
        </w:tc>
      </w:tr>
      <w:tr>
        <w:trPr/>
        <w:tc>
          <w:tcPr>
            <w:tcW w:w="15090" w:type="dxa"/>
            <w:gridSpan w:val="3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p>
            <w:pPr>
              <w:pStyle w:val="ConsPlusNormal11"/>
              <w:rPr>
                <w:rFonts w:cs="Arial"/>
                <w:sz w:val="24"/>
                <w:szCs w:val="24"/>
              </w:rPr>
            </w:pPr>
            <w:r>
              <w:rPr>
                <w:rFonts w:cs="Arial"/>
                <w:sz w:val="24"/>
                <w:szCs w:val="24"/>
              </w:rPr>
              <w:t>Примечания:</w:t>
            </w:r>
          </w:p>
          <w:p>
            <w:pPr>
              <w:pStyle w:val="ConsPlusNormal11"/>
              <w:rPr>
                <w:rFonts w:cs="Arial"/>
                <w:sz w:val="24"/>
                <w:szCs w:val="24"/>
              </w:rPr>
            </w:pPr>
            <w:r>
              <w:rPr>
                <w:rFonts w:cs="Arial"/>
                <w:sz w:val="24"/>
                <w:szCs w:val="24"/>
              </w:rPr>
              <w:t>1. Предприятия бытового обслуживания допускается размещать во встроенно-пристроенных помещениях.</w:t>
            </w:r>
          </w:p>
          <w:p>
            <w:pPr>
              <w:pStyle w:val="ConsPlusNormal11"/>
              <w:rPr>
                <w:rFonts w:cs="Arial"/>
                <w:sz w:val="24"/>
                <w:szCs w:val="24"/>
              </w:rPr>
            </w:pPr>
            <w:r>
              <w:rPr>
                <w:rFonts w:cs="Arial"/>
                <w:sz w:val="24"/>
                <w:szCs w:val="24"/>
              </w:rPr>
              <w:t>2. Для сезонного населения садоводческих, огороднических объединений, дачных хозяйств и жилого фонда с временным проживанием в сельских населенных пунктах уровень обеспеченности предприятиями бытового обслуживания устанавливается из расчета 1,6 рабочих места на 1 тыс. человек</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4.</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Прачечные</w:t>
            </w:r>
          </w:p>
        </w:tc>
        <w:tc>
          <w:tcPr>
            <w:tcW w:w="2413"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w:t>
            </w:r>
          </w:p>
          <w:p>
            <w:pPr>
              <w:pStyle w:val="ConsPlusNormal11"/>
              <w:rPr>
                <w:rFonts w:cs="Arial"/>
                <w:sz w:val="24"/>
                <w:szCs w:val="24"/>
              </w:rPr>
            </w:pPr>
            <w:r>
              <w:rPr>
                <w:rFonts w:cs="Arial"/>
                <w:sz w:val="24"/>
                <w:szCs w:val="24"/>
              </w:rPr>
              <w:t>кг белья в смену</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 60 на 1 тыс. человек, в том числе 20 - прачечные самообслуживания</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га/объект</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0,5</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7113"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не нормируется</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5.</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Химчистки</w:t>
            </w:r>
          </w:p>
        </w:tc>
        <w:tc>
          <w:tcPr>
            <w:tcW w:w="2413"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w:t>
            </w:r>
          </w:p>
          <w:p>
            <w:pPr>
              <w:pStyle w:val="ConsPlusNormal11"/>
              <w:rPr>
                <w:rFonts w:cs="Arial"/>
                <w:sz w:val="24"/>
                <w:szCs w:val="24"/>
              </w:rPr>
            </w:pPr>
            <w:r>
              <w:rPr>
                <w:rFonts w:cs="Arial"/>
                <w:sz w:val="24"/>
                <w:szCs w:val="24"/>
              </w:rPr>
              <w:t>кг вещей в смену</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w:t>
            </w:r>
          </w:p>
          <w:p>
            <w:pPr>
              <w:pStyle w:val="ConsPlusNormal11"/>
              <w:rPr>
                <w:rFonts w:cs="Arial"/>
                <w:sz w:val="24"/>
                <w:szCs w:val="24"/>
              </w:rPr>
            </w:pPr>
            <w:r>
              <w:rPr>
                <w:rFonts w:cs="Arial"/>
                <w:sz w:val="24"/>
                <w:szCs w:val="24"/>
              </w:rPr>
              <w:t>3,5 на 1 тыс. человек, в том числе 1,2 - химчистки самообслуживания</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га/объект</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0,1</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7113"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не нормируется</w:t>
            </w:r>
          </w:p>
        </w:tc>
      </w:tr>
      <w:tr>
        <w:trPr/>
        <w:tc>
          <w:tcPr>
            <w:tcW w:w="15090" w:type="dxa"/>
            <w:gridSpan w:val="3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Примечание: химчистки рекомендуется размещать в производственно-коммунальной зоне, в жилой и общественной зонах рекомендуется организовывать пункты сбора</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6</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Бани</w:t>
            </w:r>
          </w:p>
        </w:tc>
        <w:tc>
          <w:tcPr>
            <w:tcW w:w="2413"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место</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 - 7 на 1 тыс. человек</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га/объект</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0,2</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7113"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не нормируется</w:t>
            </w:r>
          </w:p>
        </w:tc>
      </w:tr>
      <w:tr>
        <w:trPr/>
        <w:tc>
          <w:tcPr>
            <w:tcW w:w="15080" w:type="dxa"/>
            <w:gridSpan w:val="32"/>
            <w:tcBorders>
              <w:bottom w:val="single" w:sz="4" w:space="0" w:color="00000A"/>
              <w:insideH w:val="single" w:sz="4" w:space="0" w:color="00000A"/>
            </w:tcBorders>
            <w:shd w:fill="auto" w:val="clear"/>
          </w:tcPr>
          <w:p>
            <w:pPr>
              <w:pStyle w:val="555551"/>
              <w:rPr/>
            </w:pPr>
            <w:bookmarkStart w:id="13" w:name="__RefHeading___Toc494193909"/>
            <w:r>
              <w:rPr>
                <w:rFonts w:cs="Arial" w:ascii="Arial" w:hAnsi="Arial"/>
              </w:rPr>
              <w:t>4.3.5.</w:t>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кредитно-финансового обслуживания, почтовой связи, организаций и учреждений управления</w:t>
            </w:r>
            <w:bookmarkEnd w:id="13"/>
            <w:r>
              <w:rPr>
                <w:rFonts w:cs="Arial" w:ascii="Arial" w:hAnsi="Arial"/>
              </w:rPr>
              <w:t xml:space="preserve"> </w:t>
            </w:r>
          </w:p>
        </w:tc>
      </w:tr>
      <w:tr>
        <w:trPr/>
        <w:tc>
          <w:tcPr>
            <w:tcW w:w="473"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N п/п</w:t>
            </w:r>
          </w:p>
        </w:tc>
        <w:tc>
          <w:tcPr>
            <w:tcW w:w="2553" w:type="dxa"/>
            <w:gridSpan w:val="5"/>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Наименование вида объекта</w:t>
            </w:r>
          </w:p>
        </w:tc>
        <w:tc>
          <w:tcPr>
            <w:tcW w:w="12064" w:type="dxa"/>
            <w:gridSpan w:val="2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11"/>
              <w:jc w:val="center"/>
              <w:rPr>
                <w:rFonts w:cs="Arial"/>
                <w:b/>
                <w:b/>
                <w:sz w:val="24"/>
                <w:szCs w:val="24"/>
              </w:rPr>
            </w:pPr>
            <w:r>
              <w:rPr>
                <w:rFonts w:cs="Arial"/>
                <w:b/>
                <w:sz w:val="24"/>
                <w:szCs w:val="24"/>
              </w:rPr>
              <w:t>Предельные значения расчетных показателей</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1.</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Филиалы ПАО "Сбербанк России" (отделения)</w:t>
            </w:r>
          </w:p>
        </w:tc>
        <w:tc>
          <w:tcPr>
            <w:tcW w:w="2413"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операционное место</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w:t>
            </w:r>
          </w:p>
          <w:p>
            <w:pPr>
              <w:pStyle w:val="ConsPlusNormal11"/>
              <w:rPr>
                <w:rFonts w:cs="Arial"/>
                <w:sz w:val="24"/>
                <w:szCs w:val="24"/>
              </w:rPr>
            </w:pPr>
            <w:r>
              <w:rPr>
                <w:rFonts w:cs="Arial"/>
                <w:sz w:val="24"/>
                <w:szCs w:val="24"/>
              </w:rPr>
              <w:t>1 операционное место на 1 - 2 тыс. человек</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га/объект</w:t>
            </w:r>
          </w:p>
        </w:tc>
        <w:tc>
          <w:tcPr>
            <w:tcW w:w="2624" w:type="dxa"/>
            <w:gridSpan w:val="7"/>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при 3 операционных местах</w:t>
            </w:r>
          </w:p>
        </w:tc>
        <w:tc>
          <w:tcPr>
            <w:tcW w:w="2317" w:type="dxa"/>
            <w:gridSpan w:val="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0,05</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624" w:type="dxa"/>
            <w:gridSpan w:val="7"/>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при 20 операционных местах</w:t>
            </w:r>
          </w:p>
        </w:tc>
        <w:tc>
          <w:tcPr>
            <w:tcW w:w="2317" w:type="dxa"/>
            <w:gridSpan w:val="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0,4</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817"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Пешеходная доступность,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 в пределах населенного пункта</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2.</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Отделения почтовой связи</w:t>
            </w:r>
          </w:p>
        </w:tc>
        <w:tc>
          <w:tcPr>
            <w:tcW w:w="2413"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объект</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нормам и правилам Министерства связи Российской Федерации</w:t>
            </w:r>
          </w:p>
        </w:tc>
      </w:tr>
      <w:tr>
        <w:trPr>
          <w:trHeight w:val="664" w:hRule="atLeast"/>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га/объект</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Отделения связи сельского поселения, га, для обслуживаемого населения, групп</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6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V - VI (0,5 - 2 тыс. чел.)</w:t>
            </w:r>
          </w:p>
        </w:tc>
        <w:tc>
          <w:tcPr>
            <w:tcW w:w="2172"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0,3 - 0,35</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294"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76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III - IV (2 - 6 тыс. чел.)</w:t>
            </w:r>
          </w:p>
        </w:tc>
        <w:tc>
          <w:tcPr>
            <w:tcW w:w="2172"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0,4 - 0,45</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817"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Пешеходная доступность,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сельские населенные пункты: в пределах населенного пункта</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3.</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Организации и учреждения управления</w:t>
            </w:r>
          </w:p>
        </w:tc>
        <w:tc>
          <w:tcPr>
            <w:tcW w:w="2413" w:type="dxa"/>
            <w:gridSpan w:val="4"/>
            <w:vMerge w:val="restart"/>
            <w:tcBorders>
              <w:top w:val="single" w:sz="4" w:space="0" w:color="00000A"/>
              <w:left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4" w:type="dxa"/>
            <w:gridSpan w:val="4"/>
            <w:tcBorders>
              <w:top w:val="single" w:sz="4" w:space="0" w:color="00000A"/>
              <w:left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294" w:type="dxa"/>
            <w:gridSpan w:val="4"/>
            <w:tcBorders>
              <w:top w:val="single" w:sz="4" w:space="0" w:color="00000A"/>
              <w:left w:val="single" w:sz="4" w:space="0" w:color="00000A"/>
            </w:tcBorders>
            <w:shd w:fill="auto" w:val="clear"/>
            <w:tcMar>
              <w:left w:w="62" w:type="dxa"/>
            </w:tcMar>
          </w:tcPr>
          <w:p>
            <w:pPr>
              <w:pStyle w:val="ConsPlusNormal11"/>
              <w:rPr>
                <w:rFonts w:cs="Arial"/>
                <w:sz w:val="24"/>
                <w:szCs w:val="24"/>
              </w:rPr>
            </w:pPr>
            <w:r>
              <w:rPr>
                <w:rFonts w:cs="Arial"/>
                <w:sz w:val="24"/>
                <w:szCs w:val="24"/>
              </w:rPr>
              <w:t>Уровень обеспеченности, объект</w:t>
            </w:r>
          </w:p>
        </w:tc>
        <w:tc>
          <w:tcPr>
            <w:tcW w:w="4941" w:type="dxa"/>
            <w:gridSpan w:val="13"/>
            <w:tcBorders>
              <w:top w:val="single" w:sz="4" w:space="0" w:color="00000A"/>
              <w:left w:val="single" w:sz="4" w:space="0" w:color="00000A"/>
              <w:right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По заданию на проектирование</w:t>
            </w:r>
          </w:p>
        </w:tc>
      </w:tr>
      <w:tr>
        <w:trPr>
          <w:trHeight w:val="1644" w:hRule="atLeast"/>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13" w:type="dxa"/>
            <w:gridSpan w:val="4"/>
            <w:vMerge w:val="continue"/>
            <w:tcBorders>
              <w:top w:val="single" w:sz="4" w:space="0" w:color="00000A"/>
              <w:left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404" w:type="dxa"/>
            <w:gridSpan w:val="4"/>
            <w:tcBorders>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294" w:type="dxa"/>
            <w:gridSpan w:val="4"/>
            <w:tcBorders>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Размер земельного участка, кв.м на сотрудника</w:t>
            </w:r>
          </w:p>
        </w:tc>
        <w:tc>
          <w:tcPr>
            <w:tcW w:w="4941" w:type="dxa"/>
            <w:gridSpan w:val="13"/>
            <w:tcBorders>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Для сельских органов власти – 60-40 кв.м при этажности  2-3</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4817"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2294"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Пешеходная доступность,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 xml:space="preserve">сельские населенные пункты: в пределах населенного пункта </w:t>
            </w:r>
          </w:p>
        </w:tc>
      </w:tr>
      <w:tr>
        <w:trPr/>
        <w:tc>
          <w:tcPr>
            <w:tcW w:w="15080" w:type="dxa"/>
            <w:gridSpan w:val="32"/>
            <w:tcBorders/>
            <w:shd w:fill="auto" w:val="clear"/>
          </w:tcPr>
          <w:p>
            <w:pPr>
              <w:pStyle w:val="551"/>
              <w:snapToGrid w:val="false"/>
              <w:ind w:left="0" w:right="0" w:hanging="0"/>
              <w:rPr>
                <w:rFonts w:ascii="Arial" w:hAnsi="Arial" w:cs="Arial"/>
              </w:rPr>
            </w:pPr>
            <w:r>
              <w:rPr>
                <w:rFonts w:cs="Arial" w:ascii="Arial" w:hAnsi="Arial"/>
              </w:rPr>
            </w:r>
          </w:p>
          <w:p>
            <w:pPr>
              <w:pStyle w:val="555551"/>
              <w:rPr/>
            </w:pPr>
            <w:bookmarkStart w:id="14" w:name="__RefHeading___Toc494193910"/>
            <w:r>
              <w:rPr>
                <w:rFonts w:cs="Arial" w:ascii="Arial" w:hAnsi="Arial"/>
              </w:rPr>
              <w:t>4.3.6.</w:t>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спортивного и физкультурно-оздоровительного назначения</w:t>
            </w:r>
            <w:bookmarkEnd w:id="14"/>
            <w:r>
              <w:rPr>
                <w:rFonts w:cs="Arial" w:ascii="Arial" w:hAnsi="Arial"/>
              </w:rPr>
              <w:t xml:space="preserve"> </w:t>
            </w:r>
          </w:p>
        </w:tc>
      </w:tr>
      <w:tr>
        <w:trPr/>
        <w:tc>
          <w:tcPr>
            <w:tcW w:w="481" w:type="dxa"/>
            <w:gridSpan w:val="2"/>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N п/п</w:t>
            </w:r>
          </w:p>
        </w:tc>
        <w:tc>
          <w:tcPr>
            <w:tcW w:w="2545" w:type="dxa"/>
            <w:gridSpan w:val="4"/>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11"/>
              <w:rPr>
                <w:rFonts w:cs="Arial"/>
                <w:b/>
                <w:b/>
                <w:sz w:val="24"/>
                <w:szCs w:val="24"/>
              </w:rPr>
            </w:pPr>
            <w:r>
              <w:rPr>
                <w:rFonts w:cs="Arial"/>
                <w:b/>
                <w:sz w:val="24"/>
                <w:szCs w:val="24"/>
              </w:rPr>
              <w:t>Наименование вида объекта</w:t>
            </w:r>
          </w:p>
        </w:tc>
        <w:tc>
          <w:tcPr>
            <w:tcW w:w="12064" w:type="dxa"/>
            <w:gridSpan w:val="2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11"/>
              <w:jc w:val="center"/>
              <w:rPr>
                <w:rFonts w:cs="Arial"/>
                <w:b/>
                <w:b/>
                <w:sz w:val="24"/>
                <w:szCs w:val="24"/>
              </w:rPr>
            </w:pPr>
            <w:r>
              <w:rPr>
                <w:rFonts w:cs="Arial"/>
                <w:b/>
                <w:sz w:val="24"/>
                <w:szCs w:val="24"/>
              </w:rPr>
              <w:t>Предельные значения расчетных показателей</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1</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Объекты физической культуры и массового спорта </w:t>
            </w:r>
          </w:p>
        </w:tc>
        <w:tc>
          <w:tcPr>
            <w:tcW w:w="7113"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Норматив единовременной пропускной способности, тыс. человек </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0,19 тыс. чел. на 1 тыс. человек</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7113"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Расчетный показатель максимально допустимого уровня территориальной доступности </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не нормируется</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2</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Физкультурно-спортивные залы </w:t>
            </w:r>
          </w:p>
        </w:tc>
        <w:tc>
          <w:tcPr>
            <w:tcW w:w="2365" w:type="dxa"/>
            <w:gridSpan w:val="3"/>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366"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38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Уровень обеспеченности, кв. м площади пола</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rPr>
                <w:rFonts w:cs="Arial"/>
                <w:sz w:val="24"/>
                <w:szCs w:val="24"/>
              </w:rPr>
            </w:pPr>
            <w:r>
              <w:rPr>
                <w:rFonts w:cs="Arial"/>
                <w:sz w:val="24"/>
                <w:szCs w:val="24"/>
              </w:rPr>
              <w:t>350 кв. м на 1 тыс. человек</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236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366"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допустимой площади территории для размещения объекта</w:t>
            </w:r>
          </w:p>
        </w:tc>
        <w:tc>
          <w:tcPr>
            <w:tcW w:w="238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Размер земельного участка кв. м/тыс. человек</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3500 </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7113"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Расчетный показатель максимально допустимого уровня территориальной доступности </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не нормируется </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3</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Плавательные бассейны </w:t>
            </w:r>
          </w:p>
        </w:tc>
        <w:tc>
          <w:tcPr>
            <w:tcW w:w="2365" w:type="dxa"/>
            <w:gridSpan w:val="3"/>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366"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38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Уровень обеспеченности, кв. м зеркала воды </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75 кв. м на 1 тыс. человек</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236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366"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допустимой площади территории для размещения объекта</w:t>
            </w:r>
          </w:p>
        </w:tc>
        <w:tc>
          <w:tcPr>
            <w:tcW w:w="238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Размер земельного участка кв. м/тыс. человек </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1000</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7113"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Расчетный показатель максимально допустимого уровня территориальной доступности </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не нормируется</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4</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Плоскостные сооружения </w:t>
            </w:r>
          </w:p>
        </w:tc>
        <w:tc>
          <w:tcPr>
            <w:tcW w:w="2365" w:type="dxa"/>
            <w:gridSpan w:val="3"/>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366"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38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Уровень обеспеченности, кв. м</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 xml:space="preserve">1950 на 1 тыс. человек, в том числе по типу: </w:t>
            </w:r>
          </w:p>
          <w:p>
            <w:pPr>
              <w:pStyle w:val="ConsPlusNormal11"/>
              <w:suppressAutoHyphens w:val="false"/>
              <w:rPr>
                <w:rFonts w:eastAsia="Times New Roman" w:cs="Arial"/>
                <w:sz w:val="24"/>
                <w:szCs w:val="24"/>
              </w:rPr>
            </w:pPr>
            <w:r>
              <w:rPr>
                <w:rFonts w:eastAsia="Times New Roman" w:cs="Arial"/>
                <w:sz w:val="24"/>
                <w:szCs w:val="24"/>
              </w:rPr>
              <w:t xml:space="preserve">крытые плоскостные сооружения - 30%; </w:t>
            </w:r>
          </w:p>
          <w:p>
            <w:pPr>
              <w:pStyle w:val="ConsPlusNormal11"/>
              <w:suppressAutoHyphens w:val="false"/>
              <w:rPr>
                <w:rFonts w:eastAsia="Times New Roman" w:cs="Arial"/>
                <w:sz w:val="24"/>
                <w:szCs w:val="24"/>
              </w:rPr>
            </w:pPr>
            <w:r>
              <w:rPr>
                <w:rFonts w:eastAsia="Times New Roman" w:cs="Arial"/>
                <w:sz w:val="24"/>
                <w:szCs w:val="24"/>
              </w:rPr>
              <w:t>открытые плоскостные сооружения - 70%</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2365" w:type="dxa"/>
            <w:gridSpan w:val="3"/>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366"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допустимой площади территории для размещения объекта</w:t>
            </w:r>
          </w:p>
        </w:tc>
        <w:tc>
          <w:tcPr>
            <w:tcW w:w="238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Размер земельного участка кв. м/тыс. человек</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700 </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7113"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Расчетный показатель максимально допустимого уровня территориальной доступности </w:t>
            </w:r>
          </w:p>
        </w:tc>
        <w:tc>
          <w:tcPr>
            <w:tcW w:w="4939" w:type="dxa"/>
            <w:gridSpan w:val="1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 xml:space="preserve">30 мин. </w:t>
            </w:r>
          </w:p>
        </w:tc>
      </w:tr>
      <w:tr>
        <w:trPr/>
        <w:tc>
          <w:tcPr>
            <w:tcW w:w="481"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5</w:t>
            </w:r>
          </w:p>
        </w:tc>
        <w:tc>
          <w:tcPr>
            <w:tcW w:w="2557" w:type="dxa"/>
            <w:gridSpan w:val="5"/>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Стадионы </w:t>
            </w:r>
          </w:p>
        </w:tc>
        <w:tc>
          <w:tcPr>
            <w:tcW w:w="2300"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Расчетные показатели минимально допустимого уровня обеспеченности</w:t>
            </w:r>
          </w:p>
        </w:tc>
        <w:tc>
          <w:tcPr>
            <w:tcW w:w="2400"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rPr>
                <w:rFonts w:cs="Arial"/>
                <w:sz w:val="24"/>
                <w:szCs w:val="24"/>
              </w:rPr>
            </w:pPr>
            <w:r>
              <w:rPr>
                <w:rFonts w:cs="Arial"/>
                <w:sz w:val="24"/>
                <w:szCs w:val="24"/>
              </w:rPr>
              <w:t>Расчетный показатель минимально допустимого уровня мощности объекта</w:t>
            </w:r>
          </w:p>
        </w:tc>
        <w:tc>
          <w:tcPr>
            <w:tcW w:w="2411"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Уровень обеспеченности, мест </w:t>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по заданию на проектирование </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2300"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00"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Расчетный показатель минимально допустимой площади территории для размещения объекта</w:t>
            </w:r>
          </w:p>
        </w:tc>
        <w:tc>
          <w:tcPr>
            <w:tcW w:w="2411" w:type="dxa"/>
            <w:gridSpan w:val="6"/>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Размер земельного участка, га</w:t>
            </w:r>
          </w:p>
        </w:tc>
        <w:tc>
          <w:tcPr>
            <w:tcW w:w="2464"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вместимость, зрительских мест </w:t>
            </w:r>
          </w:p>
        </w:tc>
        <w:tc>
          <w:tcPr>
            <w:tcW w:w="2477" w:type="dxa"/>
            <w:gridSpan w:val="8"/>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 xml:space="preserve">размер земельного участка, га </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2300"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00"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11" w:type="dxa"/>
            <w:gridSpan w:val="6"/>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64"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200 </w:t>
            </w:r>
          </w:p>
        </w:tc>
        <w:tc>
          <w:tcPr>
            <w:tcW w:w="2477" w:type="dxa"/>
            <w:gridSpan w:val="8"/>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 xml:space="preserve">3,5 </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2300"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00"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11" w:type="dxa"/>
            <w:gridSpan w:val="6"/>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64"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200-400 </w:t>
            </w:r>
          </w:p>
        </w:tc>
        <w:tc>
          <w:tcPr>
            <w:tcW w:w="2477" w:type="dxa"/>
            <w:gridSpan w:val="8"/>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 xml:space="preserve">4 </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2300"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00"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11" w:type="dxa"/>
            <w:gridSpan w:val="6"/>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64"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400-600 </w:t>
            </w:r>
          </w:p>
        </w:tc>
        <w:tc>
          <w:tcPr>
            <w:tcW w:w="2477" w:type="dxa"/>
            <w:gridSpan w:val="8"/>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 xml:space="preserve">4,5 </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2300"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00"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11" w:type="dxa"/>
            <w:gridSpan w:val="6"/>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64"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600-800 </w:t>
            </w:r>
          </w:p>
        </w:tc>
        <w:tc>
          <w:tcPr>
            <w:tcW w:w="2477" w:type="dxa"/>
            <w:gridSpan w:val="8"/>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 xml:space="preserve">5 </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2300"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00"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11" w:type="dxa"/>
            <w:gridSpan w:val="6"/>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2464"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800-1000 </w:t>
            </w:r>
          </w:p>
        </w:tc>
        <w:tc>
          <w:tcPr>
            <w:tcW w:w="2477" w:type="dxa"/>
            <w:gridSpan w:val="8"/>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11"/>
              <w:suppressAutoHyphens w:val="false"/>
              <w:rPr>
                <w:rFonts w:eastAsia="Times New Roman" w:cs="Arial"/>
                <w:sz w:val="24"/>
                <w:szCs w:val="24"/>
              </w:rPr>
            </w:pPr>
            <w:r>
              <w:rPr>
                <w:rFonts w:eastAsia="Times New Roman" w:cs="Arial"/>
                <w:sz w:val="24"/>
                <w:szCs w:val="24"/>
              </w:rPr>
              <w:t xml:space="preserve">5,5 </w:t>
            </w:r>
          </w:p>
        </w:tc>
      </w:tr>
      <w:tr>
        <w:trPr/>
        <w:tc>
          <w:tcPr>
            <w:tcW w:w="481"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11"/>
              <w:snapToGrid w:val="false"/>
              <w:rPr>
                <w:rFonts w:cs="Arial"/>
                <w:sz w:val="24"/>
                <w:szCs w:val="24"/>
              </w:rPr>
            </w:pPr>
            <w:r>
              <w:rPr>
                <w:rFonts w:cs="Arial"/>
                <w:sz w:val="24"/>
                <w:szCs w:val="24"/>
              </w:rPr>
            </w:r>
          </w:p>
        </w:tc>
        <w:tc>
          <w:tcPr>
            <w:tcW w:w="2557" w:type="dxa"/>
            <w:gridSpan w:val="5"/>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sz w:val="24"/>
                <w:szCs w:val="24"/>
              </w:rPr>
            </w:pPr>
            <w:r>
              <w:rPr>
                <w:rFonts w:cs="Arial" w:ascii="Arial" w:hAnsi="Arial"/>
                <w:color w:val="00000A"/>
                <w:sz w:val="24"/>
                <w:szCs w:val="24"/>
              </w:rPr>
            </w:r>
          </w:p>
        </w:tc>
        <w:tc>
          <w:tcPr>
            <w:tcW w:w="4700"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Расчетный показатель максимально допустимого уровня территориальной доступности </w:t>
            </w:r>
          </w:p>
        </w:tc>
        <w:tc>
          <w:tcPr>
            <w:tcW w:w="2411"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Style115"/>
              <w:snapToGrid w:val="false"/>
              <w:rPr>
                <w:rFonts w:ascii="Arial" w:hAnsi="Arial" w:cs="Arial"/>
                <w:color w:val="00000A"/>
              </w:rPr>
            </w:pPr>
            <w:r>
              <w:rPr>
                <w:rFonts w:cs="Arial" w:ascii="Arial" w:hAnsi="Arial"/>
                <w:color w:val="00000A"/>
              </w:rPr>
            </w:r>
          </w:p>
        </w:tc>
        <w:tc>
          <w:tcPr>
            <w:tcW w:w="4941"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Style115"/>
              <w:rPr>
                <w:rFonts w:ascii="Arial" w:hAnsi="Arial" w:cs="Arial"/>
                <w:color w:val="00000A"/>
              </w:rPr>
            </w:pPr>
            <w:r>
              <w:rPr>
                <w:rFonts w:cs="Arial" w:ascii="Arial" w:hAnsi="Arial"/>
                <w:color w:val="00000A"/>
              </w:rPr>
              <w:t xml:space="preserve">не нормируется </w:t>
            </w:r>
          </w:p>
        </w:tc>
      </w:tr>
    </w:tbl>
    <w:p>
      <w:pPr>
        <w:pStyle w:val="NoSpacing"/>
        <w:ind w:left="0" w:right="0" w:firstLine="708"/>
        <w:jc w:val="both"/>
        <w:rPr>
          <w:rFonts w:ascii="Arial" w:hAnsi="Arial" w:cs="Arial"/>
          <w:i/>
          <w:i/>
          <w:sz w:val="24"/>
          <w:szCs w:val="24"/>
        </w:rPr>
      </w:pPr>
      <w:r>
        <w:rPr>
          <w:rFonts w:cs="Arial" w:ascii="Arial" w:hAnsi="Arial"/>
          <w:i/>
          <w:sz w:val="24"/>
          <w:szCs w:val="24"/>
        </w:rPr>
      </w:r>
    </w:p>
    <w:p>
      <w:pPr>
        <w:pStyle w:val="Normal"/>
        <w:spacing w:lineRule="auto" w:line="240" w:before="0" w:after="0"/>
        <w:ind w:left="0" w:right="0" w:firstLine="708"/>
        <w:jc w:val="right"/>
        <w:rPr>
          <w:rFonts w:ascii="Arial" w:hAnsi="Arial" w:cs="Arial"/>
          <w:i/>
          <w:i/>
          <w:sz w:val="24"/>
          <w:szCs w:val="24"/>
        </w:rPr>
      </w:pPr>
      <w:r>
        <w:rPr>
          <w:rFonts w:cs="Arial" w:ascii="Arial" w:hAnsi="Arial"/>
          <w:i/>
          <w:sz w:val="24"/>
          <w:szCs w:val="24"/>
        </w:rPr>
      </w:r>
    </w:p>
    <w:p>
      <w:pPr>
        <w:sectPr>
          <w:type w:val="continuous"/>
          <w:pgSz w:w="11906" w:h="16838"/>
          <w:pgMar w:left="1134" w:right="567" w:header="0" w:top="851" w:footer="709" w:bottom="851" w:gutter="0"/>
          <w:formProt w:val="false"/>
          <w:textDirection w:val="lrTb"/>
          <w:docGrid w:type="default" w:linePitch="600" w:charSpace="36864"/>
        </w:sectPr>
      </w:pPr>
    </w:p>
    <w:p>
      <w:pPr>
        <w:pStyle w:val="Style117"/>
        <w:rPr>
          <w:rFonts w:ascii="Arial" w:hAnsi="Arial" w:cs="Arial"/>
        </w:rPr>
      </w:pPr>
      <w:bookmarkStart w:id="15" w:name="__RefHeading___Toc494193911"/>
      <w:bookmarkEnd w:id="15"/>
      <w:r>
        <w:rPr>
          <w:rFonts w:cs="Arial" w:ascii="Arial" w:hAnsi="Arial"/>
        </w:rPr>
        <w:t>5. Расчетные показатели производственных зон</w:t>
      </w:r>
    </w:p>
    <w:p>
      <w:pPr>
        <w:pStyle w:val="NoSpacing"/>
        <w:ind w:left="0" w:right="0" w:firstLine="708"/>
        <w:jc w:val="both"/>
        <w:rPr>
          <w:rFonts w:ascii="Arial" w:hAnsi="Arial" w:cs="Arial"/>
          <w:sz w:val="24"/>
          <w:szCs w:val="24"/>
        </w:rPr>
      </w:pPr>
      <w:r>
        <w:rPr>
          <w:rFonts w:cs="Arial" w:ascii="Arial" w:hAnsi="Arial"/>
          <w:sz w:val="24"/>
          <w:szCs w:val="24"/>
        </w:rPr>
      </w:r>
    </w:p>
    <w:p>
      <w:pPr>
        <w:pStyle w:val="5551"/>
        <w:rPr>
          <w:rFonts w:ascii="Arial" w:hAnsi="Arial" w:cs="Arial"/>
          <w:i/>
          <w:i/>
        </w:rPr>
      </w:pPr>
      <w:r>
        <w:rPr>
          <w:rFonts w:cs="Arial" w:ascii="Arial" w:hAnsi="Arial"/>
          <w:i/>
        </w:rPr>
        <w:t>5.1. Общие требования</w:t>
      </w:r>
    </w:p>
    <w:p>
      <w:pPr>
        <w:pStyle w:val="5551"/>
        <w:rPr>
          <w:rFonts w:ascii="Arial" w:hAnsi="Arial" w:cs="Arial"/>
          <w:i/>
          <w:i/>
        </w:rPr>
      </w:pPr>
      <w:r>
        <w:rPr>
          <w:rFonts w:cs="Arial" w:ascii="Arial" w:hAnsi="Arial"/>
          <w:i/>
        </w:rPr>
        <w:t>3</w:t>
      </w:r>
    </w:p>
    <w:p>
      <w:pPr>
        <w:pStyle w:val="5551"/>
        <w:rPr>
          <w:rFonts w:ascii="Arial" w:hAnsi="Arial" w:cs="Arial"/>
          <w:i/>
          <w:i/>
        </w:rPr>
      </w:pPr>
      <w:r>
        <w:rPr>
          <w:rFonts w:cs="Arial" w:ascii="Arial" w:hAnsi="Arial"/>
          <w:i/>
        </w:rPr>
        <w:t>4</w:t>
      </w:r>
    </w:p>
    <w:p>
      <w:pPr>
        <w:pStyle w:val="5551"/>
        <w:rPr>
          <w:rFonts w:ascii="Arial" w:hAnsi="Arial" w:cs="Arial"/>
          <w:i/>
          <w:i/>
        </w:rPr>
      </w:pPr>
      <w:r>
        <w:rPr>
          <w:rFonts w:cs="Arial" w:ascii="Arial" w:hAnsi="Arial"/>
          <w:i/>
        </w:rPr>
        <w:t>5</w:t>
      </w:r>
    </w:p>
    <w:p>
      <w:pPr>
        <w:pStyle w:val="Normal"/>
        <w:widowControl w:val="false"/>
        <w:spacing w:lineRule="auto" w:line="240" w:before="0" w:after="0"/>
        <w:ind w:left="275" w:right="0" w:hanging="0"/>
        <w:jc w:val="both"/>
        <w:rPr>
          <w:rFonts w:ascii="Arial" w:hAnsi="Arial" w:eastAsia="Times New Roman" w:cs="Arial"/>
          <w:vanish/>
          <w:sz w:val="24"/>
          <w:szCs w:val="24"/>
          <w:lang w:eastAsia="ru-RU"/>
        </w:rPr>
      </w:pPr>
      <w:r>
        <w:rPr>
          <w:rFonts w:eastAsia="Times New Roman" w:cs="Arial" w:ascii="Arial" w:hAnsi="Arial"/>
          <w:vanish/>
          <w:sz w:val="24"/>
          <w:szCs w:val="24"/>
          <w:lang w:eastAsia="ru-RU"/>
        </w:rPr>
        <w:t>5.1</w:t>
      </w:r>
    </w:p>
    <w:p>
      <w:pPr>
        <w:pStyle w:val="ConsPlusNormal1"/>
        <w:suppressAutoHyphens w:val="false"/>
        <w:rPr/>
      </w:pPr>
      <w:r>
        <w:rPr>
          <w:rFonts w:eastAsia="Times New Roman" w:cs="Arial"/>
          <w:sz w:val="24"/>
          <w:szCs w:val="24"/>
          <w:lang w:eastAsia="ru-RU"/>
        </w:rPr>
        <w:t xml:space="preserve">5.1.1.Предприятия надлежит размещать на территории, предусмотренной генеральными планами и правилами землепользования и застройки Кушнурского   сельсовета, проектом планировки производственных зон. Размещение промышленных предприятий, содержащих опасные производственные объекты в соответствии с </w:t>
      </w:r>
      <w:hyperlink r:id="rId7">
        <w:r>
          <w:rPr>
            <w:rStyle w:val="Style9"/>
            <w:rFonts w:eastAsia="Times New Roman" w:cs="Arial"/>
            <w:sz w:val="24"/>
            <w:szCs w:val="24"/>
            <w:lang w:eastAsia="ru-RU"/>
          </w:rPr>
          <w:t>Законом</w:t>
        </w:r>
      </w:hyperlink>
      <w:r>
        <w:rPr>
          <w:rFonts w:eastAsia="Times New Roman" w:cs="Arial"/>
          <w:sz w:val="24"/>
          <w:szCs w:val="24"/>
          <w:lang w:eastAsia="ru-RU"/>
        </w:rPr>
        <w:t xml:space="preserve"> РФ "О промышленной безопасности опасных производственных объектов" N 116-ФЗ от 21 июля 1997 года, должно осуществляться с учетом потенциальной возможности аварий, а также с учетом локализации и ликвидации их последствий.</w:t>
      </w:r>
    </w:p>
    <w:p>
      <w:pPr>
        <w:pStyle w:val="ConsPlusNormal1"/>
        <w:suppressAutoHyphens w:val="false"/>
        <w:rPr>
          <w:rFonts w:eastAsia="Times New Roman" w:cs="Arial"/>
          <w:sz w:val="24"/>
          <w:szCs w:val="24"/>
          <w:lang w:eastAsia="ru-RU"/>
        </w:rPr>
      </w:pPr>
      <w:r>
        <w:rPr>
          <w:rFonts w:eastAsia="Times New Roman" w:cs="Arial"/>
          <w:sz w:val="24"/>
          <w:szCs w:val="24"/>
          <w:lang w:eastAsia="ru-RU"/>
        </w:rPr>
        <w:t>5.1.2.В границах населенных пунктов допускается размещать производственные предприятия и объекты III, IV, V классов с установлением соответствующих санитарно-защитных зон. В пределах селитебной территории допускается размещать промышленные предприятия, не выделяющие вредные вещества, с непожароопасными и невзрывоопасными производственными процессами, не создающие шума, превышающего установленные нормы, не требующие устройства железнодорожных подъездных путей. При этом расстояние от границ участка промышленного предприятия до жилых зданий, участков детских дошкольных учреждений, общеобразовательных школ, учреждений здравоохранения и отдыха следует принимать не менее 50 м.</w:t>
      </w:r>
    </w:p>
    <w:p>
      <w:pPr>
        <w:pStyle w:val="ConsPlusNormal1"/>
        <w:suppressAutoHyphens w:val="false"/>
        <w:rPr>
          <w:rFonts w:cs="Arial"/>
          <w:sz w:val="24"/>
          <w:szCs w:val="24"/>
        </w:rPr>
      </w:pPr>
      <w:r>
        <w:rPr>
          <w:rFonts w:cs="Arial"/>
          <w:sz w:val="24"/>
          <w:szCs w:val="24"/>
        </w:rPr>
        <w:t>5.1.3.В целях обеспечения безопасности населения вокруг объектов и производств, являющихся источниками воздействия на среду обитания и здоровье человека, устанавливается специальная территория с особым режимом использования - санитарно-защитная зона (СЗЗ). Территория СЗЗ предназначена для обеспечения снижения уровня воздействия до требуемых гигиенических нормативов по всем факторам воздействия за ее пределами; создания санитарно-защитного и эстетического барьера между территорией предприятия (группы предприятий) и территорией жилой застройки. Источниками воздействия на среду обитания и здоровье человека являются объекты, для которых уровни создаваемого загрязнения за пределами промышленной площадки превышают 0,1 предельно допустимой концентрации (ПДК) и (или) предельно допустимого уровня (ПДУ).</w:t>
      </w:r>
    </w:p>
    <w:p>
      <w:pPr>
        <w:pStyle w:val="ConsPlusNormal1"/>
        <w:suppressAutoHyphens w:val="false"/>
        <w:rPr/>
      </w:pPr>
      <w:r>
        <w:rPr>
          <w:rFonts w:cs="Arial"/>
          <w:sz w:val="24"/>
          <w:szCs w:val="24"/>
        </w:rPr>
        <w:t xml:space="preserve">5.1.4.Для объектов, являющихся источниками воздействия на среду обитания, разрабатывается проект обоснования размера СЗЗ в соответствии с требованиями </w:t>
      </w:r>
      <w:hyperlink r:id="rId8">
        <w:r>
          <w:rPr>
            <w:rStyle w:val="Style9"/>
            <w:rFonts w:cs="Arial"/>
            <w:color w:val="0000FF"/>
            <w:sz w:val="24"/>
            <w:szCs w:val="24"/>
          </w:rPr>
          <w:t>СанПиН 2.2.1/2.1.1.1200-03</w:t>
        </w:r>
      </w:hyperlink>
      <w:r>
        <w:rPr>
          <w:rFonts w:cs="Arial"/>
          <w:sz w:val="24"/>
          <w:szCs w:val="24"/>
        </w:rPr>
        <w:t xml:space="preserve"> "Санитарно-защитные зоны и санитарная классификация предприятий, сооружений и иных объектов" (с изменениями от 10 апреля 2008 года, 6 октября 2009 года и изменением от 09 сентября 2010 года, на 25 апреля 2014 года).</w:t>
      </w:r>
    </w:p>
    <w:p>
      <w:pPr>
        <w:pStyle w:val="ConsPlusNormal1"/>
        <w:suppressAutoHyphens w:val="false"/>
        <w:rPr>
          <w:rFonts w:cs="Arial"/>
          <w:sz w:val="24"/>
          <w:szCs w:val="24"/>
        </w:rPr>
      </w:pPr>
      <w:r>
        <w:rPr>
          <w:rFonts w:cs="Arial"/>
          <w:sz w:val="24"/>
          <w:szCs w:val="24"/>
        </w:rPr>
        <w:t>5.1.5.Для объектов по изготовлению и хранению взрывчатых веществ, материалов и изделий на их основе следует предусматривать запретные (опасные) зоны и районы. Размеры этих зон и районов и возможность строительства в них определяются специальными нормативными документами, утвержденными в установленном порядке, и по согласованию с органами государственного надзора, в ведении которых находятся указанные объекты.</w:t>
      </w:r>
    </w:p>
    <w:p>
      <w:pPr>
        <w:pStyle w:val="ConsPlusNormal1"/>
        <w:ind w:left="0" w:right="0" w:firstLine="540"/>
        <w:rPr>
          <w:rFonts w:cs="Arial"/>
          <w:sz w:val="24"/>
          <w:szCs w:val="24"/>
        </w:rPr>
      </w:pPr>
      <w:r>
        <w:rPr>
          <w:rFonts w:cs="Arial"/>
          <w:sz w:val="24"/>
          <w:szCs w:val="24"/>
        </w:rPr>
        <w:t>Застройка запретных (опасных) зон жилыми, общественными и производственными зданиями не допускается.</w:t>
      </w:r>
    </w:p>
    <w:p>
      <w:pPr>
        <w:pStyle w:val="ConsPlusNormal1"/>
        <w:suppressAutoHyphens w:val="false"/>
        <w:rPr>
          <w:rFonts w:cs="Arial"/>
          <w:sz w:val="24"/>
          <w:szCs w:val="24"/>
        </w:rPr>
      </w:pPr>
      <w:r>
        <w:rPr>
          <w:rFonts w:cs="Arial"/>
          <w:sz w:val="24"/>
          <w:szCs w:val="24"/>
        </w:rPr>
        <w:t>5.1.6.В санитарно-защитной зоне не допускается размещать жилые здания, детских дошкольные учреждения, общеобразовательные школы, учреждения здравоохранения и отдыха, спортивные сооружения, сады, парки, садоводческие товарищества и огороды.</w:t>
      </w:r>
    </w:p>
    <w:p>
      <w:pPr>
        <w:pStyle w:val="ConsPlusNormal1"/>
        <w:suppressAutoHyphens w:val="false"/>
        <w:ind w:left="550" w:right="0" w:hanging="0"/>
        <w:rPr/>
      </w:pPr>
      <w:r>
        <w:rPr>
          <w:rFonts w:eastAsia="Arial" w:cs="Arial"/>
          <w:sz w:val="24"/>
          <w:szCs w:val="24"/>
        </w:rPr>
        <w:t xml:space="preserve">      </w:t>
      </w:r>
      <w:r>
        <w:rPr>
          <w:rFonts w:cs="Arial"/>
          <w:sz w:val="24"/>
          <w:szCs w:val="24"/>
        </w:rPr>
        <w:t>5.1.7.Минимальную площадь озеленения санитарно-защитных зон следует принимать по таблице 5.1 в зависимости от ширины зоны:</w:t>
      </w:r>
    </w:p>
    <w:p>
      <w:pPr>
        <w:pStyle w:val="015"/>
        <w:spacing w:before="0" w:after="240"/>
        <w:jc w:val="right"/>
        <w:rPr>
          <w:rFonts w:ascii="Arial" w:hAnsi="Arial" w:cs="Arial"/>
          <w:color w:val="000000"/>
          <w:sz w:val="24"/>
          <w:szCs w:val="24"/>
        </w:rPr>
      </w:pPr>
      <w:r>
        <w:rPr>
          <w:rFonts w:cs="Arial" w:ascii="Arial" w:hAnsi="Arial"/>
          <w:color w:val="000000"/>
          <w:sz w:val="24"/>
          <w:szCs w:val="24"/>
        </w:rPr>
        <w:t>Таблица 5.1</w:t>
      </w:r>
    </w:p>
    <w:tbl>
      <w:tblPr>
        <w:tblW w:w="10480" w:type="dxa"/>
        <w:jc w:val="left"/>
        <w:tblInd w:w="-3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7135"/>
        <w:gridCol w:w="3345"/>
      </w:tblGrid>
      <w:tr>
        <w:trPr/>
        <w:tc>
          <w:tcPr>
            <w:tcW w:w="7135"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napToGrid w:val="false"/>
              <w:spacing w:before="0" w:after="240"/>
              <w:ind w:left="0" w:right="0" w:firstLine="709"/>
              <w:jc w:val="both"/>
              <w:rPr>
                <w:rFonts w:ascii="Arial" w:hAnsi="Arial" w:cs="Arial"/>
                <w:b/>
                <w:b/>
                <w:color w:val="000000"/>
                <w:sz w:val="24"/>
                <w:szCs w:val="24"/>
              </w:rPr>
            </w:pPr>
            <w:r>
              <w:rPr>
                <w:rFonts w:cs="Arial" w:ascii="Arial" w:hAnsi="Arial"/>
                <w:b/>
                <w:color w:val="000000"/>
                <w:sz w:val="24"/>
                <w:szCs w:val="24"/>
              </w:rPr>
              <w:t>до 300 м</w:t>
            </w:r>
          </w:p>
        </w:tc>
        <w:tc>
          <w:tcPr>
            <w:tcW w:w="334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napToGrid w:val="false"/>
              <w:spacing w:before="0" w:after="200"/>
              <w:ind w:left="0" w:right="0" w:firstLine="709"/>
              <w:jc w:val="both"/>
              <w:rPr>
                <w:rFonts w:ascii="Arial" w:hAnsi="Arial" w:cs="Arial"/>
                <w:color w:val="000000"/>
                <w:sz w:val="24"/>
                <w:szCs w:val="24"/>
              </w:rPr>
            </w:pPr>
            <w:r>
              <w:rPr>
                <w:rFonts w:cs="Arial" w:ascii="Arial" w:hAnsi="Arial"/>
                <w:color w:val="000000"/>
                <w:sz w:val="24"/>
                <w:szCs w:val="24"/>
              </w:rPr>
              <w:t>60%</w:t>
            </w:r>
          </w:p>
        </w:tc>
      </w:tr>
      <w:tr>
        <w:trPr/>
        <w:tc>
          <w:tcPr>
            <w:tcW w:w="7135"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napToGrid w:val="false"/>
              <w:spacing w:before="0" w:after="200"/>
              <w:ind w:left="0" w:right="0" w:firstLine="709"/>
              <w:jc w:val="both"/>
              <w:rPr>
                <w:rFonts w:ascii="Arial" w:hAnsi="Arial" w:cs="Arial"/>
                <w:b/>
                <w:b/>
                <w:color w:val="000000"/>
                <w:sz w:val="24"/>
                <w:szCs w:val="24"/>
              </w:rPr>
            </w:pPr>
            <w:r>
              <w:rPr>
                <w:rFonts w:cs="Arial" w:ascii="Arial" w:hAnsi="Arial"/>
                <w:b/>
                <w:color w:val="000000"/>
                <w:sz w:val="24"/>
                <w:szCs w:val="24"/>
              </w:rPr>
              <w:t>св. 300 до 1000 м</w:t>
            </w:r>
          </w:p>
        </w:tc>
        <w:tc>
          <w:tcPr>
            <w:tcW w:w="334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napToGrid w:val="false"/>
              <w:spacing w:before="0" w:after="200"/>
              <w:ind w:left="0" w:right="0" w:firstLine="709"/>
              <w:jc w:val="both"/>
              <w:rPr>
                <w:rFonts w:ascii="Arial" w:hAnsi="Arial" w:cs="Arial"/>
                <w:color w:val="000000"/>
                <w:sz w:val="24"/>
                <w:szCs w:val="24"/>
              </w:rPr>
            </w:pPr>
            <w:r>
              <w:rPr>
                <w:rFonts w:cs="Arial" w:ascii="Arial" w:hAnsi="Arial"/>
                <w:color w:val="000000"/>
                <w:sz w:val="24"/>
                <w:szCs w:val="24"/>
              </w:rPr>
              <w:t>50%</w:t>
            </w:r>
          </w:p>
        </w:tc>
      </w:tr>
      <w:tr>
        <w:trPr/>
        <w:tc>
          <w:tcPr>
            <w:tcW w:w="7135"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napToGrid w:val="false"/>
              <w:spacing w:before="0" w:after="200"/>
              <w:ind w:left="0" w:right="0" w:firstLine="709"/>
              <w:jc w:val="both"/>
              <w:rPr>
                <w:rFonts w:ascii="Arial" w:hAnsi="Arial" w:cs="Arial"/>
                <w:b/>
                <w:b/>
                <w:color w:val="000000"/>
                <w:sz w:val="24"/>
                <w:szCs w:val="24"/>
              </w:rPr>
            </w:pPr>
            <w:r>
              <w:rPr>
                <w:rFonts w:cs="Arial" w:ascii="Arial" w:hAnsi="Arial"/>
                <w:b/>
                <w:color w:val="000000"/>
                <w:sz w:val="24"/>
                <w:szCs w:val="24"/>
              </w:rPr>
              <w:t>от 1001до 3000 м</w:t>
            </w:r>
          </w:p>
        </w:tc>
        <w:tc>
          <w:tcPr>
            <w:tcW w:w="334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napToGrid w:val="false"/>
              <w:spacing w:before="0" w:after="200"/>
              <w:ind w:left="0" w:right="0" w:firstLine="709"/>
              <w:jc w:val="both"/>
              <w:rPr>
                <w:rFonts w:ascii="Arial" w:hAnsi="Arial" w:cs="Arial"/>
                <w:color w:val="000000"/>
                <w:sz w:val="24"/>
                <w:szCs w:val="24"/>
              </w:rPr>
            </w:pPr>
            <w:r>
              <w:rPr>
                <w:rFonts w:cs="Arial" w:ascii="Arial" w:hAnsi="Arial"/>
                <w:color w:val="000000"/>
                <w:sz w:val="24"/>
                <w:szCs w:val="24"/>
              </w:rPr>
              <w:t>40%</w:t>
            </w:r>
          </w:p>
        </w:tc>
      </w:tr>
      <w:tr>
        <w:trPr/>
        <w:tc>
          <w:tcPr>
            <w:tcW w:w="7135"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napToGrid w:val="false"/>
              <w:spacing w:before="0" w:after="200"/>
              <w:ind w:left="0" w:right="0" w:firstLine="709"/>
              <w:jc w:val="both"/>
              <w:rPr>
                <w:rFonts w:ascii="Arial" w:hAnsi="Arial" w:cs="Arial"/>
                <w:b/>
                <w:b/>
                <w:color w:val="000000"/>
                <w:sz w:val="24"/>
                <w:szCs w:val="24"/>
              </w:rPr>
            </w:pPr>
            <w:r>
              <w:rPr>
                <w:rFonts w:cs="Arial" w:ascii="Arial" w:hAnsi="Arial"/>
                <w:b/>
                <w:color w:val="000000"/>
                <w:sz w:val="24"/>
                <w:szCs w:val="24"/>
              </w:rPr>
              <w:t>от 3001 м</w:t>
            </w:r>
          </w:p>
        </w:tc>
        <w:tc>
          <w:tcPr>
            <w:tcW w:w="334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napToGrid w:val="false"/>
              <w:spacing w:before="0" w:after="200"/>
              <w:ind w:left="0" w:right="0" w:firstLine="709"/>
              <w:jc w:val="both"/>
              <w:rPr>
                <w:rFonts w:ascii="Arial" w:hAnsi="Arial" w:cs="Arial"/>
                <w:color w:val="000000"/>
                <w:sz w:val="24"/>
                <w:szCs w:val="24"/>
              </w:rPr>
            </w:pPr>
            <w:r>
              <w:rPr>
                <w:rFonts w:cs="Arial" w:ascii="Arial" w:hAnsi="Arial"/>
                <w:color w:val="000000"/>
                <w:sz w:val="24"/>
                <w:szCs w:val="24"/>
              </w:rPr>
              <w:t>20%</w:t>
            </w:r>
          </w:p>
        </w:tc>
      </w:tr>
    </w:tbl>
    <w:p>
      <w:pPr>
        <w:pStyle w:val="015"/>
        <w:rPr>
          <w:rFonts w:ascii="Arial" w:hAnsi="Arial" w:cs="Arial"/>
          <w:sz w:val="24"/>
          <w:szCs w:val="24"/>
        </w:rPr>
      </w:pPr>
      <w:r>
        <w:rPr>
          <w:rFonts w:cs="Arial" w:ascii="Arial" w:hAnsi="Arial"/>
          <w:sz w:val="24"/>
          <w:szCs w:val="24"/>
        </w:rPr>
      </w:r>
    </w:p>
    <w:p>
      <w:pPr>
        <w:pStyle w:val="ConsPlusNormal1"/>
        <w:ind w:left="0" w:right="0" w:firstLine="540"/>
        <w:rPr>
          <w:rFonts w:cs="Arial"/>
          <w:sz w:val="24"/>
          <w:szCs w:val="24"/>
        </w:rPr>
      </w:pPr>
      <w:r>
        <w:rPr>
          <w:rFonts w:cs="Arial"/>
          <w:sz w:val="24"/>
          <w:szCs w:val="24"/>
        </w:rPr>
        <w:t>Со стороны селитебной территории необходимо предусматривать полосу древесно-кустарниковых насаждений шириной не менее 50 м, а при ширине зоны до 100 м - не менее 20 м.</w:t>
      </w:r>
    </w:p>
    <w:p>
      <w:pPr>
        <w:pStyle w:val="015"/>
        <w:rPr>
          <w:rFonts w:ascii="Arial" w:hAnsi="Arial" w:cs="Arial"/>
          <w:color w:val="000000"/>
          <w:sz w:val="24"/>
          <w:szCs w:val="24"/>
        </w:rPr>
      </w:pPr>
      <w:r>
        <w:rPr>
          <w:rFonts w:cs="Arial" w:ascii="Arial" w:hAnsi="Arial"/>
          <w:color w:val="000000"/>
          <w:sz w:val="24"/>
          <w:szCs w:val="24"/>
        </w:rPr>
      </w:r>
    </w:p>
    <w:p>
      <w:pPr>
        <w:pStyle w:val="ConsPlusNormal1"/>
        <w:suppressAutoHyphens w:val="false"/>
        <w:rPr>
          <w:rFonts w:cs="Arial"/>
          <w:sz w:val="24"/>
          <w:szCs w:val="24"/>
        </w:rPr>
      </w:pPr>
      <w:r>
        <w:rPr>
          <w:rFonts w:cs="Arial"/>
          <w:sz w:val="24"/>
          <w:szCs w:val="24"/>
        </w:rPr>
        <w:t>5.1.8.Предприятия, промышленные узлы и связанные с ними отвалы, отходы, очистные сооружения следует размещать на землях несельскохозяйственного назначения или непригодных для сельского хозяйства. При отсутствии таких земель могут выбираться участки на сельскохозяйственных угодьях худшего качества.</w:t>
      </w:r>
    </w:p>
    <w:p>
      <w:pPr>
        <w:pStyle w:val="ConsPlusNormal1"/>
        <w:suppressAutoHyphens w:val="false"/>
        <w:rPr>
          <w:rFonts w:cs="Arial"/>
          <w:sz w:val="24"/>
          <w:szCs w:val="24"/>
        </w:rPr>
      </w:pPr>
      <w:r>
        <w:rPr>
          <w:rFonts w:cs="Arial"/>
          <w:sz w:val="24"/>
          <w:szCs w:val="24"/>
        </w:rPr>
        <w:t>5.1.9.Размещение предприятий и промышленных узлов на площадях залегания полезных ископаемых допускается по согласованию с органами государственного горного надзора, а на площадях залегания общераспространенных полезных ископаемых - в порядке, установленном законодательством Российской Федерации.</w:t>
      </w:r>
    </w:p>
    <w:p>
      <w:pPr>
        <w:pStyle w:val="ConsPlusNormal1"/>
        <w:suppressAutoHyphens w:val="false"/>
        <w:ind w:left="0" w:right="0" w:hanging="0"/>
        <w:rPr/>
      </w:pPr>
      <w:r>
        <w:rPr>
          <w:rFonts w:eastAsia="Arial" w:cs="Arial"/>
          <w:sz w:val="24"/>
          <w:szCs w:val="24"/>
        </w:rPr>
        <w:t xml:space="preserve">          </w:t>
      </w:r>
      <w:r>
        <w:rPr>
          <w:rFonts w:cs="Arial"/>
          <w:sz w:val="24"/>
          <w:szCs w:val="24"/>
        </w:rPr>
        <w:t>5.1.10.Размещение предприятий и промышленных узлов не допускается:</w:t>
      </w:r>
    </w:p>
    <w:p>
      <w:pPr>
        <w:pStyle w:val="ConsPlusNormal1"/>
        <w:ind w:left="0" w:right="0" w:firstLine="540"/>
        <w:rPr>
          <w:rFonts w:cs="Arial"/>
          <w:sz w:val="24"/>
          <w:szCs w:val="24"/>
        </w:rPr>
      </w:pPr>
      <w:r>
        <w:rPr>
          <w:rFonts w:cs="Arial"/>
          <w:sz w:val="24"/>
          <w:szCs w:val="24"/>
        </w:rPr>
        <w:t>- в составе рекреационных зон;</w:t>
      </w:r>
    </w:p>
    <w:p>
      <w:pPr>
        <w:pStyle w:val="ConsPlusNormal1"/>
        <w:ind w:left="0" w:right="0" w:firstLine="540"/>
        <w:rPr>
          <w:rFonts w:cs="Arial"/>
          <w:sz w:val="24"/>
          <w:szCs w:val="24"/>
        </w:rPr>
      </w:pPr>
      <w:r>
        <w:rPr>
          <w:rFonts w:cs="Arial"/>
          <w:sz w:val="24"/>
          <w:szCs w:val="24"/>
        </w:rPr>
        <w:t>- в первом поясе санитарной охраны источников водоснабжения;</w:t>
      </w:r>
    </w:p>
    <w:p>
      <w:pPr>
        <w:pStyle w:val="ConsPlusNormal1"/>
        <w:ind w:left="0" w:right="0" w:firstLine="540"/>
        <w:rPr>
          <w:rFonts w:cs="Arial"/>
          <w:sz w:val="24"/>
          <w:szCs w:val="24"/>
        </w:rPr>
      </w:pPr>
      <w:r>
        <w:rPr>
          <w:rFonts w:cs="Arial"/>
          <w:sz w:val="24"/>
          <w:szCs w:val="24"/>
        </w:rPr>
        <w:t>- в водоохранных и прибрежных зонах рек;</w:t>
      </w:r>
    </w:p>
    <w:p>
      <w:pPr>
        <w:pStyle w:val="ConsPlusNormal1"/>
        <w:ind w:left="0" w:right="0" w:firstLine="540"/>
        <w:rPr>
          <w:rFonts w:cs="Arial"/>
          <w:sz w:val="24"/>
          <w:szCs w:val="24"/>
        </w:rPr>
      </w:pPr>
      <w:r>
        <w:rPr>
          <w:rFonts w:cs="Arial"/>
          <w:sz w:val="24"/>
          <w:szCs w:val="24"/>
        </w:rPr>
        <w:t>- на землях особо охраняемых природных территорий и их охранных зон;</w:t>
      </w:r>
    </w:p>
    <w:p>
      <w:pPr>
        <w:pStyle w:val="ConsPlusNormal1"/>
        <w:ind w:left="0" w:right="0" w:firstLine="540"/>
        <w:rPr>
          <w:rFonts w:cs="Arial"/>
          <w:sz w:val="24"/>
          <w:szCs w:val="24"/>
        </w:rPr>
      </w:pPr>
      <w:r>
        <w:rPr>
          <w:rFonts w:cs="Arial"/>
          <w:sz w:val="24"/>
          <w:szCs w:val="24"/>
        </w:rPr>
        <w:t>- в зонах охраны памятников истории и культуры без разрешения соответствующих органов охраны памятников;</w:t>
      </w:r>
    </w:p>
    <w:p>
      <w:pPr>
        <w:pStyle w:val="ConsPlusNormal1"/>
        <w:ind w:left="0" w:right="0" w:firstLine="540"/>
        <w:rPr>
          <w:rFonts w:cs="Arial"/>
          <w:sz w:val="24"/>
          <w:szCs w:val="24"/>
        </w:rPr>
      </w:pPr>
      <w:r>
        <w:rPr>
          <w:rFonts w:cs="Arial"/>
          <w:sz w:val="24"/>
          <w:szCs w:val="24"/>
        </w:rPr>
        <w:t>- на участках, загрязненных органическими и радиоактивными отбросами, до истечения сроков, установленных органами Роспотребнадзора.</w:t>
      </w:r>
    </w:p>
    <w:p>
      <w:pPr>
        <w:pStyle w:val="ConsPlusNormal1"/>
        <w:suppressAutoHyphens w:val="false"/>
        <w:rPr>
          <w:rFonts w:cs="Arial"/>
          <w:sz w:val="24"/>
          <w:szCs w:val="24"/>
        </w:rPr>
      </w:pPr>
      <w:r>
        <w:rPr>
          <w:rFonts w:cs="Arial"/>
          <w:sz w:val="24"/>
          <w:szCs w:val="24"/>
        </w:rPr>
        <w:t>5.1.11Предприятия с источниками загрязнения атмосферного воздуха надлежит размещать по отношению к жилой застройке с учетом ветров преобладающего направления.</w:t>
      </w:r>
    </w:p>
    <w:p>
      <w:pPr>
        <w:pStyle w:val="ConsPlusNormal1"/>
        <w:suppressAutoHyphens w:val="false"/>
        <w:rPr>
          <w:rFonts w:cs="Arial"/>
          <w:sz w:val="24"/>
          <w:szCs w:val="24"/>
        </w:rPr>
      </w:pPr>
      <w:r>
        <w:rPr>
          <w:rFonts w:cs="Arial"/>
          <w:sz w:val="24"/>
          <w:szCs w:val="24"/>
        </w:rPr>
        <w:t>5.1.12.Производства с источниками внешнего шума с уровнями звука 50 дБА и более следует размещать по отношению к жилым и общественным зданиям в соответствии с нормами по защите от шума.</w:t>
      </w:r>
    </w:p>
    <w:p>
      <w:pPr>
        <w:pStyle w:val="ConsPlusNormal1"/>
        <w:suppressAutoHyphens w:val="false"/>
        <w:rPr>
          <w:rFonts w:cs="Arial"/>
          <w:sz w:val="24"/>
          <w:szCs w:val="24"/>
        </w:rPr>
      </w:pPr>
      <w:r>
        <w:rPr>
          <w:rFonts w:cs="Arial"/>
          <w:sz w:val="24"/>
          <w:szCs w:val="24"/>
        </w:rPr>
        <w:t>5.1.13.При организации сельскохозяйственного производства необходимо предусматривать меры по защите жилых и общественно-деловых зон от неблагоприятного влияния производственных комплексов, а также самих этих комплексов, если они связаны с производством пищевых продуктов, от загрязнений и вредных воздействий иных производств, транспортных и коммунальных сооружений. Меры по исключению загрязнения почв, поверхностных и подземных вод, поверхностных водосборов, водоемов и атмосферного воздуха должны соответствовать санитарным нормам, а также требованиям раздела 16 Нормативов.</w:t>
      </w:r>
    </w:p>
    <w:p>
      <w:pPr>
        <w:pStyle w:val="ConsPlusNormal1"/>
        <w:suppressAutoHyphens w:val="false"/>
        <w:rPr>
          <w:rFonts w:cs="Arial"/>
          <w:sz w:val="24"/>
          <w:szCs w:val="24"/>
        </w:rPr>
      </w:pPr>
      <w:r>
        <w:rPr>
          <w:rFonts w:cs="Arial"/>
          <w:sz w:val="24"/>
          <w:szCs w:val="24"/>
        </w:rPr>
        <w:t>5.1.14.При формировании производственных зон сельских поселений расстояния между сельскохозяйственными предприятиями, зданиями и сооружениями следует предусматривать минимально допустимые исходя из санитарных, ветеринарных, противопожарных требований и норм технологического проектирования.</w:t>
      </w:r>
    </w:p>
    <w:p>
      <w:pPr>
        <w:pStyle w:val="ConsPlusNormal1"/>
        <w:suppressAutoHyphens w:val="false"/>
        <w:rPr>
          <w:rFonts w:cs="Arial"/>
          <w:sz w:val="24"/>
          <w:szCs w:val="24"/>
        </w:rPr>
      </w:pPr>
      <w:r>
        <w:rPr>
          <w:rFonts w:cs="Arial"/>
          <w:sz w:val="24"/>
          <w:szCs w:val="24"/>
        </w:rPr>
        <w:t>5.1.15.На территории животноводческих комплексов и ферм и в их санитарно-защитных зонах не допускается размещать предприятия по переработке сельскохозяйственной продукции, объекты питания и объекты, к ним приравненные.</w:t>
      </w:r>
    </w:p>
    <w:p>
      <w:pPr>
        <w:pStyle w:val="ConsPlusNormal1"/>
        <w:suppressAutoHyphens w:val="false"/>
        <w:rPr>
          <w:rFonts w:cs="Arial"/>
          <w:sz w:val="24"/>
          <w:szCs w:val="24"/>
        </w:rPr>
      </w:pPr>
      <w:r>
        <w:rPr>
          <w:rFonts w:cs="Arial"/>
          <w:sz w:val="24"/>
          <w:szCs w:val="24"/>
        </w:rPr>
        <w:t>5.1.16.Объекты с размерами санитарно-защитной зоны свыше 300 м следует размещать на обособленных земельных участках за пределами границ сельских населенных пунктов.</w:t>
      </w:r>
    </w:p>
    <w:p>
      <w:pPr>
        <w:pStyle w:val="ConsPlusNormal1"/>
        <w:suppressAutoHyphens w:val="false"/>
        <w:rPr>
          <w:rFonts w:cs="Arial"/>
          <w:sz w:val="24"/>
          <w:szCs w:val="24"/>
        </w:rPr>
      </w:pPr>
      <w:r>
        <w:rPr>
          <w:rFonts w:cs="Arial"/>
          <w:sz w:val="24"/>
          <w:szCs w:val="24"/>
        </w:rPr>
        <w:t>5.1.17.Производственные зоны сельских поселений, как правило, не должны быть разделены на обособленные участки железными и автомобильными дорогами общей сети.</w:t>
      </w:r>
    </w:p>
    <w:p>
      <w:pPr>
        <w:pStyle w:val="ConsPlusNormal1"/>
        <w:suppressAutoHyphens w:val="false"/>
        <w:rPr/>
      </w:pPr>
      <w:r>
        <w:rPr>
          <w:rFonts w:cs="Arial"/>
          <w:sz w:val="24"/>
          <w:szCs w:val="24"/>
        </w:rPr>
        <w:t xml:space="preserve">5.1.18.При размещении сельскохозяйственных предприятий и других объектов необходимо предусматривать меры по исключению загрязнения почв, поверхностных и подземных вод, поверхностных водосборов, водоемов и атмосферного воздуха с учетом требований </w:t>
      </w:r>
      <w:hyperlink w:anchor="Par1531">
        <w:r>
          <w:rPr>
            <w:rStyle w:val="Style9"/>
            <w:rFonts w:cs="Arial"/>
            <w:sz w:val="24"/>
            <w:szCs w:val="24"/>
          </w:rPr>
          <w:t>раздела 14</w:t>
        </w:r>
      </w:hyperlink>
      <w:r>
        <w:rPr>
          <w:rFonts w:cs="Arial"/>
          <w:sz w:val="24"/>
          <w:szCs w:val="24"/>
        </w:rPr>
        <w:t xml:space="preserve"> настоящих Нормативов.</w:t>
      </w:r>
    </w:p>
    <w:p>
      <w:pPr>
        <w:pStyle w:val="ConsPlusNormal1"/>
        <w:ind w:left="720" w:right="0" w:hanging="0"/>
        <w:rPr>
          <w:rFonts w:cs="Arial"/>
          <w:i/>
          <w:i/>
          <w:sz w:val="24"/>
          <w:szCs w:val="24"/>
        </w:rPr>
      </w:pPr>
      <w:r>
        <w:rPr>
          <w:rFonts w:cs="Arial"/>
          <w:i/>
          <w:sz w:val="24"/>
          <w:szCs w:val="24"/>
        </w:rPr>
        <w:t>5.2. Параметры застройки производственных зон</w:t>
      </w:r>
    </w:p>
    <w:p>
      <w:pPr>
        <w:pStyle w:val="ConsPlusNormal1"/>
        <w:tabs>
          <w:tab w:val="left" w:pos="1418" w:leader="none"/>
        </w:tabs>
        <w:suppressAutoHyphens w:val="false"/>
        <w:rPr>
          <w:rFonts w:cs="Arial"/>
          <w:sz w:val="24"/>
          <w:szCs w:val="24"/>
        </w:rPr>
      </w:pPr>
      <w:r>
        <w:rPr>
          <w:rFonts w:cs="Arial"/>
          <w:sz w:val="24"/>
          <w:szCs w:val="24"/>
        </w:rPr>
        <w:t>5.2.1.Показатели минимальной плотности застройки площадок промышленных предприятий принимаются в соответствии с Актуализированной редакцией СНиП II-89-80* «Планировочная организация территории производственных объектов» СНиП II-89-2010</w:t>
      </w:r>
    </w:p>
    <w:p>
      <w:pPr>
        <w:pStyle w:val="015"/>
        <w:rPr>
          <w:rFonts w:ascii="Arial" w:hAnsi="Arial" w:cs="Arial"/>
          <w:color w:val="000000"/>
          <w:sz w:val="24"/>
          <w:szCs w:val="24"/>
        </w:rPr>
      </w:pPr>
      <w:r>
        <w:rPr>
          <w:rFonts w:cs="Arial" w:ascii="Arial" w:hAnsi="Arial"/>
          <w:color w:val="000000"/>
          <w:sz w:val="24"/>
          <w:szCs w:val="24"/>
        </w:rPr>
        <w:t>Площадь земельных участков должна обеспечивать нормативную плотность застройки участка, предусмотренную для предприятий данной отрасли промышленности; коэффициент использования территории должен быть не ниже нормативного; в целях экономии производственных территорий рекомендуется блокировка зданий.</w:t>
      </w:r>
    </w:p>
    <w:p>
      <w:pPr>
        <w:pStyle w:val="ConsPlusNormal1"/>
        <w:tabs>
          <w:tab w:val="left" w:pos="1418" w:leader="none"/>
        </w:tabs>
        <w:suppressAutoHyphens w:val="false"/>
        <w:rPr/>
      </w:pPr>
      <w:bookmarkStart w:id="16" w:name="__RefHeading___Toc494193912"/>
      <w:r>
        <w:rPr>
          <w:rStyle w:val="55555"/>
          <w:rFonts w:eastAsia="Calibri" w:cs="Arial"/>
        </w:rPr>
        <w:t>5.2.2.Максимальные значения коэффициентов застройки и коэффициентов плотности застройки</w:t>
      </w:r>
      <w:bookmarkEnd w:id="16"/>
      <w:r>
        <w:rPr>
          <w:rFonts w:cs="Arial"/>
          <w:b/>
          <w:i/>
          <w:sz w:val="24"/>
          <w:szCs w:val="24"/>
        </w:rPr>
        <w:t xml:space="preserve"> следует принимать по таблице 5.3</w:t>
      </w:r>
    </w:p>
    <w:p>
      <w:pPr>
        <w:pStyle w:val="NoSpacing"/>
        <w:ind w:left="0" w:right="0" w:firstLine="568"/>
        <w:jc w:val="right"/>
        <w:rPr>
          <w:rFonts w:ascii="Arial" w:hAnsi="Arial" w:cs="Arial"/>
          <w:sz w:val="24"/>
          <w:szCs w:val="24"/>
        </w:rPr>
      </w:pPr>
      <w:r>
        <w:rPr>
          <w:rFonts w:cs="Arial" w:ascii="Arial" w:hAnsi="Arial"/>
          <w:sz w:val="24"/>
          <w:szCs w:val="24"/>
        </w:rPr>
        <w:t>Таблица 5.3</w:t>
      </w:r>
    </w:p>
    <w:tbl>
      <w:tblPr>
        <w:tblW w:w="9221" w:type="dxa"/>
        <w:jc w:val="center"/>
        <w:tblInd w:w="0" w:type="dxa"/>
        <w:tblBorders>
          <w:top w:val="single" w:sz="2" w:space="0" w:color="00000A"/>
          <w:left w:val="single" w:sz="2" w:space="0" w:color="00000A"/>
          <w:bottom w:val="single" w:sz="2" w:space="0" w:color="00000A"/>
          <w:insideH w:val="single" w:sz="2" w:space="0" w:color="00000A"/>
        </w:tblBorders>
        <w:tblCellMar>
          <w:top w:w="0" w:type="dxa"/>
          <w:left w:w="81" w:type="dxa"/>
          <w:bottom w:w="0" w:type="dxa"/>
          <w:right w:w="84" w:type="dxa"/>
        </w:tblCellMar>
      </w:tblPr>
      <w:tblGrid>
        <w:gridCol w:w="3804"/>
        <w:gridCol w:w="2543"/>
        <w:gridCol w:w="2874"/>
      </w:tblGrid>
      <w:tr>
        <w:trPr/>
        <w:tc>
          <w:tcPr>
            <w:tcW w:w="3804" w:type="dxa"/>
            <w:tcBorders>
              <w:top w:val="single" w:sz="2" w:space="0" w:color="00000A"/>
              <w:left w:val="single" w:sz="2" w:space="0" w:color="00000A"/>
              <w:bottom w:val="single" w:sz="2" w:space="0" w:color="00000A"/>
              <w:insideH w:val="single" w:sz="2" w:space="0" w:color="00000A"/>
            </w:tcBorders>
            <w:shd w:fill="EEECE1" w:val="clear"/>
            <w:tcMar>
              <w:left w:w="81" w:type="dxa"/>
            </w:tcMar>
          </w:tcPr>
          <w:p>
            <w:pPr>
              <w:pStyle w:val="Style115"/>
              <w:jc w:val="center"/>
              <w:rPr>
                <w:rFonts w:ascii="Arial" w:hAnsi="Arial" w:cs="Arial"/>
                <w:b/>
                <w:b/>
              </w:rPr>
            </w:pPr>
            <w:r>
              <w:rPr>
                <w:rFonts w:cs="Arial" w:ascii="Arial" w:hAnsi="Arial"/>
                <w:b/>
              </w:rPr>
              <w:t xml:space="preserve">Наименование территориальной зоны </w:t>
            </w:r>
          </w:p>
        </w:tc>
        <w:tc>
          <w:tcPr>
            <w:tcW w:w="2543" w:type="dxa"/>
            <w:tcBorders>
              <w:top w:val="single" w:sz="2" w:space="0" w:color="00000A"/>
              <w:left w:val="single" w:sz="2" w:space="0" w:color="00000A"/>
              <w:bottom w:val="single" w:sz="2" w:space="0" w:color="00000A"/>
              <w:insideH w:val="single" w:sz="2" w:space="0" w:color="00000A"/>
            </w:tcBorders>
            <w:shd w:fill="EEECE1" w:val="clear"/>
            <w:tcMar>
              <w:left w:w="81" w:type="dxa"/>
            </w:tcMar>
          </w:tcPr>
          <w:p>
            <w:pPr>
              <w:pStyle w:val="Style115"/>
              <w:jc w:val="center"/>
              <w:rPr>
                <w:rFonts w:ascii="Arial" w:hAnsi="Arial" w:cs="Arial"/>
                <w:b/>
                <w:b/>
              </w:rPr>
            </w:pPr>
            <w:r>
              <w:rPr>
                <w:rFonts w:cs="Arial" w:ascii="Arial" w:hAnsi="Arial"/>
                <w:b/>
              </w:rPr>
              <w:t xml:space="preserve">Коэффициент застройки </w:t>
            </w:r>
          </w:p>
        </w:tc>
        <w:tc>
          <w:tcPr>
            <w:tcW w:w="287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EEECE1" w:val="clear"/>
            <w:tcMar>
              <w:left w:w="81" w:type="dxa"/>
            </w:tcMar>
          </w:tcPr>
          <w:p>
            <w:pPr>
              <w:pStyle w:val="Style115"/>
              <w:jc w:val="center"/>
              <w:rPr>
                <w:rFonts w:ascii="Arial" w:hAnsi="Arial" w:cs="Arial"/>
                <w:b/>
                <w:b/>
              </w:rPr>
            </w:pPr>
            <w:r>
              <w:rPr>
                <w:rFonts w:cs="Arial" w:ascii="Arial" w:hAnsi="Arial"/>
                <w:b/>
              </w:rPr>
              <w:t xml:space="preserve">Коэффициент плотности застройки </w:t>
            </w:r>
          </w:p>
        </w:tc>
      </w:tr>
      <w:tr>
        <w:trPr/>
        <w:tc>
          <w:tcPr>
            <w:tcW w:w="9221" w:type="dxa"/>
            <w:gridSpan w:val="3"/>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jc w:val="center"/>
              <w:rPr>
                <w:rFonts w:ascii="Arial" w:hAnsi="Arial" w:cs="Arial"/>
              </w:rPr>
            </w:pPr>
            <w:r>
              <w:rPr>
                <w:rFonts w:cs="Arial" w:ascii="Arial" w:hAnsi="Arial"/>
              </w:rPr>
              <w:t>Производственная</w:t>
            </w:r>
          </w:p>
        </w:tc>
      </w:tr>
      <w:tr>
        <w:trPr/>
        <w:tc>
          <w:tcPr>
            <w:tcW w:w="3804"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Промышленная</w:t>
            </w:r>
          </w:p>
        </w:tc>
        <w:tc>
          <w:tcPr>
            <w:tcW w:w="2543"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jc w:val="center"/>
              <w:rPr>
                <w:rFonts w:ascii="Arial" w:hAnsi="Arial" w:cs="Arial"/>
              </w:rPr>
            </w:pPr>
            <w:r>
              <w:rPr>
                <w:rFonts w:cs="Arial" w:ascii="Arial" w:hAnsi="Arial"/>
              </w:rPr>
              <w:t>0,8</w:t>
            </w:r>
          </w:p>
        </w:tc>
        <w:tc>
          <w:tcPr>
            <w:tcW w:w="287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jc w:val="center"/>
              <w:rPr>
                <w:rFonts w:ascii="Arial" w:hAnsi="Arial" w:cs="Arial"/>
              </w:rPr>
            </w:pPr>
            <w:r>
              <w:rPr>
                <w:rFonts w:cs="Arial" w:ascii="Arial" w:hAnsi="Arial"/>
              </w:rPr>
              <w:t>2,4</w:t>
            </w:r>
          </w:p>
        </w:tc>
      </w:tr>
      <w:tr>
        <w:trPr/>
        <w:tc>
          <w:tcPr>
            <w:tcW w:w="3804"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Научно-производственная*</w:t>
            </w:r>
          </w:p>
        </w:tc>
        <w:tc>
          <w:tcPr>
            <w:tcW w:w="2543"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jc w:val="center"/>
              <w:rPr>
                <w:rFonts w:ascii="Arial" w:hAnsi="Arial" w:cs="Arial"/>
              </w:rPr>
            </w:pPr>
            <w:r>
              <w:rPr>
                <w:rFonts w:cs="Arial" w:ascii="Arial" w:hAnsi="Arial"/>
              </w:rPr>
              <w:t>0,6</w:t>
            </w:r>
          </w:p>
        </w:tc>
        <w:tc>
          <w:tcPr>
            <w:tcW w:w="287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jc w:val="center"/>
              <w:rPr>
                <w:rFonts w:ascii="Arial" w:hAnsi="Arial" w:cs="Arial"/>
              </w:rPr>
            </w:pPr>
            <w:r>
              <w:rPr>
                <w:rFonts w:cs="Arial" w:ascii="Arial" w:hAnsi="Arial"/>
              </w:rPr>
              <w:t>1,0</w:t>
            </w:r>
          </w:p>
        </w:tc>
      </w:tr>
      <w:tr>
        <w:trPr/>
        <w:tc>
          <w:tcPr>
            <w:tcW w:w="3804"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Коммунально-складская</w:t>
            </w:r>
          </w:p>
        </w:tc>
        <w:tc>
          <w:tcPr>
            <w:tcW w:w="2543"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jc w:val="center"/>
              <w:rPr>
                <w:rFonts w:ascii="Arial" w:hAnsi="Arial" w:cs="Arial"/>
              </w:rPr>
            </w:pPr>
            <w:r>
              <w:rPr>
                <w:rFonts w:cs="Arial" w:ascii="Arial" w:hAnsi="Arial"/>
              </w:rPr>
              <w:t>0,6</w:t>
            </w:r>
          </w:p>
        </w:tc>
        <w:tc>
          <w:tcPr>
            <w:tcW w:w="287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jc w:val="center"/>
              <w:rPr>
                <w:rFonts w:ascii="Arial" w:hAnsi="Arial" w:cs="Arial"/>
              </w:rPr>
            </w:pPr>
            <w:r>
              <w:rPr>
                <w:rFonts w:cs="Arial" w:ascii="Arial" w:hAnsi="Arial"/>
              </w:rPr>
              <w:t>1, 8</w:t>
            </w:r>
          </w:p>
        </w:tc>
      </w:tr>
    </w:tbl>
    <w:p>
      <w:pPr>
        <w:pStyle w:val="ConsPlusCell3"/>
        <w:jc w:val="both"/>
        <w:rPr>
          <w:rFonts w:ascii="Arial" w:hAnsi="Arial" w:cs="Arial"/>
          <w:sz w:val="24"/>
          <w:szCs w:val="24"/>
        </w:rPr>
      </w:pPr>
      <w:r>
        <w:rPr>
          <w:rFonts w:cs="Arial" w:ascii="Arial" w:hAnsi="Arial"/>
          <w:sz w:val="24"/>
          <w:szCs w:val="24"/>
        </w:rPr>
        <w:t xml:space="preserve">&lt;*&gt; Без учета опытных  полей  и   полигонов,   резервных   территорий и санитарно-защитных зон.    </w:t>
      </w:r>
    </w:p>
    <w:p>
      <w:pPr>
        <w:pStyle w:val="ConsPlusCell3"/>
        <w:jc w:val="both"/>
        <w:rPr>
          <w:rFonts w:ascii="Arial" w:hAnsi="Arial" w:cs="Arial"/>
          <w:sz w:val="24"/>
          <w:szCs w:val="24"/>
        </w:rPr>
      </w:pPr>
      <w:r>
        <w:rPr>
          <w:rFonts w:cs="Arial" w:ascii="Arial" w:hAnsi="Arial"/>
          <w:sz w:val="24"/>
          <w:szCs w:val="24"/>
        </w:rPr>
        <w:t>Примечание: указанные коэффициенты приведены для кварталов производственной  застройки, включающей  один или несколько объектов.</w:t>
      </w:r>
    </w:p>
    <w:p>
      <w:pPr>
        <w:pStyle w:val="ConsPlusNormal1"/>
        <w:tabs>
          <w:tab w:val="left" w:pos="1418" w:leader="none"/>
        </w:tabs>
        <w:suppressAutoHyphens w:val="false"/>
        <w:rPr>
          <w:rFonts w:cs="Arial"/>
          <w:sz w:val="24"/>
          <w:szCs w:val="24"/>
        </w:rPr>
      </w:pPr>
      <w:r>
        <w:rPr>
          <w:rFonts w:cs="Arial"/>
          <w:sz w:val="24"/>
          <w:szCs w:val="24"/>
        </w:rPr>
        <w:t xml:space="preserve">5.1.3.Нормативный размер земельного участка производственного предприятия принимается равным отношению площади его застройки к показателю нормативной плотности застройки, выраженной в процентах застройки. </w:t>
      </w:r>
    </w:p>
    <w:p>
      <w:pPr>
        <w:pStyle w:val="ConsPlusNormal1"/>
        <w:tabs>
          <w:tab w:val="left" w:pos="1418" w:leader="none"/>
        </w:tabs>
        <w:suppressAutoHyphens w:val="false"/>
        <w:rPr>
          <w:rFonts w:cs="Arial"/>
          <w:sz w:val="24"/>
          <w:szCs w:val="24"/>
        </w:rPr>
      </w:pPr>
      <w:r>
        <w:rPr>
          <w:rFonts w:cs="Arial"/>
          <w:sz w:val="24"/>
          <w:szCs w:val="24"/>
        </w:rPr>
        <w:t>5.2.4.Производственная зона, занимаемая площадками производственных предприятий и вспомогательных объектов, учреждениями и предприятиями обслуживания, должна составлять не менее 60 процентов общей территории производственной зоны.</w:t>
      </w:r>
    </w:p>
    <w:p>
      <w:pPr>
        <w:pStyle w:val="ConsPlusCell3"/>
        <w:jc w:val="both"/>
        <w:rPr>
          <w:rFonts w:ascii="Arial" w:hAnsi="Arial" w:eastAsia="Arial" w:cs="Arial"/>
          <w:sz w:val="24"/>
          <w:szCs w:val="24"/>
        </w:rPr>
      </w:pPr>
      <w:r>
        <w:rPr>
          <w:rFonts w:eastAsia="Arial" w:cs="Arial" w:ascii="Arial" w:hAnsi="Arial"/>
          <w:sz w:val="24"/>
          <w:szCs w:val="24"/>
        </w:rPr>
        <w:t xml:space="preserve">    </w:t>
      </w:r>
    </w:p>
    <w:p>
      <w:pPr>
        <w:pStyle w:val="ConsPlusNormal1"/>
        <w:ind w:left="0" w:right="0" w:firstLine="567"/>
        <w:rPr>
          <w:rFonts w:cs="Arial"/>
          <w:i/>
          <w:i/>
          <w:sz w:val="24"/>
          <w:szCs w:val="24"/>
        </w:rPr>
      </w:pPr>
      <w:r>
        <w:rPr>
          <w:rFonts w:cs="Arial"/>
          <w:i/>
          <w:sz w:val="24"/>
          <w:szCs w:val="24"/>
        </w:rPr>
        <w:t>6.1.Общие требования.</w:t>
      </w:r>
    </w:p>
    <w:p>
      <w:pPr>
        <w:pStyle w:val="ConsPlusNormal1"/>
        <w:ind w:left="0" w:right="0" w:firstLine="567"/>
        <w:rPr>
          <w:rFonts w:cs="Arial"/>
          <w:iCs/>
          <w:color w:val="000000"/>
          <w:sz w:val="24"/>
          <w:szCs w:val="24"/>
        </w:rPr>
      </w:pPr>
      <w:r>
        <w:rPr>
          <w:rFonts w:cs="Arial"/>
          <w:iCs/>
          <w:color w:val="000000"/>
          <w:sz w:val="24"/>
          <w:szCs w:val="24"/>
        </w:rPr>
        <w:t>6.1.1. Зона инженерной инфраструктуры предназначена для размещения объектов, инженерной инфраструктуры, в том числе водоснабжения, канализации, санитарной очистки, тепло-, газо- и электроснабжения, связи, радиовещания и телевидения, пожарной и охранной сигнализации, диспетчеризации систем инженерного оборудования, а также для установления санитарно-защитных зон и зон санитарной охраны данных объектов, сооружений и коммуникаций.</w:t>
      </w:r>
    </w:p>
    <w:p>
      <w:pPr>
        <w:pStyle w:val="ConsPlusNormal1"/>
        <w:ind w:left="0" w:right="0" w:firstLine="567"/>
        <w:rPr>
          <w:rFonts w:cs="Arial"/>
          <w:iCs/>
          <w:color w:val="000000"/>
          <w:sz w:val="24"/>
          <w:szCs w:val="24"/>
        </w:rPr>
      </w:pPr>
      <w:r>
        <w:rPr>
          <w:rFonts w:cs="Arial"/>
          <w:iCs/>
          <w:color w:val="000000"/>
          <w:sz w:val="24"/>
          <w:szCs w:val="24"/>
        </w:rPr>
        <w:t xml:space="preserve">6.1.2. Проектирование новых, реконструкцию и расширение существующих инженерных сетей следует осуществлять на основе программ комплексного развития коммунальной инфраструктуры территорий в соответствии с Федеральным законом от 30 декабря 2004 г. N 210-ФЗ и Приказом от 6 мая 2011 г. № 204 Министерства регионального развития Российской Федерации «О разработке программ комплексного развития систем коммунальной инфраструктуры муниципальных образований». </w:t>
      </w:r>
    </w:p>
    <w:p>
      <w:pPr>
        <w:pStyle w:val="ConsPlusNormal1"/>
        <w:ind w:left="0" w:right="0" w:firstLine="567"/>
        <w:rPr>
          <w:rFonts w:cs="Arial"/>
          <w:iCs/>
          <w:color w:val="000000"/>
          <w:sz w:val="24"/>
          <w:szCs w:val="24"/>
        </w:rPr>
      </w:pPr>
      <w:r>
        <w:rPr>
          <w:rFonts w:cs="Arial"/>
          <w:iCs/>
          <w:color w:val="000000"/>
          <w:sz w:val="24"/>
          <w:szCs w:val="24"/>
        </w:rPr>
        <w:t>6.1.3. Инженерные системы следует рассчитывать исходя из соответствующих нормативов расчетной плотности населения, принятой на расчетный срок, удельного среднесуточного норматива потребления и общей площади жилой застройки, определяемой документацией.</w:t>
      </w:r>
    </w:p>
    <w:p>
      <w:pPr>
        <w:pStyle w:val="ConsPlusNormal1"/>
        <w:ind w:left="0" w:right="0" w:firstLine="567"/>
        <w:rPr>
          <w:rFonts w:cs="Arial"/>
          <w:iCs/>
          <w:color w:val="000000"/>
          <w:sz w:val="24"/>
          <w:szCs w:val="24"/>
        </w:rPr>
      </w:pPr>
      <w:r>
        <w:rPr>
          <w:rFonts w:cs="Arial"/>
          <w:iCs/>
          <w:color w:val="000000"/>
          <w:sz w:val="24"/>
          <w:szCs w:val="24"/>
        </w:rPr>
      </w:r>
    </w:p>
    <w:p>
      <w:pPr>
        <w:pStyle w:val="ConsPlusNormal1"/>
        <w:ind w:left="0" w:right="0" w:firstLine="567"/>
        <w:rPr>
          <w:rFonts w:cs="Arial"/>
          <w:i/>
          <w:i/>
          <w:iCs/>
          <w:color w:val="000000"/>
          <w:sz w:val="24"/>
          <w:szCs w:val="24"/>
        </w:rPr>
      </w:pPr>
      <w:r>
        <w:rPr>
          <w:rFonts w:cs="Arial"/>
          <w:i/>
          <w:iCs/>
          <w:color w:val="000000"/>
          <w:sz w:val="24"/>
          <w:szCs w:val="24"/>
        </w:rPr>
        <w:t>6.2. Водоснабжение и водоотведение.</w:t>
      </w:r>
    </w:p>
    <w:p>
      <w:pPr>
        <w:pStyle w:val="ConsPlusNormal1"/>
        <w:ind w:left="0" w:right="0" w:firstLine="567"/>
        <w:rPr>
          <w:rFonts w:cs="Arial"/>
          <w:iCs/>
          <w:color w:val="000000"/>
          <w:sz w:val="24"/>
          <w:szCs w:val="24"/>
        </w:rPr>
      </w:pPr>
      <w:r>
        <w:rPr>
          <w:rFonts w:cs="Arial"/>
          <w:iCs/>
          <w:color w:val="000000"/>
          <w:sz w:val="24"/>
          <w:szCs w:val="24"/>
        </w:rPr>
        <w:t>6.2.1. Проектирование систем хозяйственно-питьевого водоснабжения и канализации городов и других населенных пунктов следует производить в соответствии с требованиями СП 31.13330, СП 32.13330 с учетом санитарно-гигиенической надежности получения питьевой воды, экологических и ресурсосберегающих требований.</w:t>
      </w:r>
    </w:p>
    <w:p>
      <w:pPr>
        <w:pStyle w:val="ConsPlusNormal1"/>
        <w:ind w:left="0" w:right="0" w:firstLine="567"/>
        <w:rPr>
          <w:rFonts w:cs="Arial"/>
          <w:iCs/>
          <w:color w:val="000000"/>
          <w:sz w:val="24"/>
          <w:szCs w:val="24"/>
        </w:rPr>
      </w:pPr>
      <w:r>
        <w:rPr>
          <w:rFonts w:cs="Arial"/>
          <w:iCs/>
          <w:color w:val="000000"/>
          <w:sz w:val="24"/>
          <w:szCs w:val="24"/>
        </w:rPr>
        <w:t>Жилая и общественная застройка населенных пунктов, включая индивидуальную отдельностоящую и блокированную жилую застройку с участками, а также производственные объекты должны быть обеспечены централизованными или локальными системами водоснабжения и канализации. В жилых зонах, не обеспеченных централизованным водоснабжением и канализацией, размещение многоэтажных жилых домов не допускается.</w:t>
      </w:r>
    </w:p>
    <w:p>
      <w:pPr>
        <w:pStyle w:val="ConsPlusNormal1"/>
        <w:ind w:left="0" w:right="0" w:firstLine="567"/>
        <w:rPr>
          <w:rFonts w:cs="Arial"/>
          <w:iCs/>
          <w:color w:val="000000"/>
          <w:sz w:val="24"/>
          <w:szCs w:val="24"/>
        </w:rPr>
      </w:pPr>
      <w:r>
        <w:rPr>
          <w:rFonts w:cs="Arial"/>
          <w:iCs/>
          <w:color w:val="000000"/>
          <w:sz w:val="24"/>
          <w:szCs w:val="24"/>
        </w:rPr>
        <w:t>6.2.2. В проектах хозяйственно-питьевых и объединенных производственно-питьевых водопроводов необходимо предусматривать зоны санитарной охраны в соответствии с требованиями СанПиН 2.1.4.1110-02.</w:t>
      </w:r>
    </w:p>
    <w:p>
      <w:pPr>
        <w:pStyle w:val="ConsPlusNormal1"/>
        <w:ind w:left="0" w:right="0" w:firstLine="567"/>
        <w:rPr>
          <w:rFonts w:cs="Arial"/>
          <w:iCs/>
          <w:color w:val="000000"/>
          <w:sz w:val="24"/>
          <w:szCs w:val="24"/>
        </w:rPr>
      </w:pPr>
      <w:r>
        <w:rPr>
          <w:rFonts w:cs="Arial"/>
          <w:iCs/>
          <w:color w:val="000000"/>
          <w:sz w:val="24"/>
          <w:szCs w:val="24"/>
        </w:rPr>
        <w:t>Проект зоны санитарной охраны должен быть составной частью проекта хозяйственно-питьевого водоснабжения и разрабатываться одновременно с последним. Для действующих водопроводов, не имеющих установленных зон санитарной охраны, проект зон санитарной охраны разрабатывается специально. Решение о возможности организации зон санитарной охраны принимается на стадии подготовки проекта планировки территории, когда выбирается источник водоснабжения.</w:t>
      </w:r>
    </w:p>
    <w:p>
      <w:pPr>
        <w:pStyle w:val="ConsPlusNormal1"/>
        <w:ind w:left="0" w:right="0" w:firstLine="567"/>
        <w:rPr>
          <w:rFonts w:cs="Arial"/>
          <w:iCs/>
          <w:color w:val="000000"/>
          <w:sz w:val="24"/>
          <w:szCs w:val="24"/>
        </w:rPr>
      </w:pPr>
      <w:r>
        <w:rPr>
          <w:rFonts w:cs="Arial"/>
          <w:iCs/>
          <w:color w:val="000000"/>
          <w:sz w:val="24"/>
          <w:szCs w:val="24"/>
        </w:rPr>
        <w:t>6.2.3. Проектирование систем канализации населенных пунктов следует производить в соответствии с требованиями  СНиП 2.04.01-85*, СНиП 2.04.03-85, СП 42.13330.2011, СанПиН 2.1.5.980-00 на основе Приказа от 6 мая 2011 г. № 204 Министерства регионального развития Российской Федерации «О разработке программ комплексного развития систем коммунальной инфраструктуры муниципальных образований».</w:t>
      </w:r>
    </w:p>
    <w:p>
      <w:pPr>
        <w:pStyle w:val="ConsPlusNormal1"/>
        <w:ind w:left="0" w:right="0" w:firstLine="567"/>
        <w:rPr>
          <w:rFonts w:cs="Arial"/>
          <w:iCs/>
          <w:color w:val="000000"/>
          <w:sz w:val="24"/>
          <w:szCs w:val="24"/>
        </w:rPr>
      </w:pPr>
      <w:r>
        <w:rPr>
          <w:rFonts w:cs="Arial"/>
          <w:iCs/>
          <w:color w:val="000000"/>
          <w:sz w:val="24"/>
          <w:szCs w:val="24"/>
        </w:rPr>
        <w:t>6.2.4. Жилая и общественная застройка населенных пунктов, включая индивидуальную отдельно стоящую и блокированную жилую застройку с участками, а также производственные объекты должны быть обеспечены централизованными или локальными системами канализации. В жилых зонах, не обеспеченных централизованной канализацией, размещение многоэтажных жилых домов не допускается.</w:t>
      </w:r>
    </w:p>
    <w:p>
      <w:pPr>
        <w:pStyle w:val="ConsPlusNormal1"/>
        <w:ind w:left="0" w:right="0" w:firstLine="567"/>
        <w:rPr>
          <w:rFonts w:cs="Arial"/>
          <w:iCs/>
          <w:color w:val="000000"/>
          <w:sz w:val="24"/>
          <w:szCs w:val="24"/>
        </w:rPr>
      </w:pPr>
      <w:r>
        <w:rPr>
          <w:rFonts w:cs="Arial"/>
          <w:iCs/>
          <w:color w:val="000000"/>
          <w:sz w:val="24"/>
          <w:szCs w:val="24"/>
        </w:rPr>
        <w:t>6.2.5. Выбор системы водоотведения жилого района (общесплавная, раздельная, полураздельная) следует осуществлять на основе технико-экономического сравнения вариантов с учетом исключения сбросов неочищенных вод в водоемы при раздельной канализации.</w:t>
      </w:r>
    </w:p>
    <w:p>
      <w:pPr>
        <w:pStyle w:val="ConsPlusNormal1"/>
        <w:ind w:left="0" w:right="0" w:firstLine="567"/>
        <w:rPr>
          <w:rFonts w:cs="Arial"/>
          <w:iCs/>
          <w:color w:val="000000"/>
          <w:sz w:val="24"/>
          <w:szCs w:val="24"/>
        </w:rPr>
      </w:pPr>
      <w:r>
        <w:rPr>
          <w:rFonts w:cs="Arial"/>
          <w:iCs/>
          <w:color w:val="000000"/>
          <w:sz w:val="24"/>
          <w:szCs w:val="24"/>
        </w:rPr>
        <w:t>6.2.6. Проекты канализации населенных пунктов должны разрабатываться одновременно с проектами водоснабжения с обязательным анализом баланса водопотребления и отведения сточных вод. При этом необходимо рассматривать возможность использования очищенных сточных, дождевых вод для производственного водоснабжения и полива.</w:t>
      </w:r>
    </w:p>
    <w:p>
      <w:pPr>
        <w:pStyle w:val="ConsPlusNormal1"/>
        <w:ind w:left="0" w:right="0" w:firstLine="567"/>
        <w:rPr>
          <w:rFonts w:cs="Arial"/>
          <w:iCs/>
          <w:color w:val="000000"/>
          <w:sz w:val="24"/>
          <w:szCs w:val="24"/>
        </w:rPr>
      </w:pPr>
      <w:r>
        <w:rPr>
          <w:rFonts w:cs="Arial"/>
          <w:iCs/>
          <w:color w:val="000000"/>
          <w:sz w:val="24"/>
          <w:szCs w:val="24"/>
        </w:rPr>
        <w:t>Расчетное суточное (за год) водоотведение сточных вод следует определять как сумму среднесуточных расходов по всем видам сточных вод, в зависимости от системы водоотведения.</w:t>
      </w:r>
    </w:p>
    <w:p>
      <w:pPr>
        <w:pStyle w:val="ConsPlusNormal1"/>
        <w:ind w:left="0" w:right="0" w:firstLine="567"/>
        <w:rPr>
          <w:rFonts w:cs="Arial"/>
          <w:iCs/>
          <w:color w:val="000000"/>
          <w:sz w:val="24"/>
          <w:szCs w:val="24"/>
        </w:rPr>
      </w:pPr>
      <w:r>
        <w:rPr>
          <w:rFonts w:cs="Arial"/>
          <w:iCs/>
          <w:color w:val="000000"/>
          <w:sz w:val="24"/>
          <w:szCs w:val="24"/>
        </w:rPr>
      </w:r>
    </w:p>
    <w:p>
      <w:pPr>
        <w:pStyle w:val="Style117"/>
        <w:rPr>
          <w:rFonts w:ascii="Arial" w:hAnsi="Arial" w:cs="Arial"/>
        </w:rPr>
      </w:pPr>
      <w:bookmarkStart w:id="17" w:name="__RefHeading___Toc494193913"/>
      <w:bookmarkEnd w:id="17"/>
      <w:r>
        <w:rPr>
          <w:rFonts w:cs="Arial" w:ascii="Arial" w:hAnsi="Arial"/>
        </w:rPr>
        <w:t>6. Расчетные показатели зоны инженерной инфраструктуры</w:t>
      </w:r>
    </w:p>
    <w:p>
      <w:pPr>
        <w:pStyle w:val="ConsPlusNormal1"/>
        <w:ind w:left="0" w:right="0" w:firstLine="567"/>
        <w:rPr>
          <w:rFonts w:cs="Arial"/>
          <w:i/>
          <w:i/>
          <w:iCs/>
          <w:color w:val="000000"/>
          <w:sz w:val="24"/>
          <w:szCs w:val="24"/>
        </w:rPr>
      </w:pPr>
      <w:r>
        <w:rPr>
          <w:rFonts w:cs="Arial"/>
          <w:i/>
          <w:iCs/>
          <w:color w:val="000000"/>
          <w:sz w:val="24"/>
          <w:szCs w:val="24"/>
        </w:rPr>
        <w:t>6.3. Электроснабжение.</w:t>
      </w:r>
    </w:p>
    <w:p>
      <w:pPr>
        <w:pStyle w:val="ConsPlusNormal1"/>
        <w:ind w:left="0" w:right="0" w:firstLine="567"/>
        <w:rPr>
          <w:rFonts w:cs="Arial"/>
          <w:iCs/>
          <w:color w:val="000000"/>
          <w:sz w:val="24"/>
          <w:szCs w:val="24"/>
        </w:rPr>
      </w:pPr>
      <w:r>
        <w:rPr>
          <w:rFonts w:cs="Arial"/>
          <w:iCs/>
          <w:color w:val="000000"/>
          <w:sz w:val="24"/>
          <w:szCs w:val="24"/>
        </w:rPr>
        <w:t>6.3.1. При проектировании электроснабжения населенных пунктов определение электрической нагрузки на электроисточники следует производить в соответствии с требованиями РД 34.20.185-94 и СП 31-110-2003.</w:t>
      </w:r>
    </w:p>
    <w:p>
      <w:pPr>
        <w:pStyle w:val="NoSpacing"/>
        <w:ind w:left="0" w:right="0" w:firstLine="708"/>
        <w:jc w:val="both"/>
        <w:rPr>
          <w:rFonts w:ascii="Arial" w:hAnsi="Arial" w:cs="Arial"/>
          <w:i/>
          <w:i/>
          <w:sz w:val="24"/>
          <w:szCs w:val="24"/>
        </w:rPr>
      </w:pPr>
      <w:r>
        <w:rPr>
          <w:rFonts w:cs="Arial" w:ascii="Arial" w:hAnsi="Arial"/>
          <w:i/>
          <w:sz w:val="24"/>
          <w:szCs w:val="24"/>
        </w:rPr>
        <w:t>6.4. Газоснабжение.</w:t>
      </w:r>
    </w:p>
    <w:p>
      <w:pPr>
        <w:pStyle w:val="NoSpacing"/>
        <w:ind w:left="0" w:right="0" w:firstLine="708"/>
        <w:jc w:val="both"/>
        <w:rPr>
          <w:rFonts w:ascii="Arial" w:hAnsi="Arial" w:cs="Arial"/>
          <w:sz w:val="24"/>
          <w:szCs w:val="24"/>
        </w:rPr>
      </w:pPr>
      <w:r>
        <w:rPr>
          <w:rFonts w:cs="Arial" w:ascii="Arial" w:hAnsi="Arial"/>
          <w:sz w:val="24"/>
          <w:szCs w:val="24"/>
        </w:rPr>
        <w:t>6.4.1. Проектирование, строительство, капитальный ремонт, расширение и техническое перевооружение сетей газораспределения и газопотребления должны осуществляться в соответствии со схемами газоснабжения, разработанными в составе федеральной, межрегиональных и региональных программ газификации в целях обеспечения предусматриваемого этими программами уровня газификации жилищно-коммунального хозяйства, промышленных и иных организаций.</w:t>
      </w:r>
    </w:p>
    <w:p>
      <w:pPr>
        <w:pStyle w:val="NoSpacing"/>
        <w:ind w:left="0" w:right="0" w:firstLine="708"/>
        <w:jc w:val="both"/>
        <w:rPr>
          <w:rFonts w:ascii="Arial" w:hAnsi="Arial" w:cs="Arial"/>
          <w:sz w:val="24"/>
          <w:szCs w:val="24"/>
        </w:rPr>
      </w:pPr>
      <w:r>
        <w:rPr>
          <w:rFonts w:cs="Arial" w:ascii="Arial" w:hAnsi="Arial"/>
          <w:sz w:val="24"/>
          <w:szCs w:val="24"/>
        </w:rPr>
        <w:t>6.4.2. Газораспределительные станции магистральных газопроводов следует размещать за пределами поселений в соответствии с требованиями СП 36.13330. Размещение магистральных газопроводов на территории населенных пунктов не допускается.</w:t>
      </w:r>
    </w:p>
    <w:p>
      <w:pPr>
        <w:pStyle w:val="NoSpacing"/>
        <w:ind w:left="0" w:right="0" w:firstLine="708"/>
        <w:jc w:val="both"/>
        <w:rPr>
          <w:rFonts w:ascii="Arial" w:hAnsi="Arial" w:cs="Arial"/>
          <w:sz w:val="24"/>
          <w:szCs w:val="24"/>
        </w:rPr>
      </w:pPr>
      <w:r>
        <w:rPr>
          <w:rFonts w:cs="Arial" w:ascii="Arial" w:hAnsi="Arial"/>
          <w:sz w:val="24"/>
          <w:szCs w:val="24"/>
        </w:rPr>
        <w:t xml:space="preserve">6.4.3. Для регулирования давления газа в газораспределительной сети предусматривают следующие пункты редуцирования газа: </w:t>
      </w:r>
    </w:p>
    <w:p>
      <w:pPr>
        <w:pStyle w:val="NoSpacing"/>
        <w:ind w:left="0" w:right="0" w:firstLine="708"/>
        <w:jc w:val="both"/>
        <w:rPr>
          <w:rFonts w:ascii="Arial" w:hAnsi="Arial" w:cs="Arial"/>
          <w:sz w:val="24"/>
          <w:szCs w:val="24"/>
        </w:rPr>
      </w:pPr>
      <w:r>
        <w:rPr>
          <w:rFonts w:cs="Arial" w:ascii="Arial" w:hAnsi="Arial"/>
          <w:sz w:val="24"/>
          <w:szCs w:val="24"/>
        </w:rPr>
        <w:t>-</w:t>
        <w:tab/>
        <w:t>газорегуляторные пункты (ГРП);</w:t>
      </w:r>
    </w:p>
    <w:p>
      <w:pPr>
        <w:pStyle w:val="NoSpacing"/>
        <w:ind w:left="0" w:right="0" w:firstLine="708"/>
        <w:jc w:val="both"/>
        <w:rPr>
          <w:rFonts w:ascii="Arial" w:hAnsi="Arial" w:cs="Arial"/>
          <w:sz w:val="24"/>
          <w:szCs w:val="24"/>
        </w:rPr>
      </w:pPr>
      <w:r>
        <w:rPr>
          <w:rFonts w:cs="Arial" w:ascii="Arial" w:hAnsi="Arial"/>
          <w:sz w:val="24"/>
          <w:szCs w:val="24"/>
        </w:rPr>
        <w:t>-</w:t>
        <w:tab/>
        <w:t>газорегуляторные пункты блочные (ГРПБ) заводского изготовления в зданиях контейнерного типа;</w:t>
      </w:r>
    </w:p>
    <w:p>
      <w:pPr>
        <w:pStyle w:val="NoSpacing"/>
        <w:ind w:left="0" w:right="0" w:firstLine="708"/>
        <w:jc w:val="both"/>
        <w:rPr>
          <w:rFonts w:ascii="Arial" w:hAnsi="Arial" w:cs="Arial"/>
          <w:sz w:val="24"/>
          <w:szCs w:val="24"/>
        </w:rPr>
      </w:pPr>
      <w:r>
        <w:rPr>
          <w:rFonts w:cs="Arial" w:ascii="Arial" w:hAnsi="Arial"/>
          <w:sz w:val="24"/>
          <w:szCs w:val="24"/>
        </w:rPr>
        <w:t>-</w:t>
        <w:tab/>
        <w:t>газорегуляторные пункты шкафные (ГРПШ);</w:t>
      </w:r>
    </w:p>
    <w:p>
      <w:pPr>
        <w:pStyle w:val="NoSpacing"/>
        <w:ind w:left="0" w:right="0" w:firstLine="708"/>
        <w:jc w:val="both"/>
        <w:rPr>
          <w:rFonts w:ascii="Arial" w:hAnsi="Arial" w:cs="Arial"/>
          <w:sz w:val="24"/>
          <w:szCs w:val="24"/>
        </w:rPr>
      </w:pPr>
      <w:r>
        <w:rPr>
          <w:rFonts w:cs="Arial" w:ascii="Arial" w:hAnsi="Arial"/>
          <w:sz w:val="24"/>
          <w:szCs w:val="24"/>
        </w:rPr>
        <w:t>-</w:t>
        <w:tab/>
        <w:t>газорегуляторные установки (ГРУ).</w:t>
      </w:r>
    </w:p>
    <w:p>
      <w:pPr>
        <w:pStyle w:val="NoSpacing"/>
        <w:ind w:left="0" w:right="0" w:firstLine="708"/>
        <w:jc w:val="both"/>
        <w:rPr/>
      </w:pPr>
      <w:r>
        <w:rPr>
          <w:rFonts w:eastAsia="Arial" w:cs="Arial" w:ascii="Arial" w:hAnsi="Arial"/>
          <w:sz w:val="24"/>
          <w:szCs w:val="24"/>
        </w:rPr>
        <w:t xml:space="preserve"> </w:t>
      </w:r>
      <w:r>
        <w:rPr>
          <w:rFonts w:cs="Arial" w:ascii="Arial" w:hAnsi="Arial"/>
          <w:sz w:val="24"/>
          <w:szCs w:val="24"/>
        </w:rPr>
        <w:t>ГРП размещают:</w:t>
      </w:r>
    </w:p>
    <w:p>
      <w:pPr>
        <w:pStyle w:val="NoSpacing"/>
        <w:ind w:left="0" w:right="0" w:firstLine="708"/>
        <w:jc w:val="both"/>
        <w:rPr>
          <w:rFonts w:ascii="Arial" w:hAnsi="Arial" w:cs="Arial"/>
          <w:sz w:val="24"/>
          <w:szCs w:val="24"/>
        </w:rPr>
      </w:pPr>
      <w:r>
        <w:rPr>
          <w:rFonts w:cs="Arial" w:ascii="Arial" w:hAnsi="Arial"/>
          <w:sz w:val="24"/>
          <w:szCs w:val="24"/>
        </w:rPr>
        <w:t>-</w:t>
        <w:tab/>
        <w:t>отдельно стоящими;</w:t>
      </w:r>
    </w:p>
    <w:p>
      <w:pPr>
        <w:pStyle w:val="NoSpacing"/>
        <w:ind w:left="0" w:right="0" w:firstLine="708"/>
        <w:jc w:val="both"/>
        <w:rPr>
          <w:rFonts w:ascii="Arial" w:hAnsi="Arial" w:cs="Arial"/>
          <w:sz w:val="24"/>
          <w:szCs w:val="24"/>
        </w:rPr>
      </w:pPr>
      <w:r>
        <w:rPr>
          <w:rFonts w:cs="Arial" w:ascii="Arial" w:hAnsi="Arial"/>
          <w:sz w:val="24"/>
          <w:szCs w:val="24"/>
        </w:rPr>
        <w:t>-</w:t>
        <w:tab/>
        <w:t>пристроенными к газифицируемым производственным зданиям, котельным и общественным зданиям с помещениями производственного характера;</w:t>
      </w:r>
    </w:p>
    <w:p>
      <w:pPr>
        <w:pStyle w:val="NoSpacing"/>
        <w:ind w:left="0" w:right="0" w:firstLine="708"/>
        <w:jc w:val="both"/>
        <w:rPr>
          <w:rFonts w:ascii="Arial" w:hAnsi="Arial" w:cs="Arial"/>
          <w:sz w:val="24"/>
          <w:szCs w:val="24"/>
        </w:rPr>
      </w:pPr>
      <w:r>
        <w:rPr>
          <w:rFonts w:cs="Arial" w:ascii="Arial" w:hAnsi="Arial"/>
          <w:sz w:val="24"/>
          <w:szCs w:val="24"/>
        </w:rPr>
        <w:t>-</w:t>
        <w:tab/>
        <w:t>встроенными в одноэтажные газифицируемые производственные здания и котельные (кроме помещений, расположенных в подвальных и цокольных этажах).</w:t>
      </w:r>
    </w:p>
    <w:p>
      <w:pPr>
        <w:pStyle w:val="Normal"/>
        <w:spacing w:lineRule="auto" w:line="240" w:before="0" w:after="0"/>
        <w:ind w:left="0" w:right="0" w:firstLine="709"/>
        <w:jc w:val="right"/>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i/>
          <w:i/>
          <w:sz w:val="24"/>
          <w:szCs w:val="24"/>
        </w:rPr>
      </w:pPr>
      <w:r>
        <w:rPr>
          <w:rFonts w:cs="Arial" w:ascii="Arial" w:hAnsi="Arial"/>
          <w:i/>
          <w:sz w:val="24"/>
          <w:szCs w:val="24"/>
        </w:rPr>
        <w:t>6.5. Теплоснабжение</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6.5.1. Решения по проектированию и перспективному развитию сетей теплоснабжения следует осуществлять на основании следующих документов: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 СП 42.13330.2011 «Градостроительство. Планировка и застройка городских и сельских поселений. Актуализированная редакция СНиП 2.07.01-89*»;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 СНиП 11-04-2003 «Инструкция о порядке разработки, согласования, экспертизы и утверждения градостроительной документации»;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 СП 131.13330.2012 «Строительная климатология» (актуализированная версия)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 СанПиН 2.2.1/2.1.1.1200-03 «Санитарно-защитные зоны и санитарная классификация предприятий, сооружений и иных объектов» (новая редакция);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 СП 36.13330.2012 «Магистральные трубопроводы»;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 СН 452-73 «Нормы отвода земель для магистральных трубопроводов»;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 СП 60.13330.2012 «Отопление, вентиляция и кондиционирование»;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 СП 124.13330.2012 «Тепловые сети»;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 СП 89.13330.2012 «Котельные установки»;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 СП 41-101-95 «Проектирование тепловых пунктов»;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-МДК 4-05.2004  «Методика определения потребности в топливе, электроэнергии и воде при производстве и передаче тепловой энергии и теплоносителей в системе коммунального теплоснабжения».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i/>
          <w:i/>
          <w:sz w:val="24"/>
          <w:szCs w:val="24"/>
        </w:rPr>
      </w:pPr>
      <w:r>
        <w:rPr>
          <w:rFonts w:cs="Arial" w:ascii="Arial" w:hAnsi="Arial"/>
          <w:i/>
          <w:sz w:val="24"/>
          <w:szCs w:val="24"/>
        </w:rPr>
        <w:t>6.6 Дождевая канализация.</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6.6.1. Отвод поверхностных вод должен осуществляться в соответствии с требованиями СанПиН 2.1.5.980-00.</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Выпуски в водные объекты следует размещать в местах с повышенной турбулентностью потока (сужениях, протоках, порогах и прочих).</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В водоемы, предназначенные для купания, возможен сброс поверхностных сточных вод при условии их глубокой очистки.</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6.6.2. Санитарно-защитную зону (СЗЗ) от очистных сооружений поверхностного стока до жилой застройки следует принимать 100 метров или по согласованию с органами санитарно-эпидемиологического надзора и природоохранными органами в зависимости от условий застройки и конструктивного использования сооружений, но не менее 50 метров (для закрытого типа - 50 метров).</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6.6.3. Качество очистки поверхностных сточных вод, сбрасываемых в водные объекты, должно отвечать требованиям Водного кодекса Российской Федерации, СанПиН 2.1.5.980-00 в соответствии с категорией водопользования водоема.</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8"/>
        <w:jc w:val="both"/>
        <w:rPr>
          <w:rFonts w:ascii="Arial" w:hAnsi="Arial" w:cs="Arial"/>
          <w:i/>
          <w:i/>
          <w:sz w:val="24"/>
          <w:szCs w:val="24"/>
        </w:rPr>
      </w:pPr>
      <w:r>
        <w:rPr>
          <w:rFonts w:cs="Arial" w:ascii="Arial" w:hAnsi="Arial"/>
          <w:i/>
          <w:sz w:val="24"/>
          <w:szCs w:val="24"/>
        </w:rPr>
        <w:t>6.7 Водоочистные сооружения.</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6.7.1 Выбор системы водоснабжения территории жилой застройки надлежит производить на основе технико-экономического сравнения вариантов с определением оптимального решения. Органы местного самоуправления вправе установить расчетные объемы водопотребления.</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6.7.2 Источники водоснабжения, водопроводные сооружения (водозаборные, водоподготовки и водопроводные станции), а также водоводы должны иметь зоны санитарной охраны.</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sectPr>
          <w:type w:val="continuous"/>
          <w:pgSz w:w="11906" w:h="16838"/>
          <w:pgMar w:left="1134" w:right="567" w:header="0" w:top="851" w:footer="709" w:bottom="851" w:gutter="0"/>
          <w:formProt w:val="false"/>
          <w:textDirection w:val="lrTb"/>
          <w:docGrid w:type="default" w:linePitch="600" w:charSpace="36864"/>
        </w:sectPr>
      </w:pPr>
    </w:p>
    <w:p>
      <w:pPr>
        <w:pStyle w:val="555551"/>
        <w:rPr>
          <w:rFonts w:ascii="Arial" w:hAnsi="Arial" w:cs="Arial"/>
        </w:rPr>
      </w:pPr>
      <w:bookmarkStart w:id="18" w:name="__RefHeading___Toc494193914"/>
      <w:bookmarkEnd w:id="18"/>
      <w:r>
        <w:rPr>
          <w:rFonts w:cs="Arial" w:ascii="Arial" w:hAnsi="Arial"/>
        </w:rPr>
        <w:t>6.9</w:t>
        <w:tab/>
        <w:t>Предельные значения расчетных показателей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объектов инженерной инфраструктуры местного значения</w:t>
      </w:r>
    </w:p>
    <w:p>
      <w:pPr>
        <w:pStyle w:val="ConsPlusNormal3"/>
        <w:ind w:left="0" w:right="0" w:firstLine="540"/>
        <w:jc w:val="both"/>
        <w:rPr>
          <w:rFonts w:cs="Arial"/>
          <w:b/>
          <w:b/>
          <w:i/>
          <w:i/>
          <w:sz w:val="24"/>
          <w:szCs w:val="24"/>
        </w:rPr>
      </w:pPr>
      <w:r>
        <w:rPr>
          <w:rFonts w:cs="Arial"/>
          <w:b/>
          <w:i/>
          <w:sz w:val="24"/>
          <w:szCs w:val="24"/>
        </w:rPr>
      </w:r>
    </w:p>
    <w:tbl>
      <w:tblPr>
        <w:tblW w:w="15743" w:type="dxa"/>
        <w:jc w:val="left"/>
        <w:tblInd w:w="-51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503"/>
        <w:gridCol w:w="2615"/>
        <w:gridCol w:w="2310"/>
        <w:gridCol w:w="2420"/>
        <w:gridCol w:w="2357"/>
        <w:gridCol w:w="1418"/>
        <w:gridCol w:w="551"/>
        <w:gridCol w:w="329"/>
        <w:gridCol w:w="220"/>
        <w:gridCol w:w="330"/>
        <w:gridCol w:w="110"/>
        <w:gridCol w:w="109"/>
        <w:gridCol w:w="2"/>
        <w:gridCol w:w="439"/>
        <w:gridCol w:w="110"/>
        <w:gridCol w:w="218"/>
        <w:gridCol w:w="2"/>
        <w:gridCol w:w="110"/>
        <w:gridCol w:w="329"/>
        <w:gridCol w:w="220"/>
        <w:gridCol w:w="109"/>
        <w:gridCol w:w="932"/>
      </w:tblGrid>
      <w:tr>
        <w:trPr/>
        <w:tc>
          <w:tcPr>
            <w:tcW w:w="503"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Style115"/>
              <w:jc w:val="center"/>
              <w:rPr>
                <w:rFonts w:ascii="Arial" w:hAnsi="Arial" w:cs="Arial"/>
                <w:b/>
                <w:b/>
              </w:rPr>
            </w:pPr>
            <w:r>
              <w:rPr>
                <w:rFonts w:cs="Arial" w:ascii="Arial" w:hAnsi="Arial"/>
                <w:b/>
              </w:rPr>
              <w:t>N п/п</w:t>
            </w:r>
          </w:p>
        </w:tc>
        <w:tc>
          <w:tcPr>
            <w:tcW w:w="2615"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Style115"/>
              <w:jc w:val="center"/>
              <w:rPr>
                <w:rFonts w:ascii="Arial" w:hAnsi="Arial" w:cs="Arial"/>
                <w:b/>
                <w:b/>
              </w:rPr>
            </w:pPr>
            <w:r>
              <w:rPr>
                <w:rFonts w:cs="Arial" w:ascii="Arial" w:hAnsi="Arial"/>
                <w:b/>
              </w:rPr>
              <w:t>Наименование вида объекта</w:t>
            </w:r>
          </w:p>
        </w:tc>
        <w:tc>
          <w:tcPr>
            <w:tcW w:w="2310"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Style115"/>
              <w:jc w:val="center"/>
              <w:rPr>
                <w:rFonts w:ascii="Arial" w:hAnsi="Arial" w:cs="Arial"/>
                <w:b/>
                <w:b/>
              </w:rPr>
            </w:pPr>
            <w:r>
              <w:rPr>
                <w:rFonts w:cs="Arial" w:ascii="Arial" w:hAnsi="Arial"/>
                <w:b/>
              </w:rPr>
              <w:t>Тип расчетного показателя</w:t>
            </w:r>
          </w:p>
        </w:tc>
        <w:tc>
          <w:tcPr>
            <w:tcW w:w="2420"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Style115"/>
              <w:jc w:val="center"/>
              <w:rPr>
                <w:rFonts w:ascii="Arial" w:hAnsi="Arial" w:cs="Arial"/>
                <w:b/>
                <w:b/>
              </w:rPr>
            </w:pPr>
            <w:r>
              <w:rPr>
                <w:rFonts w:cs="Arial" w:ascii="Arial" w:hAnsi="Arial"/>
                <w:b/>
              </w:rPr>
              <w:t>Вид расчетного показателя</w:t>
            </w:r>
          </w:p>
        </w:tc>
        <w:tc>
          <w:tcPr>
            <w:tcW w:w="2357"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Style115"/>
              <w:jc w:val="center"/>
              <w:rPr>
                <w:rFonts w:ascii="Arial" w:hAnsi="Arial" w:cs="Arial"/>
                <w:b/>
                <w:b/>
              </w:rPr>
            </w:pPr>
            <w:r>
              <w:rPr>
                <w:rFonts w:cs="Arial" w:ascii="Arial" w:hAnsi="Arial"/>
                <w:b/>
              </w:rPr>
              <w:t>Наименование расчетного показателя, единица измерения</w:t>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Style115"/>
              <w:jc w:val="center"/>
              <w:rPr>
                <w:rFonts w:ascii="Arial" w:hAnsi="Arial" w:cs="Arial"/>
                <w:b/>
                <w:b/>
              </w:rPr>
            </w:pPr>
            <w:r>
              <w:rPr>
                <w:rFonts w:cs="Arial" w:ascii="Arial" w:hAnsi="Arial"/>
                <w:b/>
              </w:rPr>
              <w:t>Предельное значение расчетного показателя</w:t>
            </w:r>
          </w:p>
        </w:tc>
      </w:tr>
      <w:tr>
        <w:trPr/>
        <w:tc>
          <w:tcPr>
            <w:tcW w:w="503"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w:t>
            </w:r>
          </w:p>
        </w:tc>
        <w:tc>
          <w:tcPr>
            <w:tcW w:w="2615"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Электростанции,</w:t>
            </w:r>
          </w:p>
          <w:p>
            <w:pPr>
              <w:pStyle w:val="ConsPlusNormal3"/>
              <w:rPr>
                <w:rFonts w:cs="Arial"/>
                <w:sz w:val="24"/>
                <w:szCs w:val="24"/>
              </w:rPr>
            </w:pPr>
            <w:r>
              <w:rPr>
                <w:rFonts w:cs="Arial"/>
                <w:sz w:val="24"/>
                <w:szCs w:val="24"/>
              </w:rPr>
              <w:t>подстанция 35 кВ,</w:t>
            </w:r>
          </w:p>
          <w:p>
            <w:pPr>
              <w:pStyle w:val="ConsPlusNormal3"/>
              <w:rPr>
                <w:rFonts w:cs="Arial"/>
                <w:sz w:val="24"/>
                <w:szCs w:val="24"/>
              </w:rPr>
            </w:pPr>
            <w:r>
              <w:rPr>
                <w:rFonts w:cs="Arial"/>
                <w:sz w:val="24"/>
                <w:szCs w:val="24"/>
              </w:rPr>
              <w:t>переключательные пункты,</w:t>
            </w:r>
          </w:p>
          <w:p>
            <w:pPr>
              <w:pStyle w:val="ConsPlusNormal3"/>
              <w:rPr>
                <w:rFonts w:cs="Arial"/>
                <w:sz w:val="24"/>
                <w:szCs w:val="24"/>
              </w:rPr>
            </w:pPr>
            <w:r>
              <w:rPr>
                <w:rFonts w:cs="Arial"/>
                <w:sz w:val="24"/>
                <w:szCs w:val="24"/>
              </w:rPr>
              <w:t>трансформаторные подстанции, линии электропередачи 35 кВ</w:t>
            </w:r>
          </w:p>
        </w:tc>
        <w:tc>
          <w:tcPr>
            <w:tcW w:w="231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Расчетные показатели минимально допустимого уровня обеспеченности</w:t>
            </w:r>
          </w:p>
        </w:tc>
        <w:tc>
          <w:tcPr>
            <w:tcW w:w="242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минимально допустимого уровня мощности объекта</w:t>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Норматив потребления коммунальных услуг по электроснабжению, кВт ч/чел./мес. при количестве проживающих человек в квартире (жилом доме)</w:t>
            </w:r>
          </w:p>
        </w:tc>
        <w:tc>
          <w:tcPr>
            <w:tcW w:w="141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Количество комнат</w:t>
            </w:r>
          </w:p>
        </w:tc>
        <w:tc>
          <w:tcPr>
            <w:tcW w:w="880"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 чел.</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 чел.</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3 чел</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4 чел.</w:t>
            </w:r>
          </w:p>
        </w:tc>
        <w:tc>
          <w:tcPr>
            <w:tcW w:w="9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5 чел.</w:t>
            </w:r>
          </w:p>
          <w:p>
            <w:pPr>
              <w:pStyle w:val="ConsPlusNormal3"/>
              <w:rPr>
                <w:rFonts w:cs="Arial"/>
                <w:sz w:val="24"/>
                <w:szCs w:val="24"/>
              </w:rPr>
            </w:pPr>
            <w:r>
              <w:rPr>
                <w:rFonts w:cs="Arial"/>
                <w:sz w:val="24"/>
                <w:szCs w:val="24"/>
              </w:rPr>
              <w:t>и более</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При наличии электрической плиты</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41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 комн.</w:t>
            </w:r>
          </w:p>
        </w:tc>
        <w:tc>
          <w:tcPr>
            <w:tcW w:w="880"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153</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95</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73</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60</w:t>
            </w:r>
          </w:p>
        </w:tc>
        <w:tc>
          <w:tcPr>
            <w:tcW w:w="9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52</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41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 комн.</w:t>
            </w:r>
          </w:p>
        </w:tc>
        <w:tc>
          <w:tcPr>
            <w:tcW w:w="880"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180</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112</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87</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70</w:t>
            </w:r>
          </w:p>
        </w:tc>
        <w:tc>
          <w:tcPr>
            <w:tcW w:w="9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61</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41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3 комн.</w:t>
            </w:r>
          </w:p>
        </w:tc>
        <w:tc>
          <w:tcPr>
            <w:tcW w:w="880"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197</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122</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95</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77</w:t>
            </w:r>
          </w:p>
        </w:tc>
        <w:tc>
          <w:tcPr>
            <w:tcW w:w="9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67</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41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4 комн. и более</w:t>
            </w:r>
          </w:p>
        </w:tc>
        <w:tc>
          <w:tcPr>
            <w:tcW w:w="880"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209</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130</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101</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82</w:t>
            </w:r>
          </w:p>
        </w:tc>
        <w:tc>
          <w:tcPr>
            <w:tcW w:w="9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71</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При наличии газовой плиты</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41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 комн.</w:t>
            </w:r>
          </w:p>
        </w:tc>
        <w:tc>
          <w:tcPr>
            <w:tcW w:w="880"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103</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64</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49</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40</w:t>
            </w:r>
          </w:p>
        </w:tc>
        <w:tc>
          <w:tcPr>
            <w:tcW w:w="9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35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41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 комн.</w:t>
            </w:r>
          </w:p>
        </w:tc>
        <w:tc>
          <w:tcPr>
            <w:tcW w:w="880"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133</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82</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64</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52</w:t>
            </w:r>
          </w:p>
        </w:tc>
        <w:tc>
          <w:tcPr>
            <w:tcW w:w="9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45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41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3 комн.</w:t>
            </w:r>
          </w:p>
        </w:tc>
        <w:tc>
          <w:tcPr>
            <w:tcW w:w="880"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150</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93</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72</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59</w:t>
            </w:r>
          </w:p>
        </w:tc>
        <w:tc>
          <w:tcPr>
            <w:tcW w:w="9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51</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41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4 комн. и более</w:t>
            </w:r>
          </w:p>
        </w:tc>
        <w:tc>
          <w:tcPr>
            <w:tcW w:w="880"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162</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101</w:t>
            </w:r>
          </w:p>
        </w:tc>
        <w:tc>
          <w:tcPr>
            <w:tcW w:w="769"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78</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63</w:t>
            </w:r>
          </w:p>
        </w:tc>
        <w:tc>
          <w:tcPr>
            <w:tcW w:w="93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55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35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Размер земельного участка, отводимого для понизительных подстанций 35 кВ и переключательных пунктов, кв. м</w:t>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5000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Размер земельного участка, отводимого для трансформаторных подстанций, распределительных и секционирующих пунктов, кв. м</w:t>
            </w:r>
          </w:p>
        </w:tc>
        <w:tc>
          <w:tcPr>
            <w:tcW w:w="3948"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Вид объекта</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Размер земельного участка, кв. м</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3948"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Мачтовые подстанции мощностью от 25 до 250 кВА</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более 50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3948"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Комплектные подстанции с одним трансформатором мощностью от 25 до 630 кВА</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более 50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3948"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Комплектные подстанции с двумя трансформаторами мощностью от 160 до 630 кВА</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более 80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3948"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Подстанции с двумя трансформаторами закрытого типа мощностью от 160 до 630 кВА</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более 150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3948"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Распределительные пункты наружной установки</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более 250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3948"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Распределительные пункты закрытого типа</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более 200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3948" w:type="dxa"/>
            <w:gridSpan w:val="1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Секционирующие пункты</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более 80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7087"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нормируется</w:t>
            </w:r>
          </w:p>
        </w:tc>
      </w:tr>
      <w:tr>
        <w:trPr/>
        <w:tc>
          <w:tcPr>
            <w:tcW w:w="503"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w:t>
            </w:r>
          </w:p>
        </w:tc>
        <w:tc>
          <w:tcPr>
            <w:tcW w:w="2615"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Пункты редуцирования газа,</w:t>
            </w:r>
          </w:p>
          <w:p>
            <w:pPr>
              <w:pStyle w:val="ConsPlusNormal3"/>
              <w:rPr>
                <w:rFonts w:cs="Arial"/>
                <w:sz w:val="24"/>
                <w:szCs w:val="24"/>
              </w:rPr>
            </w:pPr>
            <w:r>
              <w:rPr>
                <w:rFonts w:cs="Arial"/>
                <w:sz w:val="24"/>
                <w:szCs w:val="24"/>
              </w:rPr>
              <w:t>резервуарные установки сжиженных углеводородных газов,</w:t>
            </w:r>
          </w:p>
          <w:p>
            <w:pPr>
              <w:pStyle w:val="ConsPlusNormal3"/>
              <w:rPr>
                <w:rFonts w:cs="Arial"/>
                <w:sz w:val="24"/>
                <w:szCs w:val="24"/>
              </w:rPr>
            </w:pPr>
            <w:r>
              <w:rPr>
                <w:rFonts w:cs="Arial"/>
                <w:sz w:val="24"/>
                <w:szCs w:val="24"/>
              </w:rPr>
              <w:t>газонаполнительные станции,</w:t>
            </w:r>
          </w:p>
          <w:p>
            <w:pPr>
              <w:pStyle w:val="ConsPlusNormal3"/>
              <w:rPr>
                <w:rFonts w:cs="Arial"/>
                <w:sz w:val="24"/>
                <w:szCs w:val="24"/>
              </w:rPr>
            </w:pPr>
            <w:r>
              <w:rPr>
                <w:rFonts w:cs="Arial"/>
                <w:sz w:val="24"/>
                <w:szCs w:val="24"/>
              </w:rPr>
              <w:t>газопровод распределительный,</w:t>
            </w:r>
          </w:p>
          <w:p>
            <w:pPr>
              <w:pStyle w:val="ConsPlusNormal3"/>
              <w:rPr>
                <w:rFonts w:cs="Arial"/>
                <w:sz w:val="24"/>
                <w:szCs w:val="24"/>
              </w:rPr>
            </w:pPr>
            <w:r>
              <w:rPr>
                <w:rFonts w:cs="Arial"/>
                <w:sz w:val="24"/>
                <w:szCs w:val="24"/>
              </w:rPr>
              <w:t>газопроводы попутного нефтяного газа</w:t>
            </w:r>
          </w:p>
        </w:tc>
        <w:tc>
          <w:tcPr>
            <w:tcW w:w="231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Расчетные показатели минимально допустимого уровня обеспеченности</w:t>
            </w:r>
          </w:p>
        </w:tc>
        <w:tc>
          <w:tcPr>
            <w:tcW w:w="242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минимально допустимого уровня мощности объекта</w:t>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Удельные расходы природного и сжиженного газа для различных коммунальных нужд, куб. м в месяц на 1 человека для природного газа, кг в месяц на 1 человека для сжиженного газа</w:t>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Направление использования природного газа</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Единицы измерения</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Норматив потребления, куб. м</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На приготовление пищи и подогрев воды</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Газовая плита (при наличии центрального отопления и центрального горячего водоснабжения)</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 1 человека в месяц</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11</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Газовая плита (при отсутствии газового водонагревателя (колонки) и центрального горячего водоснабжения)</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 1 человека в месяц</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Газовая плита и газовый водонагреватель (колонка) (при отсутствии центрального горячего водоснабжения)</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 1 человека в месяц</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28,2</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Газовый водонагреватель (колонка)</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 1 человека в месяц</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17,2</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На отопление жилых помещений от газовых приборов</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В жилых домах с местным отоплением от газовых приборов АГВ (АОГВ) без отключения на летний период</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 1 кв. м отапливаемой площади в месяц</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8,7</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В жилых домах с местным отоплением от газовых приборов АГВ (АОГВ) с отключением на летний период</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 1 кв. м отапливаемой площади в месяц</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8</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Направление использования сжиженного газа</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Единицы измерения</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Норматив потребления, кг</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Приготовление пищи</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Газовая плита и централизованное горячее водоснабжение</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 1 человека в месяц</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6,91</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Приготовление пищи и подогрев воды</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Газовая плита и газовый водонагреватель (при отсутствии централизованного горячего водоснабжения)</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 1 человека в месяц</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16,88</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Газовая плита (при отсутствии централизованного горячего водоснабжения и газового водонагревателя)</w:t>
            </w:r>
          </w:p>
        </w:tc>
        <w:tc>
          <w:tcPr>
            <w:tcW w:w="1430" w:type="dxa"/>
            <w:gridSpan w:val="9"/>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 1 человека в месяц</w:t>
            </w:r>
          </w:p>
        </w:tc>
        <w:tc>
          <w:tcPr>
            <w:tcW w:w="1590"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10,42</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35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Размер земельного участка для размещения пунктов редуцирования газа, кв. м</w:t>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от 4</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Размер земельного участка для размещения газонаполнительной станции, га</w:t>
            </w:r>
          </w:p>
        </w:tc>
        <w:tc>
          <w:tcPr>
            <w:tcW w:w="306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Производительность ГНС, тыс. т/год</w:t>
            </w:r>
          </w:p>
        </w:tc>
        <w:tc>
          <w:tcPr>
            <w:tcW w:w="2469" w:type="dxa"/>
            <w:gridSpan w:val="9"/>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Размер участка, га</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306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w:t>
            </w:r>
          </w:p>
        </w:tc>
        <w:tc>
          <w:tcPr>
            <w:tcW w:w="2469" w:type="dxa"/>
            <w:gridSpan w:val="9"/>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6</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306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20</w:t>
            </w:r>
          </w:p>
        </w:tc>
        <w:tc>
          <w:tcPr>
            <w:tcW w:w="2469" w:type="dxa"/>
            <w:gridSpan w:val="9"/>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7</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306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40</w:t>
            </w:r>
          </w:p>
        </w:tc>
        <w:tc>
          <w:tcPr>
            <w:tcW w:w="2469" w:type="dxa"/>
            <w:gridSpan w:val="9"/>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8</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Размер земельных участков газонаполнительных пунктов и промежуточных складов баллонов не более, га</w:t>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0,6</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7087"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нормируется</w:t>
            </w:r>
          </w:p>
        </w:tc>
      </w:tr>
      <w:tr>
        <w:trPr/>
        <w:tc>
          <w:tcPr>
            <w:tcW w:w="503"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3.</w:t>
            </w:r>
          </w:p>
        </w:tc>
        <w:tc>
          <w:tcPr>
            <w:tcW w:w="2615"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Котельные,</w:t>
            </w:r>
          </w:p>
          <w:p>
            <w:pPr>
              <w:pStyle w:val="ConsPlusNormal3"/>
              <w:rPr>
                <w:rFonts w:cs="Arial"/>
                <w:sz w:val="24"/>
                <w:szCs w:val="24"/>
              </w:rPr>
            </w:pPr>
            <w:r>
              <w:rPr>
                <w:rFonts w:cs="Arial"/>
                <w:sz w:val="24"/>
                <w:szCs w:val="24"/>
              </w:rPr>
              <w:t>тепловые перекачивающие насосные станции,</w:t>
            </w:r>
          </w:p>
          <w:p>
            <w:pPr>
              <w:pStyle w:val="ConsPlusNormal3"/>
              <w:rPr>
                <w:rFonts w:cs="Arial"/>
                <w:sz w:val="24"/>
                <w:szCs w:val="24"/>
              </w:rPr>
            </w:pPr>
            <w:r>
              <w:rPr>
                <w:rFonts w:cs="Arial"/>
                <w:sz w:val="24"/>
                <w:szCs w:val="24"/>
              </w:rPr>
              <w:t>центральные тепловые пункты,</w:t>
            </w:r>
          </w:p>
          <w:p>
            <w:pPr>
              <w:pStyle w:val="ConsPlusNormal3"/>
              <w:rPr>
                <w:rFonts w:cs="Arial"/>
                <w:sz w:val="24"/>
                <w:szCs w:val="24"/>
              </w:rPr>
            </w:pPr>
            <w:r>
              <w:rPr>
                <w:rFonts w:cs="Arial"/>
                <w:sz w:val="24"/>
                <w:szCs w:val="24"/>
              </w:rPr>
              <w:t>теплопровод магистральный</w:t>
            </w:r>
          </w:p>
        </w:tc>
        <w:tc>
          <w:tcPr>
            <w:tcW w:w="231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Расчетные показатели минимально допустимого уровня обеспеченности</w:t>
            </w:r>
          </w:p>
        </w:tc>
        <w:tc>
          <w:tcPr>
            <w:tcW w:w="242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минимально допустимого уровня мощности объекта</w:t>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Удельные расходы тепла на отопление жилых зданий, кДж/(кв. м °C сут.), общей площади здания по этажности</w:t>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Отапливаемая площадь дома, кв. м</w:t>
            </w:r>
          </w:p>
        </w:tc>
        <w:tc>
          <w:tcPr>
            <w:tcW w:w="3569" w:type="dxa"/>
            <w:gridSpan w:val="1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Этажность</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879"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w:t>
            </w:r>
          </w:p>
        </w:tc>
        <w:tc>
          <w:tcPr>
            <w:tcW w:w="87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3</w:t>
            </w:r>
          </w:p>
        </w:tc>
        <w:tc>
          <w:tcPr>
            <w:tcW w:w="104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4, 5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60 и менее</w:t>
            </w:r>
          </w:p>
        </w:tc>
        <w:tc>
          <w:tcPr>
            <w:tcW w:w="879"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140</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w:t>
            </w:r>
          </w:p>
        </w:tc>
        <w:tc>
          <w:tcPr>
            <w:tcW w:w="87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w:t>
            </w:r>
          </w:p>
        </w:tc>
        <w:tc>
          <w:tcPr>
            <w:tcW w:w="104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100</w:t>
            </w:r>
          </w:p>
        </w:tc>
        <w:tc>
          <w:tcPr>
            <w:tcW w:w="879"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125</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135</w:t>
            </w:r>
          </w:p>
        </w:tc>
        <w:tc>
          <w:tcPr>
            <w:tcW w:w="87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w:t>
            </w:r>
          </w:p>
        </w:tc>
        <w:tc>
          <w:tcPr>
            <w:tcW w:w="104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150</w:t>
            </w:r>
          </w:p>
        </w:tc>
        <w:tc>
          <w:tcPr>
            <w:tcW w:w="879"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110</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120</w:t>
            </w:r>
          </w:p>
        </w:tc>
        <w:tc>
          <w:tcPr>
            <w:tcW w:w="87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130</w:t>
            </w:r>
          </w:p>
        </w:tc>
        <w:tc>
          <w:tcPr>
            <w:tcW w:w="104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250</w:t>
            </w:r>
          </w:p>
        </w:tc>
        <w:tc>
          <w:tcPr>
            <w:tcW w:w="879"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100</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105</w:t>
            </w:r>
          </w:p>
        </w:tc>
        <w:tc>
          <w:tcPr>
            <w:tcW w:w="87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110</w:t>
            </w:r>
          </w:p>
        </w:tc>
        <w:tc>
          <w:tcPr>
            <w:tcW w:w="104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115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400</w:t>
            </w:r>
          </w:p>
        </w:tc>
        <w:tc>
          <w:tcPr>
            <w:tcW w:w="879"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90</w:t>
            </w:r>
          </w:p>
        </w:tc>
        <w:tc>
          <w:tcPr>
            <w:tcW w:w="87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95</w:t>
            </w:r>
          </w:p>
        </w:tc>
        <w:tc>
          <w:tcPr>
            <w:tcW w:w="104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100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600</w:t>
            </w:r>
          </w:p>
        </w:tc>
        <w:tc>
          <w:tcPr>
            <w:tcW w:w="879"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80</w:t>
            </w:r>
          </w:p>
        </w:tc>
        <w:tc>
          <w:tcPr>
            <w:tcW w:w="87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85</w:t>
            </w:r>
          </w:p>
        </w:tc>
        <w:tc>
          <w:tcPr>
            <w:tcW w:w="104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90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1000 и более</w:t>
            </w:r>
          </w:p>
        </w:tc>
        <w:tc>
          <w:tcPr>
            <w:tcW w:w="879"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w:t>
            </w:r>
          </w:p>
        </w:tc>
        <w:tc>
          <w:tcPr>
            <w:tcW w:w="77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70</w:t>
            </w:r>
          </w:p>
        </w:tc>
        <w:tc>
          <w:tcPr>
            <w:tcW w:w="87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75</w:t>
            </w:r>
          </w:p>
        </w:tc>
        <w:tc>
          <w:tcPr>
            <w:tcW w:w="104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80</w:t>
            </w:r>
          </w:p>
        </w:tc>
      </w:tr>
      <w:tr>
        <w:trPr>
          <w:trHeight w:val="631" w:hRule="atLeast"/>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Размер земельного участка для отдельно стоящих котельных в зависимости от мощности, га</w:t>
            </w:r>
          </w:p>
        </w:tc>
        <w:tc>
          <w:tcPr>
            <w:tcW w:w="1969"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Теплопроизводительность котельной, Гкал/ч (МВт)</w:t>
            </w:r>
          </w:p>
        </w:tc>
        <w:tc>
          <w:tcPr>
            <w:tcW w:w="3569" w:type="dxa"/>
            <w:gridSpan w:val="1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Размеры земельных участков, га, котельных, работающих</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64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 твердом топливе</w:t>
            </w:r>
          </w:p>
        </w:tc>
        <w:tc>
          <w:tcPr>
            <w:tcW w:w="1920"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на газомазутном топливе</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до 5</w:t>
            </w:r>
          </w:p>
        </w:tc>
        <w:tc>
          <w:tcPr>
            <w:tcW w:w="164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0,7</w:t>
            </w:r>
          </w:p>
        </w:tc>
        <w:tc>
          <w:tcPr>
            <w:tcW w:w="1920"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0,7</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 5 до 10 (св. 6 до 12)</w:t>
            </w:r>
          </w:p>
        </w:tc>
        <w:tc>
          <w:tcPr>
            <w:tcW w:w="164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w:t>
            </w:r>
          </w:p>
        </w:tc>
        <w:tc>
          <w:tcPr>
            <w:tcW w:w="1920"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 10 до 50 (св. 12 до 58)</w:t>
            </w:r>
          </w:p>
        </w:tc>
        <w:tc>
          <w:tcPr>
            <w:tcW w:w="164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w:t>
            </w:r>
          </w:p>
        </w:tc>
        <w:tc>
          <w:tcPr>
            <w:tcW w:w="1920"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 50 до 100 (св. 58 до 116)</w:t>
            </w:r>
          </w:p>
        </w:tc>
        <w:tc>
          <w:tcPr>
            <w:tcW w:w="164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3</w:t>
            </w:r>
          </w:p>
        </w:tc>
        <w:tc>
          <w:tcPr>
            <w:tcW w:w="1920"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2,5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 100 до 200 (св. 16 до 233)</w:t>
            </w:r>
          </w:p>
        </w:tc>
        <w:tc>
          <w:tcPr>
            <w:tcW w:w="164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3,7</w:t>
            </w:r>
          </w:p>
        </w:tc>
        <w:tc>
          <w:tcPr>
            <w:tcW w:w="1920"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3</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1969"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 200 до 400 (св. 233 до 466)</w:t>
            </w:r>
          </w:p>
        </w:tc>
        <w:tc>
          <w:tcPr>
            <w:tcW w:w="1649"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4,3</w:t>
            </w:r>
          </w:p>
        </w:tc>
        <w:tc>
          <w:tcPr>
            <w:tcW w:w="1920" w:type="dxa"/>
            <w:gridSpan w:val="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3,5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7087"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нормируется</w:t>
            </w:r>
          </w:p>
        </w:tc>
      </w:tr>
      <w:tr>
        <w:trPr/>
        <w:tc>
          <w:tcPr>
            <w:tcW w:w="503"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4.</w:t>
            </w:r>
          </w:p>
        </w:tc>
        <w:tc>
          <w:tcPr>
            <w:tcW w:w="2615"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Водозаборы, станции водоподготовки (водопроводные очистные сооружения),</w:t>
            </w:r>
          </w:p>
          <w:p>
            <w:pPr>
              <w:pStyle w:val="ConsPlusNormal3"/>
              <w:rPr>
                <w:rFonts w:cs="Arial"/>
                <w:sz w:val="24"/>
                <w:szCs w:val="24"/>
              </w:rPr>
            </w:pPr>
            <w:r>
              <w:rPr>
                <w:rFonts w:cs="Arial"/>
                <w:sz w:val="24"/>
                <w:szCs w:val="24"/>
              </w:rPr>
              <w:t>насосные станции,</w:t>
            </w:r>
          </w:p>
          <w:p>
            <w:pPr>
              <w:pStyle w:val="ConsPlusNormal3"/>
              <w:rPr>
                <w:rFonts w:cs="Arial"/>
                <w:sz w:val="24"/>
                <w:szCs w:val="24"/>
              </w:rPr>
            </w:pPr>
            <w:r>
              <w:rPr>
                <w:rFonts w:cs="Arial"/>
                <w:sz w:val="24"/>
                <w:szCs w:val="24"/>
              </w:rPr>
              <w:t>резервуары,</w:t>
            </w:r>
          </w:p>
          <w:p>
            <w:pPr>
              <w:pStyle w:val="ConsPlusNormal3"/>
              <w:rPr>
                <w:rFonts w:cs="Arial"/>
                <w:sz w:val="24"/>
                <w:szCs w:val="24"/>
              </w:rPr>
            </w:pPr>
            <w:r>
              <w:rPr>
                <w:rFonts w:cs="Arial"/>
                <w:sz w:val="24"/>
                <w:szCs w:val="24"/>
              </w:rPr>
              <w:t>водонапорные башни,</w:t>
            </w:r>
          </w:p>
          <w:p>
            <w:pPr>
              <w:pStyle w:val="ConsPlusNormal3"/>
              <w:rPr>
                <w:rFonts w:cs="Arial"/>
                <w:sz w:val="24"/>
                <w:szCs w:val="24"/>
              </w:rPr>
            </w:pPr>
            <w:r>
              <w:rPr>
                <w:rFonts w:cs="Arial"/>
                <w:sz w:val="24"/>
                <w:szCs w:val="24"/>
              </w:rPr>
              <w:t>водопровод</w:t>
            </w:r>
          </w:p>
        </w:tc>
        <w:tc>
          <w:tcPr>
            <w:tcW w:w="231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Расчетные показатели минимально допустимого уровня обеспеченности</w:t>
            </w:r>
          </w:p>
        </w:tc>
        <w:tc>
          <w:tcPr>
            <w:tcW w:w="242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минимально допустимого уровня мощности объекта</w:t>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Показатель удельного водопотребления, л/сут. на 1 чел.</w:t>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Степень благоустройства районов жилой застройки</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Минимальная норма удельного хозяйственно-питьевого водопотребления на одного жителя среднесуточная (за год), л/сут. на человека</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Застройка зданиями, оборудованными внутренним водопроводом и канализацией, без ванн</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125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Застройка зданиями, оборудованными внутренним водопроводом и канализацией, с ванными и местными водонагревателями</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160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Застройка зданиями, оборудованными внутренним водопроводом и канализацией, с ванными и централизованным горячим водоснабжением</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220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Размер земельного участка для размещения станций водоподготовки в зависимости от их производительности, следует принимать по проекту, но не более, га</w:t>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Производительность станций водоподготовки, тыс. куб. м/сут.</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Размер земельного участка, га</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до 0,1</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0,1</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0,1 до 0,2</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0,25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0,2 до 0,4</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0,4</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0,4 до 0,8</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0,8 до 12</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2</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12 до 32</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3</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32 до 80</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4</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80 до 125</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6</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125 до 250</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12</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250 до 400</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18</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958" w:type="dxa"/>
            <w:gridSpan w:val="6"/>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400 до 800</w:t>
            </w:r>
          </w:p>
        </w:tc>
        <w:tc>
          <w:tcPr>
            <w:tcW w:w="2580" w:type="dxa"/>
            <w:gridSpan w:val="11"/>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24</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7087"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нормируется</w:t>
            </w:r>
          </w:p>
        </w:tc>
      </w:tr>
      <w:tr>
        <w:trPr/>
        <w:tc>
          <w:tcPr>
            <w:tcW w:w="503"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5.</w:t>
            </w:r>
          </w:p>
        </w:tc>
        <w:tc>
          <w:tcPr>
            <w:tcW w:w="2615"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Очистные сооружения,</w:t>
            </w:r>
          </w:p>
          <w:p>
            <w:pPr>
              <w:pStyle w:val="ConsPlusNormal3"/>
              <w:rPr>
                <w:rFonts w:cs="Arial"/>
                <w:sz w:val="24"/>
                <w:szCs w:val="24"/>
              </w:rPr>
            </w:pPr>
            <w:r>
              <w:rPr>
                <w:rFonts w:cs="Arial"/>
                <w:sz w:val="24"/>
                <w:szCs w:val="24"/>
              </w:rPr>
              <w:t>канализационные насосные станции,</w:t>
            </w:r>
          </w:p>
          <w:p>
            <w:pPr>
              <w:pStyle w:val="ConsPlusNormal3"/>
              <w:rPr>
                <w:rFonts w:cs="Arial"/>
                <w:sz w:val="24"/>
                <w:szCs w:val="24"/>
              </w:rPr>
            </w:pPr>
            <w:r>
              <w:rPr>
                <w:rFonts w:cs="Arial"/>
                <w:sz w:val="24"/>
                <w:szCs w:val="24"/>
              </w:rPr>
              <w:t>канализация магистральная</w:t>
            </w:r>
          </w:p>
        </w:tc>
        <w:tc>
          <w:tcPr>
            <w:tcW w:w="231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Расчетные показатели минимально допустимого уровня обеспеченности</w:t>
            </w:r>
          </w:p>
        </w:tc>
        <w:tc>
          <w:tcPr>
            <w:tcW w:w="242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минимально допустимого уровня мощности объекта</w:t>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Показатель удельного водоотведения, л/сут. на 1 чел.</w:t>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Степень благоустройства районов жилой застройки</w:t>
            </w:r>
          </w:p>
        </w:tc>
        <w:tc>
          <w:tcPr>
            <w:tcW w:w="3020"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Минимальная норма удельного водоотведения на одного жителя среднесуточная (за год), л/сут. на человека</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Застройка зданиями, оборудованными внутренним водопроводом и канализацией, без ванн</w:t>
            </w:r>
          </w:p>
        </w:tc>
        <w:tc>
          <w:tcPr>
            <w:tcW w:w="3020"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125</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Застройка зданиями, оборудованными внутренним водопроводом и канализацией, с ванными и местными водонагревателями</w:t>
            </w:r>
          </w:p>
        </w:tc>
        <w:tc>
          <w:tcPr>
            <w:tcW w:w="3020"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160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Застройка зданиями, оборудованными внутренним водопроводом и канализацией, с ванными и централизованным горячим водоснабжением</w:t>
            </w:r>
          </w:p>
        </w:tc>
        <w:tc>
          <w:tcPr>
            <w:tcW w:w="3020"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230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минимально допустимой площади территории для размещения объекта</w:t>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Ориентировочные размеры земельного участка для размещения канализационных очистных сооружений в зависимости от их производительности, га</w:t>
            </w:r>
          </w:p>
        </w:tc>
        <w:tc>
          <w:tcPr>
            <w:tcW w:w="2518" w:type="dxa"/>
            <w:gridSpan w:val="4"/>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Производительность канализационных очистных сооружений, тыс. куб. м/сут.</w:t>
            </w:r>
          </w:p>
        </w:tc>
        <w:tc>
          <w:tcPr>
            <w:tcW w:w="3020"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Размеры земельных участков, га</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99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Очистных сооружений</w:t>
            </w:r>
          </w:p>
        </w:tc>
        <w:tc>
          <w:tcPr>
            <w:tcW w:w="76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Иловых площадок</w:t>
            </w:r>
          </w:p>
        </w:tc>
        <w:tc>
          <w:tcPr>
            <w:tcW w:w="1261"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Биологических прудов глубокой очистки сточных вод</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до 0,7</w:t>
            </w:r>
          </w:p>
        </w:tc>
        <w:tc>
          <w:tcPr>
            <w:tcW w:w="99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0,5</w:t>
            </w:r>
          </w:p>
        </w:tc>
        <w:tc>
          <w:tcPr>
            <w:tcW w:w="76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0,2</w:t>
            </w:r>
          </w:p>
        </w:tc>
        <w:tc>
          <w:tcPr>
            <w:tcW w:w="1261"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0,7 до 17</w:t>
            </w:r>
          </w:p>
        </w:tc>
        <w:tc>
          <w:tcPr>
            <w:tcW w:w="99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4</w:t>
            </w:r>
          </w:p>
        </w:tc>
        <w:tc>
          <w:tcPr>
            <w:tcW w:w="76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3</w:t>
            </w:r>
          </w:p>
        </w:tc>
        <w:tc>
          <w:tcPr>
            <w:tcW w:w="1261"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3</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17 до 40</w:t>
            </w:r>
          </w:p>
        </w:tc>
        <w:tc>
          <w:tcPr>
            <w:tcW w:w="99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6</w:t>
            </w:r>
          </w:p>
        </w:tc>
        <w:tc>
          <w:tcPr>
            <w:tcW w:w="76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9</w:t>
            </w:r>
          </w:p>
        </w:tc>
        <w:tc>
          <w:tcPr>
            <w:tcW w:w="1261"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6</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40 до 130</w:t>
            </w:r>
          </w:p>
        </w:tc>
        <w:tc>
          <w:tcPr>
            <w:tcW w:w="99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12</w:t>
            </w:r>
          </w:p>
        </w:tc>
        <w:tc>
          <w:tcPr>
            <w:tcW w:w="76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25</w:t>
            </w:r>
          </w:p>
        </w:tc>
        <w:tc>
          <w:tcPr>
            <w:tcW w:w="1261"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20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130 до 175</w:t>
            </w:r>
          </w:p>
        </w:tc>
        <w:tc>
          <w:tcPr>
            <w:tcW w:w="99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14</w:t>
            </w:r>
          </w:p>
        </w:tc>
        <w:tc>
          <w:tcPr>
            <w:tcW w:w="76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30</w:t>
            </w:r>
          </w:p>
        </w:tc>
        <w:tc>
          <w:tcPr>
            <w:tcW w:w="1261"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30</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 175 до 280</w:t>
            </w:r>
          </w:p>
        </w:tc>
        <w:tc>
          <w:tcPr>
            <w:tcW w:w="990"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18</w:t>
            </w:r>
          </w:p>
        </w:tc>
        <w:tc>
          <w:tcPr>
            <w:tcW w:w="769" w:type="dxa"/>
            <w:gridSpan w:val="5"/>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55</w:t>
            </w:r>
          </w:p>
        </w:tc>
        <w:tc>
          <w:tcPr>
            <w:tcW w:w="1261"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свыше</w:t>
            </w:r>
          </w:p>
          <w:p>
            <w:pPr>
              <w:pStyle w:val="ConsPlusNormal3"/>
              <w:rPr>
                <w:rFonts w:cs="Arial"/>
                <w:sz w:val="24"/>
                <w:szCs w:val="24"/>
              </w:rPr>
            </w:pPr>
            <w:r>
              <w:rPr>
                <w:rFonts w:cs="Arial"/>
                <w:sz w:val="24"/>
                <w:szCs w:val="24"/>
              </w:rPr>
              <w:t>280 тыс. куб. м/сут.</w:t>
            </w:r>
          </w:p>
        </w:tc>
        <w:tc>
          <w:tcPr>
            <w:tcW w:w="3020"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следует принимать по проектам, разработанным при согласовании с Управлением Роспотребнадзора по Нижегородской области</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Ориентировочные размеры участков для размещения сооружений систем водоотведения и расстояние от них до жилых и общественных зданий</w:t>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Наименование объекта</w:t>
            </w:r>
          </w:p>
        </w:tc>
        <w:tc>
          <w:tcPr>
            <w:tcW w:w="1320"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Размер участка, м</w:t>
            </w:r>
          </w:p>
        </w:tc>
        <w:tc>
          <w:tcPr>
            <w:tcW w:w="1700"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Расстояние до жилых и общественных зданий, м</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Очистные сооружения поверхностных сточных вод</w:t>
            </w:r>
          </w:p>
        </w:tc>
        <w:tc>
          <w:tcPr>
            <w:tcW w:w="1320"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В зависимости от производительности и типа сооружения</w:t>
            </w:r>
          </w:p>
        </w:tc>
        <w:tc>
          <w:tcPr>
            <w:tcW w:w="1700"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Санитарно-защитные зоны и санитарные разрывы при размещении объектов определяются в каждом конкретном случае в соответствии с действующими санитарно-эпидемиологическими правилами и нормативами</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Внутриквартальная канализационная насосная станция</w:t>
            </w:r>
          </w:p>
        </w:tc>
        <w:tc>
          <w:tcPr>
            <w:tcW w:w="1320"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10x10</w:t>
            </w:r>
          </w:p>
        </w:tc>
        <w:tc>
          <w:tcPr>
            <w:tcW w:w="1700"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518" w:type="dxa"/>
            <w:gridSpan w:val="4"/>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Эксплуатационные площадки вокруг шахт тоннельных коллекторов</w:t>
            </w:r>
          </w:p>
        </w:tc>
        <w:tc>
          <w:tcPr>
            <w:tcW w:w="1320" w:type="dxa"/>
            <w:gridSpan w:val="8"/>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20x20</w:t>
            </w:r>
          </w:p>
        </w:tc>
        <w:tc>
          <w:tcPr>
            <w:tcW w:w="1700"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1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42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35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Размеры земельных участков очистных сооружений локальных систем канализации</w:t>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следует принимать в зависимости от грунтовых условий и количества сточных вод, но не более 0,25 га</w:t>
            </w:r>
          </w:p>
        </w:tc>
      </w:tr>
      <w:tr>
        <w:trPr/>
        <w:tc>
          <w:tcPr>
            <w:tcW w:w="503"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2615"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rPr>
                <w:rFonts w:cs="Arial"/>
                <w:sz w:val="24"/>
                <w:szCs w:val="24"/>
              </w:rPr>
            </w:pPr>
            <w:r>
              <w:rPr>
                <w:rFonts w:cs="Arial"/>
                <w:sz w:val="24"/>
                <w:szCs w:val="24"/>
              </w:rPr>
            </w:r>
          </w:p>
        </w:tc>
        <w:tc>
          <w:tcPr>
            <w:tcW w:w="7087" w:type="dxa"/>
            <w:gridSpan w:val="3"/>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Расчетный показатель максимально допустимого уровня территориальной доступности</w:t>
            </w:r>
          </w:p>
        </w:tc>
        <w:tc>
          <w:tcPr>
            <w:tcW w:w="5538" w:type="dxa"/>
            <w:gridSpan w:val="17"/>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нормируется</w:t>
            </w:r>
          </w:p>
        </w:tc>
      </w:tr>
      <w:tr>
        <w:trPr/>
        <w:tc>
          <w:tcPr>
            <w:tcW w:w="15743" w:type="dxa"/>
            <w:gridSpan w:val="2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Примечания:</w:t>
            </w:r>
          </w:p>
          <w:p>
            <w:pPr>
              <w:pStyle w:val="ConsPlusNormal3"/>
              <w:rPr>
                <w:rFonts w:cs="Arial"/>
                <w:sz w:val="24"/>
                <w:szCs w:val="24"/>
              </w:rPr>
            </w:pPr>
            <w:r>
              <w:rPr>
                <w:rFonts w:cs="Arial"/>
                <w:sz w:val="24"/>
                <w:szCs w:val="24"/>
              </w:rPr>
              <w:t>1. Расстояние от инженерных коммуникаций до объектов культурного наследия и их территорий следует принимать из расчета, м, не менее: от сетей водопровода, канализации и теплоснабжения (кроме разводящих) - 15, до других подземных инженерных сетей - 5.</w:t>
            </w:r>
          </w:p>
          <w:p>
            <w:pPr>
              <w:pStyle w:val="ConsPlusNormal3"/>
              <w:rPr>
                <w:rFonts w:cs="Arial"/>
                <w:sz w:val="24"/>
                <w:szCs w:val="24"/>
              </w:rPr>
            </w:pPr>
            <w:r>
              <w:rPr>
                <w:rFonts w:cs="Arial"/>
                <w:sz w:val="24"/>
                <w:szCs w:val="24"/>
              </w:rPr>
              <w:t>2. В условиях реконструкции объектов культурного наследия указанные расстояния допускается сокращать, но принимать, м, не менее: от водонесущих сетей - 5, неводонесущих - 2</w:t>
            </w:r>
          </w:p>
        </w:tc>
      </w:tr>
    </w:tbl>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sectPr>
          <w:type w:val="continuous"/>
          <w:pgSz w:w="11906" w:h="16838"/>
          <w:pgMar w:left="1134" w:right="567" w:header="0" w:top="851" w:footer="709" w:bottom="851" w:gutter="0"/>
          <w:formProt w:val="false"/>
          <w:textDirection w:val="lrTb"/>
          <w:docGrid w:type="default" w:linePitch="600" w:charSpace="36864"/>
        </w:sectPr>
      </w:pPr>
    </w:p>
    <w:p>
      <w:pPr>
        <w:pStyle w:val="Style117"/>
        <w:rPr>
          <w:rFonts w:ascii="Arial" w:hAnsi="Arial" w:cs="Arial"/>
        </w:rPr>
      </w:pPr>
      <w:bookmarkStart w:id="19" w:name="__RefHeading___Toc494193915"/>
      <w:bookmarkEnd w:id="19"/>
      <w:r>
        <w:rPr>
          <w:rFonts w:cs="Arial" w:ascii="Arial" w:hAnsi="Arial"/>
        </w:rPr>
        <w:t>7. Расчетные показатели коммунально-складских зон</w:t>
      </w:r>
    </w:p>
    <w:p>
      <w:pPr>
        <w:pStyle w:val="NoSpacing"/>
        <w:ind w:left="0" w:right="0" w:firstLine="708"/>
        <w:jc w:val="both"/>
        <w:rPr>
          <w:rFonts w:ascii="Arial" w:hAnsi="Arial" w:cs="Arial"/>
          <w:sz w:val="24"/>
          <w:szCs w:val="24"/>
        </w:rPr>
      </w:pPr>
      <w:r>
        <w:rPr>
          <w:rFonts w:cs="Arial" w:ascii="Arial" w:hAnsi="Arial"/>
          <w:sz w:val="24"/>
          <w:szCs w:val="24"/>
        </w:rPr>
      </w:r>
    </w:p>
    <w:p>
      <w:pPr>
        <w:pStyle w:val="ConsPlusNormal1"/>
        <w:ind w:left="0" w:right="0" w:firstLine="567"/>
        <w:rPr/>
      </w:pPr>
      <w:r>
        <w:rPr>
          <w:rFonts w:cs="Arial"/>
          <w:sz w:val="24"/>
          <w:szCs w:val="24"/>
        </w:rPr>
        <w:t xml:space="preserve">7.1. </w:t>
      </w:r>
      <w:r>
        <w:rPr>
          <w:rFonts w:cs="Arial"/>
          <w:i/>
          <w:iCs/>
          <w:color w:val="000000"/>
          <w:sz w:val="24"/>
          <w:szCs w:val="24"/>
        </w:rPr>
        <w:t>Общие требования.</w:t>
      </w:r>
    </w:p>
    <w:p>
      <w:pPr>
        <w:pStyle w:val="ConsPlusNormal1"/>
        <w:ind w:left="0" w:right="0" w:firstLine="567"/>
        <w:rPr>
          <w:rFonts w:cs="Arial"/>
          <w:iCs/>
          <w:color w:val="000000"/>
          <w:sz w:val="24"/>
          <w:szCs w:val="24"/>
        </w:rPr>
      </w:pPr>
      <w:r>
        <w:rPr>
          <w:rFonts w:cs="Arial"/>
          <w:iCs/>
          <w:color w:val="000000"/>
          <w:sz w:val="24"/>
          <w:szCs w:val="24"/>
        </w:rPr>
        <w:t>7.1.1. Территории коммунально-складских зон предназначены для размещения коммунальных и складских объектов, логистических комплексов, объектов жилищно-коммунального хозяйства, объектов транспорта, объектов оптовой торговли.</w:t>
      </w:r>
    </w:p>
    <w:p>
      <w:pPr>
        <w:pStyle w:val="ConsPlusNormal1"/>
        <w:ind w:left="0" w:right="0" w:firstLine="567"/>
        <w:rPr>
          <w:rFonts w:cs="Arial"/>
          <w:iCs/>
          <w:color w:val="000000"/>
          <w:sz w:val="24"/>
          <w:szCs w:val="24"/>
        </w:rPr>
      </w:pPr>
      <w:r>
        <w:rPr>
          <w:rFonts w:cs="Arial"/>
          <w:iCs/>
          <w:color w:val="000000"/>
          <w:sz w:val="24"/>
          <w:szCs w:val="24"/>
        </w:rPr>
        <w:t>На территориях коммунально-складских зон следует размещать предприятия пищевой (пищевкусовой, мясной и молочной) промышленности, общетоварные (продовольственные и непродовольственные), специализированные склады (холодильники, картофеле-, овоще-, фруктохранилища), предприятия коммунального, транспортного и бытового обслуживания населения.</w:t>
      </w:r>
    </w:p>
    <w:p>
      <w:pPr>
        <w:pStyle w:val="ConsPlusNormal1"/>
        <w:ind w:left="0" w:right="0" w:firstLine="567"/>
        <w:rPr>
          <w:rFonts w:cs="Arial"/>
          <w:iCs/>
          <w:color w:val="000000"/>
          <w:sz w:val="24"/>
          <w:szCs w:val="24"/>
        </w:rPr>
      </w:pPr>
      <w:r>
        <w:rPr>
          <w:rFonts w:cs="Arial"/>
          <w:iCs/>
          <w:color w:val="000000"/>
          <w:sz w:val="24"/>
          <w:szCs w:val="24"/>
        </w:rPr>
        <w:t>7.1.2. Систему складских комплексов, не связанных с непосредственным повседневным обслуживанием населения, в том числе входящие в многофункциональные терминальные комплексы, следует формировать за пределами населенных пунктов, особо охраняемых территорий, зон с особыми условиями использования территории, приближая их к узлам внешнего транспорта с соблюдением санитарных, противопожарных и иных специальных норм.</w:t>
      </w:r>
    </w:p>
    <w:p>
      <w:pPr>
        <w:pStyle w:val="ConsPlusNormal1"/>
        <w:ind w:left="0" w:right="0" w:firstLine="567"/>
        <w:rPr>
          <w:rFonts w:cs="Arial"/>
          <w:iCs/>
          <w:color w:val="000000"/>
          <w:sz w:val="24"/>
          <w:szCs w:val="24"/>
        </w:rPr>
      </w:pPr>
      <w:r>
        <w:rPr>
          <w:rFonts w:cs="Arial"/>
          <w:iCs/>
          <w:color w:val="000000"/>
          <w:sz w:val="24"/>
          <w:szCs w:val="24"/>
        </w:rPr>
        <w:t>Рассредоточенное размещение складов государственных резервов, складов нефти и нефтепродуктов первой группы, перевалочных баз нефти и нефтепродуктов, складов сжиженных газов, складов взрывчатых материалов и базисных складов сильно действующих ядовитых веществ, базисных складов продовольствия, фуража и промышленного сырья, лесоперевалочных баз базисных складов лесных и строительных материалов следует предусматривать также за пределами территории населенных пунктов в обособленных складских районах с соблюдением санитарных, противопожарных и специальных норм.</w:t>
      </w:r>
    </w:p>
    <w:p>
      <w:pPr>
        <w:pStyle w:val="ConsPlusNormal1"/>
        <w:ind w:left="0" w:right="0" w:firstLine="567"/>
        <w:rPr>
          <w:rFonts w:cs="Arial"/>
          <w:iCs/>
          <w:color w:val="000000"/>
          <w:sz w:val="24"/>
          <w:szCs w:val="24"/>
        </w:rPr>
      </w:pPr>
      <w:r>
        <w:rPr>
          <w:rFonts w:cs="Arial"/>
          <w:iCs/>
          <w:color w:val="000000"/>
          <w:sz w:val="24"/>
          <w:szCs w:val="24"/>
        </w:rPr>
        <w:t>7.1.4. Для малых населенных пунктов следует предусматривать централизованные склады, обслуживающие группу населенных пунктов, располагая такие склады преимущественно в центрах муниципальных районов.</w:t>
      </w:r>
    </w:p>
    <w:p>
      <w:pPr>
        <w:pStyle w:val="ConsPlusNormal1"/>
        <w:ind w:left="0" w:right="0" w:firstLine="567"/>
        <w:rPr>
          <w:rFonts w:cs="Arial"/>
          <w:iCs/>
          <w:color w:val="000000"/>
          <w:sz w:val="24"/>
          <w:szCs w:val="24"/>
        </w:rPr>
      </w:pPr>
      <w:r>
        <w:rPr>
          <w:rFonts w:cs="Arial"/>
          <w:iCs/>
          <w:color w:val="000000"/>
          <w:sz w:val="24"/>
          <w:szCs w:val="24"/>
        </w:rPr>
        <w:t>7.1.5. Группы предприятий и объектов, входящие в состав коммунально-складских зон, необходимо размещать с учетом технологических и санитарно-гигиенических требований, кооперированного использования общих объектов, обеспечения последовательного ввода мощностей.</w:t>
      </w:r>
    </w:p>
    <w:p>
      <w:pPr>
        <w:pStyle w:val="ConsPlusNormal1"/>
        <w:ind w:left="0" w:right="0" w:firstLine="567"/>
        <w:rPr>
          <w:rFonts w:cs="Arial"/>
          <w:iCs/>
          <w:color w:val="000000"/>
          <w:sz w:val="24"/>
          <w:szCs w:val="24"/>
        </w:rPr>
      </w:pPr>
      <w:r>
        <w:rPr>
          <w:rFonts w:cs="Arial"/>
          <w:iCs/>
          <w:color w:val="000000"/>
          <w:sz w:val="24"/>
          <w:szCs w:val="24"/>
        </w:rPr>
        <w:t>Состав и мощности предприятий коммунальной зоны следует проектировать с учетом типа и назначения населенного пункта и его роли в системе расселения.</w:t>
      </w:r>
    </w:p>
    <w:p>
      <w:pPr>
        <w:pStyle w:val="ConsPlusNormal1"/>
        <w:ind w:left="0" w:right="0" w:firstLine="567"/>
        <w:rPr>
          <w:rFonts w:cs="Arial"/>
          <w:iCs/>
          <w:color w:val="000000"/>
          <w:sz w:val="24"/>
          <w:szCs w:val="24"/>
        </w:rPr>
      </w:pPr>
      <w:r>
        <w:rPr>
          <w:rFonts w:cs="Arial"/>
          <w:iCs/>
          <w:color w:val="000000"/>
          <w:sz w:val="24"/>
          <w:szCs w:val="24"/>
        </w:rPr>
        <w:t>7.1.6. Проектирование площадок для открытых складов пылящих материалов, отходов на территориях коммунально-складских зон не допускается.</w:t>
      </w:r>
    </w:p>
    <w:p>
      <w:pPr>
        <w:pStyle w:val="ConsPlusNormal1"/>
        <w:ind w:left="0" w:right="0" w:firstLine="567"/>
        <w:rPr>
          <w:rFonts w:cs="Arial"/>
          <w:iCs/>
          <w:color w:val="000000"/>
          <w:sz w:val="24"/>
          <w:szCs w:val="24"/>
        </w:rPr>
      </w:pPr>
      <w:r>
        <w:rPr>
          <w:rFonts w:cs="Arial"/>
          <w:iCs/>
          <w:color w:val="000000"/>
          <w:sz w:val="24"/>
          <w:szCs w:val="24"/>
        </w:rPr>
      </w:r>
    </w:p>
    <w:p>
      <w:pPr>
        <w:pStyle w:val="ConsPlusNormal1"/>
        <w:ind w:left="0" w:right="0" w:firstLine="567"/>
        <w:rPr/>
      </w:pPr>
      <w:r>
        <w:rPr>
          <w:rFonts w:cs="Arial"/>
          <w:iCs/>
          <w:color w:val="000000"/>
          <w:sz w:val="24"/>
          <w:szCs w:val="24"/>
        </w:rPr>
        <w:t xml:space="preserve">7.2. </w:t>
      </w:r>
      <w:r>
        <w:rPr>
          <w:rFonts w:cs="Arial"/>
          <w:i/>
          <w:iCs/>
          <w:color w:val="000000"/>
          <w:sz w:val="24"/>
          <w:szCs w:val="24"/>
        </w:rPr>
        <w:t>Нормативные параметры застройки коммунально-складских зон.</w:t>
      </w:r>
    </w:p>
    <w:p>
      <w:pPr>
        <w:pStyle w:val="ConsPlusNormal1"/>
        <w:ind w:left="0" w:right="0" w:firstLine="567"/>
        <w:rPr>
          <w:rFonts w:cs="Arial"/>
          <w:iCs/>
          <w:color w:val="000000"/>
          <w:sz w:val="24"/>
          <w:szCs w:val="24"/>
        </w:rPr>
      </w:pPr>
      <w:r>
        <w:rPr>
          <w:rFonts w:cs="Arial"/>
          <w:iCs/>
          <w:color w:val="000000"/>
          <w:sz w:val="24"/>
          <w:szCs w:val="24"/>
        </w:rPr>
      </w:r>
    </w:p>
    <w:p>
      <w:pPr>
        <w:pStyle w:val="ConsPlusNormal1"/>
        <w:ind w:left="0" w:right="0" w:firstLine="567"/>
        <w:rPr/>
      </w:pPr>
      <w:bookmarkStart w:id="20" w:name="__RefHeading___Toc494193916"/>
      <w:r>
        <w:rPr>
          <w:rStyle w:val="55555"/>
          <w:rFonts w:eastAsia="Calibri" w:cs="Arial"/>
        </w:rPr>
        <w:t>7.2.1. Рекомендуемые минимальные расчётные показатели площадей территорий и размеров земельных участков  общетоварных  складов,  размещаемых на территориях сельских поселений</w:t>
      </w:r>
      <w:bookmarkEnd w:id="20"/>
      <w:r>
        <w:rPr>
          <w:rFonts w:cs="Arial"/>
          <w:iCs/>
          <w:color w:val="000000"/>
          <w:sz w:val="24"/>
          <w:szCs w:val="24"/>
        </w:rPr>
        <w:t>, приведены в таблице 7.1.</w:t>
      </w:r>
    </w:p>
    <w:p>
      <w:pPr>
        <w:pStyle w:val="ConsPlusNormal1"/>
        <w:ind w:left="0" w:right="0" w:hanging="0"/>
        <w:rPr>
          <w:rFonts w:cs="Arial"/>
          <w:iCs/>
          <w:color w:val="000000"/>
          <w:sz w:val="24"/>
          <w:szCs w:val="24"/>
        </w:rPr>
      </w:pPr>
      <w:r>
        <w:rPr>
          <w:rFonts w:cs="Arial"/>
          <w:iCs/>
          <w:color w:val="000000"/>
          <w:sz w:val="24"/>
          <w:szCs w:val="24"/>
        </w:rPr>
      </w:r>
    </w:p>
    <w:p>
      <w:pPr>
        <w:pStyle w:val="ConsPlusNormal1"/>
        <w:ind w:left="0" w:right="0" w:firstLine="567"/>
        <w:jc w:val="right"/>
        <w:rPr>
          <w:rFonts w:cs="Arial"/>
          <w:iCs/>
          <w:color w:val="000000"/>
          <w:sz w:val="24"/>
          <w:szCs w:val="24"/>
        </w:rPr>
      </w:pPr>
      <w:r>
        <w:rPr>
          <w:rFonts w:cs="Arial"/>
          <w:iCs/>
          <w:color w:val="000000"/>
          <w:sz w:val="24"/>
          <w:szCs w:val="24"/>
        </w:rPr>
        <w:t>Таблица 7.1</w:t>
      </w:r>
    </w:p>
    <w:tbl>
      <w:tblPr>
        <w:tblW w:w="9933" w:type="dxa"/>
        <w:jc w:val="left"/>
        <w:tblInd w:w="103"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2713"/>
        <w:gridCol w:w="3807"/>
        <w:gridCol w:w="3413"/>
      </w:tblGrid>
      <w:tr>
        <w:trPr>
          <w:trHeight w:val="553" w:hRule="atLeast"/>
        </w:trPr>
        <w:tc>
          <w:tcPr>
            <w:tcW w:w="2713"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 xml:space="preserve">Склады </w:t>
            </w:r>
          </w:p>
        </w:tc>
        <w:tc>
          <w:tcPr>
            <w:tcW w:w="3807"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 xml:space="preserve">Площадь складов, </w:t>
            </w:r>
          </w:p>
          <w:p>
            <w:pPr>
              <w:pStyle w:val="Normal"/>
              <w:suppressAutoHyphens w:val="tru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Кв. м.  на 1000 чел.</w:t>
            </w:r>
          </w:p>
        </w:tc>
        <w:tc>
          <w:tcPr>
            <w:tcW w:w="341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 xml:space="preserve">Размеры земельных участков, </w:t>
            </w:r>
          </w:p>
          <w:p>
            <w:pPr>
              <w:pStyle w:val="Normal"/>
              <w:suppressAutoHyphens w:val="tru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Кв. м. на 1000 чел.</w:t>
            </w:r>
          </w:p>
        </w:tc>
      </w:tr>
      <w:tr>
        <w:trPr>
          <w:trHeight w:val="553" w:hRule="atLeast"/>
        </w:trPr>
        <w:tc>
          <w:tcPr>
            <w:tcW w:w="2713"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Продовольственных товаров</w:t>
            </w:r>
          </w:p>
        </w:tc>
        <w:tc>
          <w:tcPr>
            <w:tcW w:w="3807"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19</w:t>
            </w:r>
          </w:p>
        </w:tc>
        <w:tc>
          <w:tcPr>
            <w:tcW w:w="341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60</w:t>
            </w:r>
          </w:p>
        </w:tc>
      </w:tr>
      <w:tr>
        <w:trPr>
          <w:trHeight w:val="553" w:hRule="atLeast"/>
        </w:trPr>
        <w:tc>
          <w:tcPr>
            <w:tcW w:w="2713"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Непродовольственных товаров</w:t>
            </w:r>
          </w:p>
        </w:tc>
        <w:tc>
          <w:tcPr>
            <w:tcW w:w="3807"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193</w:t>
            </w:r>
          </w:p>
        </w:tc>
        <w:tc>
          <w:tcPr>
            <w:tcW w:w="341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580</w:t>
            </w:r>
          </w:p>
        </w:tc>
      </w:tr>
    </w:tbl>
    <w:p>
      <w:pPr>
        <w:pStyle w:val="ConsPlusNormal1"/>
        <w:ind w:left="0" w:right="0" w:firstLine="567"/>
        <w:rPr>
          <w:rFonts w:cs="Arial"/>
          <w:iCs/>
          <w:color w:val="000000"/>
          <w:sz w:val="24"/>
          <w:szCs w:val="24"/>
        </w:rPr>
      </w:pPr>
      <w:r>
        <w:rPr>
          <w:rFonts w:cs="Arial"/>
          <w:iCs/>
          <w:color w:val="000000"/>
          <w:sz w:val="24"/>
          <w:szCs w:val="24"/>
        </w:rPr>
      </w:r>
    </w:p>
    <w:p>
      <w:pPr>
        <w:pStyle w:val="ConsPlusNormal1"/>
        <w:ind w:left="0" w:right="0" w:firstLine="567"/>
        <w:rPr>
          <w:rFonts w:cs="Arial"/>
          <w:iCs/>
          <w:color w:val="000000"/>
          <w:sz w:val="24"/>
          <w:szCs w:val="24"/>
        </w:rPr>
      </w:pPr>
      <w:r>
        <w:rPr>
          <w:rFonts w:cs="Arial"/>
          <w:iCs/>
          <w:color w:val="000000"/>
          <w:sz w:val="24"/>
          <w:szCs w:val="24"/>
        </w:rPr>
      </w:r>
    </w:p>
    <w:p>
      <w:pPr>
        <w:pStyle w:val="ConsPlusNormal3"/>
        <w:ind w:left="0" w:right="0" w:firstLine="567"/>
        <w:jc w:val="both"/>
        <w:rPr/>
      </w:pPr>
      <w:r>
        <w:rPr>
          <w:rFonts w:eastAsia="Arial" w:cs="Arial"/>
          <w:iCs/>
          <w:color w:val="000000"/>
          <w:sz w:val="24"/>
          <w:szCs w:val="24"/>
          <w:lang w:eastAsia="ar-SA"/>
        </w:rPr>
        <w:t xml:space="preserve">   </w:t>
      </w:r>
      <w:r>
        <w:rPr>
          <w:rFonts w:eastAsia="Calibri" w:cs="Arial"/>
          <w:iCs/>
          <w:color w:val="000000"/>
          <w:sz w:val="24"/>
          <w:szCs w:val="24"/>
          <w:lang w:eastAsia="ar-SA"/>
        </w:rPr>
        <w:t xml:space="preserve">Примечания 1. При размещении общетоварных складов в  составеспециализированных групп размеры земельных участков рекомендуется сокращать до 30%.                                                       </w:t>
      </w:r>
    </w:p>
    <w:p>
      <w:pPr>
        <w:pStyle w:val="ConsPlusNormal3"/>
        <w:ind w:left="0" w:right="0" w:firstLine="567"/>
        <w:jc w:val="both"/>
        <w:rPr>
          <w:rFonts w:eastAsia="Calibri" w:cs="Arial"/>
          <w:iCs/>
          <w:color w:val="000000"/>
          <w:sz w:val="24"/>
          <w:szCs w:val="24"/>
          <w:lang w:eastAsia="ar-SA"/>
        </w:rPr>
      </w:pPr>
      <w:r>
        <w:rPr>
          <w:rFonts w:eastAsia="Calibri" w:cs="Arial"/>
          <w:iCs/>
          <w:color w:val="000000"/>
          <w:sz w:val="24"/>
          <w:szCs w:val="24"/>
          <w:lang w:eastAsia="ar-SA"/>
        </w:rPr>
        <w:t xml:space="preserve">2. В  зонах досрочного завоза товаров размеры земельных участков следует увеличивать на 40%.                                             </w:t>
      </w:r>
    </w:p>
    <w:p>
      <w:pPr>
        <w:pStyle w:val="ConsPlusNormal3"/>
        <w:ind w:left="0" w:right="0" w:firstLine="567"/>
        <w:jc w:val="both"/>
        <w:rPr>
          <w:rFonts w:eastAsia="Calibri" w:cs="Arial"/>
          <w:iCs/>
          <w:color w:val="000000"/>
          <w:sz w:val="24"/>
          <w:szCs w:val="24"/>
          <w:lang w:eastAsia="ar-SA"/>
        </w:rPr>
      </w:pPr>
      <w:r>
        <w:rPr>
          <w:rFonts w:eastAsia="Calibri" w:cs="Arial"/>
          <w:iCs/>
          <w:color w:val="000000"/>
          <w:sz w:val="24"/>
          <w:szCs w:val="24"/>
          <w:lang w:eastAsia="ar-SA"/>
        </w:rPr>
        <w:t xml:space="preserve">3. Уровень товарных запасов для общетоварных складов по числу дней розничной продажи  (товарообороту) устанавливается органами управления торговлей республик, краев, областей и городов федерального значения.    </w:t>
      </w:r>
    </w:p>
    <w:p>
      <w:pPr>
        <w:pStyle w:val="5551"/>
        <w:rPr>
          <w:rFonts w:ascii="Arial" w:hAnsi="Arial" w:cs="Arial"/>
        </w:rPr>
      </w:pPr>
      <w:r>
        <w:rPr>
          <w:rFonts w:cs="Arial" w:ascii="Arial" w:hAnsi="Arial"/>
        </w:rPr>
        <w:t>7.2.2.Объекты с размерами санитарно-защитной зоны свыше 300 м следует размещать на обособленных земельных участках.</w:t>
      </w:r>
    </w:p>
    <w:p>
      <w:pPr>
        <w:pStyle w:val="5551"/>
        <w:rPr/>
      </w:pPr>
      <w:r>
        <w:rPr>
          <w:rFonts w:cs="Arial" w:ascii="Arial" w:hAnsi="Arial"/>
        </w:rPr>
        <w:t>7.2.3.</w:t>
      </w:r>
      <w:r>
        <w:rPr>
          <w:rStyle w:val="55555"/>
          <w:rFonts w:eastAsia="Calibri" w:cs="Arial" w:ascii="Arial" w:hAnsi="Arial"/>
        </w:rPr>
        <w:t>Рекомендуемые минимальные расчётные показатели вместимости специализированных складов и размеров их земельных участков, размещаемых на территориях сельских поселений</w:t>
      </w:r>
      <w:r>
        <w:rPr>
          <w:rFonts w:cs="Arial" w:ascii="Arial" w:hAnsi="Arial"/>
        </w:rPr>
        <w:t>, приведены в  таблице 7.2.</w:t>
      </w:r>
    </w:p>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8"/>
        <w:jc w:val="right"/>
        <w:rPr>
          <w:rFonts w:ascii="Arial" w:hAnsi="Arial" w:cs="Arial"/>
          <w:sz w:val="24"/>
          <w:szCs w:val="24"/>
        </w:rPr>
      </w:pPr>
      <w:r>
        <w:rPr>
          <w:rFonts w:cs="Arial" w:ascii="Arial" w:hAnsi="Arial"/>
          <w:sz w:val="24"/>
          <w:szCs w:val="24"/>
        </w:rPr>
        <w:t>Таблица 7.2</w:t>
      </w:r>
    </w:p>
    <w:tbl>
      <w:tblPr>
        <w:tblW w:w="9791" w:type="dxa"/>
        <w:jc w:val="left"/>
        <w:tblInd w:w="40" w:type="dxa"/>
        <w:tblBorders>
          <w:top w:val="single" w:sz="4" w:space="0" w:color="000001"/>
          <w:left w:val="single" w:sz="4" w:space="0" w:color="000001"/>
          <w:bottom w:val="single" w:sz="4" w:space="0" w:color="000001"/>
          <w:insideH w:val="single" w:sz="4" w:space="0" w:color="000001"/>
        </w:tblBorders>
        <w:tblCellMar>
          <w:top w:w="0" w:type="dxa"/>
          <w:left w:w="45" w:type="dxa"/>
          <w:bottom w:w="0" w:type="dxa"/>
          <w:right w:w="45" w:type="dxa"/>
        </w:tblCellMar>
      </w:tblPr>
      <w:tblGrid>
        <w:gridCol w:w="4175"/>
        <w:gridCol w:w="2770"/>
        <w:gridCol w:w="2846"/>
      </w:tblGrid>
      <w:tr>
        <w:trPr>
          <w:trHeight w:val="967" w:hRule="atLeast"/>
        </w:trPr>
        <w:tc>
          <w:tcPr>
            <w:tcW w:w="4175" w:type="dxa"/>
            <w:tcBorders>
              <w:top w:val="single" w:sz="4" w:space="0" w:color="000001"/>
              <w:left w:val="single" w:sz="4" w:space="0" w:color="000001"/>
              <w:bottom w:val="single" w:sz="4" w:space="0" w:color="000001"/>
              <w:insideH w:val="single" w:sz="4" w:space="0" w:color="000001"/>
            </w:tcBorders>
            <w:shd w:fill="EEECE1" w:val="clear"/>
            <w:tcMar>
              <w:left w:w="45" w:type="dxa"/>
            </w:tcMar>
            <w:vAlign w:val="center"/>
          </w:tcPr>
          <w:p>
            <w:pPr>
              <w:pStyle w:val="Normal"/>
              <w:widowControl w:val="false"/>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 xml:space="preserve">Склады </w:t>
            </w:r>
          </w:p>
        </w:tc>
        <w:tc>
          <w:tcPr>
            <w:tcW w:w="2770" w:type="dxa"/>
            <w:tcBorders>
              <w:top w:val="single" w:sz="4" w:space="0" w:color="000001"/>
              <w:left w:val="single" w:sz="4" w:space="0" w:color="000001"/>
              <w:bottom w:val="single" w:sz="4" w:space="0" w:color="000001"/>
              <w:insideH w:val="single" w:sz="4" w:space="0" w:color="000001"/>
            </w:tcBorders>
            <w:shd w:fill="EEECE1" w:val="clear"/>
            <w:tcMar>
              <w:left w:w="45" w:type="dxa"/>
            </w:tcMar>
            <w:vAlign w:val="center"/>
          </w:tcPr>
          <w:p>
            <w:pPr>
              <w:pStyle w:val="Normal"/>
              <w:widowControl w:val="false"/>
              <w:suppressAutoHyphens w:val="true"/>
              <w:snapToGrid w:val="false"/>
              <w:spacing w:lineRule="auto" w:line="240" w:before="0" w:after="0"/>
              <w:ind w:left="174" w:right="97" w:hanging="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Вместимость складов, т</w:t>
            </w:r>
          </w:p>
        </w:tc>
        <w:tc>
          <w:tcPr>
            <w:tcW w:w="284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45" w:type="dxa"/>
            </w:tcMar>
            <w:vAlign w:val="center"/>
          </w:tcPr>
          <w:p>
            <w:pPr>
              <w:pStyle w:val="Normal"/>
              <w:widowControl w:val="false"/>
              <w:suppressAutoHyphens w:val="true"/>
              <w:snapToGrid w:val="false"/>
              <w:spacing w:lineRule="auto" w:line="240" w:before="0" w:after="0"/>
              <w:ind w:left="174" w:right="97" w:hanging="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 xml:space="preserve">Размеры земельных участков, кв. м. </w:t>
            </w:r>
          </w:p>
        </w:tc>
      </w:tr>
      <w:tr>
        <w:trPr>
          <w:trHeight w:val="1365" w:hRule="atLeast"/>
        </w:trPr>
        <w:tc>
          <w:tcPr>
            <w:tcW w:w="4175" w:type="dxa"/>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ind w:left="96" w:right="96"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Холодильники распределительные (для хранения мяса и мясных продуктов, рыбы и рыбопродуктов, масла, животного жира, молочных продуктов и яиц)</w:t>
            </w:r>
          </w:p>
        </w:tc>
        <w:tc>
          <w:tcPr>
            <w:tcW w:w="2770" w:type="dxa"/>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w:t>
            </w:r>
          </w:p>
        </w:tc>
        <w:tc>
          <w:tcPr>
            <w:tcW w:w="284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25</w:t>
            </w:r>
          </w:p>
        </w:tc>
      </w:tr>
      <w:tr>
        <w:trPr>
          <w:trHeight w:val="312" w:hRule="atLeast"/>
        </w:trPr>
        <w:tc>
          <w:tcPr>
            <w:tcW w:w="4175" w:type="dxa"/>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ind w:left="96" w:right="96"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Фруктохранилища</w:t>
            </w:r>
          </w:p>
        </w:tc>
        <w:tc>
          <w:tcPr>
            <w:tcW w:w="2770" w:type="dxa"/>
            <w:vMerge w:val="restart"/>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90</w:t>
            </w:r>
          </w:p>
        </w:tc>
        <w:tc>
          <w:tcPr>
            <w:tcW w:w="2846" w:type="dxa"/>
            <w:vMerge w:val="restart"/>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380</w:t>
            </w:r>
          </w:p>
        </w:tc>
      </w:tr>
      <w:tr>
        <w:trPr>
          <w:trHeight w:val="277" w:hRule="exact"/>
        </w:trPr>
        <w:tc>
          <w:tcPr>
            <w:tcW w:w="4175" w:type="dxa"/>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Овощехранилища </w:t>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2770" w:type="dxa"/>
            <w:vMerge w:val="continue"/>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2846" w:type="dxa"/>
            <w:vMerge w:val="continue"/>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45"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rHeight w:val="312" w:hRule="exact"/>
        </w:trPr>
        <w:tc>
          <w:tcPr>
            <w:tcW w:w="4175" w:type="dxa"/>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Картофелехранилища</w:t>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2770" w:type="dxa"/>
            <w:vMerge w:val="continue"/>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2846" w:type="dxa"/>
            <w:vMerge w:val="continue"/>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45"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bl>
    <w:p>
      <w:pPr>
        <w:pStyle w:val="ConsPlusNormal1"/>
        <w:ind w:left="0" w:right="0" w:firstLine="567"/>
        <w:rPr>
          <w:rFonts w:cs="Arial"/>
          <w:iCs/>
          <w:color w:val="000000"/>
          <w:sz w:val="24"/>
          <w:szCs w:val="24"/>
        </w:rPr>
      </w:pPr>
      <w:r>
        <w:rPr>
          <w:rFonts w:cs="Arial"/>
          <w:iCs/>
          <w:color w:val="000000"/>
          <w:sz w:val="24"/>
          <w:szCs w:val="24"/>
        </w:rPr>
      </w:r>
    </w:p>
    <w:p>
      <w:pPr>
        <w:pStyle w:val="5551"/>
        <w:rPr/>
      </w:pPr>
      <w:r>
        <w:rPr>
          <w:rFonts w:cs="Arial" w:ascii="Arial" w:hAnsi="Arial"/>
        </w:rPr>
        <w:t xml:space="preserve">7.2.4. </w:t>
      </w:r>
      <w:r>
        <w:rPr>
          <w:rFonts w:cs="Arial" w:ascii="Arial" w:hAnsi="Arial"/>
          <w:lang w:eastAsia="ar-SA"/>
        </w:rPr>
        <w:t>В районах выращивания и заготовок картофеля, овощей и фруктов вместимость складов и соответственно размеры площади земельных участков принимаются с коэффициентом 0,6.</w:t>
      </w:r>
    </w:p>
    <w:p>
      <w:pPr>
        <w:pStyle w:val="5551"/>
        <w:rPr>
          <w:rFonts w:ascii="Arial" w:hAnsi="Arial" w:cs="Arial"/>
          <w:lang w:eastAsia="ar-SA"/>
        </w:rPr>
      </w:pPr>
      <w:r>
        <w:rPr>
          <w:rFonts w:cs="Arial" w:ascii="Arial" w:hAnsi="Arial"/>
          <w:lang w:eastAsia="ar-SA"/>
        </w:rPr>
        <w:t>Размеры земельных участков для складов строительных материалов (потребительские) и твердого топлива принимаются 300 кв. м на 1000 чел.</w:t>
      </w:r>
    </w:p>
    <w:p>
      <w:pPr>
        <w:pStyle w:val="5551"/>
        <w:rPr>
          <w:rFonts w:ascii="Arial" w:hAnsi="Arial" w:cs="Arial"/>
        </w:rPr>
      </w:pPr>
      <w:r>
        <w:rPr>
          <w:rFonts w:cs="Arial" w:ascii="Arial" w:hAnsi="Arial"/>
        </w:rPr>
        <w:t>7.2.5. Размеры санитарно-защитных зон для картофеле-, овоще-, и фруктохранилищ следует принимать 50 м.</w:t>
      </w:r>
    </w:p>
    <w:p>
      <w:pPr>
        <w:pStyle w:val="5551"/>
        <w:rPr/>
      </w:pPr>
      <w:bookmarkStart w:id="21" w:name="__RefHeading___Toc494193917"/>
      <w:r>
        <w:rPr>
          <w:rStyle w:val="55555"/>
          <w:rFonts w:eastAsia="Calibri" w:cs="Arial" w:ascii="Arial" w:hAnsi="Arial"/>
        </w:rPr>
        <w:t>7.2.6. Рекомендуемые минимальные расчётные показатели складов строительных материалов и твердого топлива на 1 тыс. чел.</w:t>
      </w:r>
      <w:bookmarkEnd w:id="21"/>
      <w:r>
        <w:rPr>
          <w:rFonts w:cs="Arial" w:ascii="Arial" w:hAnsi="Arial"/>
          <w:kern w:val="2"/>
          <w:lang w:eastAsia="hi-IN" w:bidi="hi-IN"/>
        </w:rPr>
        <w:t>, приведены в  таблице 7.3.</w:t>
      </w:r>
    </w:p>
    <w:p>
      <w:pPr>
        <w:pStyle w:val="Normal"/>
        <w:spacing w:lineRule="auto" w:line="240" w:before="0" w:after="0"/>
        <w:ind w:left="0" w:right="0" w:firstLine="708"/>
        <w:jc w:val="right"/>
        <w:rPr>
          <w:rFonts w:ascii="Arial" w:hAnsi="Arial" w:cs="Arial"/>
          <w:sz w:val="24"/>
          <w:szCs w:val="24"/>
        </w:rPr>
      </w:pPr>
      <w:r>
        <w:rPr>
          <w:rFonts w:cs="Arial" w:ascii="Arial" w:hAnsi="Arial"/>
          <w:sz w:val="24"/>
          <w:szCs w:val="24"/>
        </w:rPr>
        <w:t>Таблица 7.3</w:t>
      </w:r>
    </w:p>
    <w:tbl>
      <w:tblPr>
        <w:tblW w:w="9976" w:type="dxa"/>
        <w:jc w:val="left"/>
        <w:tblInd w:w="40" w:type="dxa"/>
        <w:tblBorders>
          <w:top w:val="single" w:sz="4" w:space="0" w:color="000001"/>
          <w:left w:val="single" w:sz="4" w:space="0" w:color="000001"/>
          <w:bottom w:val="single" w:sz="4" w:space="0" w:color="000001"/>
          <w:insideH w:val="single" w:sz="4" w:space="0" w:color="000001"/>
        </w:tblBorders>
        <w:tblCellMar>
          <w:top w:w="0" w:type="dxa"/>
          <w:left w:w="45" w:type="dxa"/>
          <w:bottom w:w="0" w:type="dxa"/>
          <w:right w:w="45" w:type="dxa"/>
        </w:tblCellMar>
      </w:tblPr>
      <w:tblGrid>
        <w:gridCol w:w="5954"/>
        <w:gridCol w:w="4022"/>
      </w:tblGrid>
      <w:tr>
        <w:trPr>
          <w:trHeight w:val="967" w:hRule="atLeast"/>
        </w:trPr>
        <w:tc>
          <w:tcPr>
            <w:tcW w:w="5954" w:type="dxa"/>
            <w:tcBorders>
              <w:top w:val="single" w:sz="4" w:space="0" w:color="000001"/>
              <w:left w:val="single" w:sz="4" w:space="0" w:color="000001"/>
              <w:bottom w:val="single" w:sz="4" w:space="0" w:color="000001"/>
              <w:insideH w:val="single" w:sz="4" w:space="0" w:color="000001"/>
            </w:tcBorders>
            <w:shd w:fill="EEECE1" w:val="clear"/>
            <w:tcMar>
              <w:left w:w="45" w:type="dxa"/>
            </w:tcMar>
            <w:vAlign w:val="center"/>
          </w:tcPr>
          <w:p>
            <w:pPr>
              <w:pStyle w:val="Normal"/>
              <w:widowControl w:val="false"/>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 xml:space="preserve">Склады </w:t>
            </w:r>
          </w:p>
        </w:tc>
        <w:tc>
          <w:tcPr>
            <w:tcW w:w="402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45" w:type="dxa"/>
            </w:tcMar>
            <w:vAlign w:val="center"/>
          </w:tcPr>
          <w:p>
            <w:pPr>
              <w:pStyle w:val="Normal"/>
              <w:widowControl w:val="false"/>
              <w:suppressAutoHyphens w:val="true"/>
              <w:snapToGrid w:val="false"/>
              <w:spacing w:lineRule="auto" w:line="240" w:before="0" w:after="0"/>
              <w:ind w:left="174" w:right="97" w:hanging="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 xml:space="preserve">Размеры земельных участков, кв. м. </w:t>
            </w:r>
          </w:p>
        </w:tc>
      </w:tr>
      <w:tr>
        <w:trPr>
          <w:trHeight w:val="567" w:hRule="exact"/>
        </w:trPr>
        <w:tc>
          <w:tcPr>
            <w:tcW w:w="5954" w:type="dxa"/>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ind w:left="96" w:right="96"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Склады строительных материалов (потребительские)</w:t>
            </w:r>
          </w:p>
        </w:tc>
        <w:tc>
          <w:tcPr>
            <w:tcW w:w="402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300</w:t>
            </w:r>
          </w:p>
        </w:tc>
      </w:tr>
      <w:tr>
        <w:trPr>
          <w:trHeight w:val="312" w:hRule="atLeast"/>
        </w:trPr>
        <w:tc>
          <w:tcPr>
            <w:tcW w:w="5954" w:type="dxa"/>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ind w:left="96" w:right="96"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Склады твердого топлива с преимущественным использованием:</w:t>
            </w:r>
          </w:p>
        </w:tc>
        <w:tc>
          <w:tcPr>
            <w:tcW w:w="402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rHeight w:val="277" w:hRule="exact"/>
        </w:trPr>
        <w:tc>
          <w:tcPr>
            <w:tcW w:w="5954" w:type="dxa"/>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Угля</w:t>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402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45"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300</w:t>
            </w:r>
          </w:p>
        </w:tc>
      </w:tr>
      <w:tr>
        <w:trPr>
          <w:trHeight w:val="312" w:hRule="exact"/>
        </w:trPr>
        <w:tc>
          <w:tcPr>
            <w:tcW w:w="5954" w:type="dxa"/>
            <w:tcBorders>
              <w:top w:val="single" w:sz="4" w:space="0" w:color="000001"/>
              <w:left w:val="single" w:sz="4" w:space="0" w:color="000001"/>
              <w:bottom w:val="single" w:sz="4" w:space="0" w:color="000001"/>
              <w:insideH w:val="single" w:sz="4" w:space="0" w:color="000001"/>
            </w:tcBorders>
            <w:shd w:fill="auto" w:val="clear"/>
            <w:tcMar>
              <w:left w:w="45" w:type="dxa"/>
            </w:tcMar>
            <w:vAlign w:val="center"/>
          </w:tcPr>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Дров</w:t>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napToGrid w:val="false"/>
              <w:spacing w:lineRule="auto" w:line="240" w:before="0" w:after="0"/>
              <w:ind w:left="97" w:right="97"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402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45"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300</w:t>
            </w:r>
          </w:p>
        </w:tc>
      </w:tr>
    </w:tbl>
    <w:p>
      <w:pPr>
        <w:pStyle w:val="Normal"/>
        <w:widowControl w:val="false"/>
        <w:tabs>
          <w:tab w:val="left" w:pos="426" w:leader="none"/>
        </w:tabs>
        <w:suppressAutoHyphens w:val="true"/>
        <w:spacing w:lineRule="auto" w:line="240" w:before="0" w:after="0"/>
        <w:ind w:left="0" w:right="0" w:firstLine="426"/>
        <w:jc w:val="both"/>
        <w:rPr>
          <w:rFonts w:ascii="Arial" w:hAnsi="Arial" w:eastAsia="SimSun" w:cs="Arial"/>
          <w:color w:val="000000"/>
          <w:kern w:val="2"/>
          <w:sz w:val="24"/>
          <w:szCs w:val="24"/>
          <w:lang w:eastAsia="hi-IN" w:bidi="hi-IN"/>
        </w:rPr>
      </w:pPr>
      <w:r>
        <w:rPr>
          <w:rFonts w:eastAsia="SimSun" w:cs="Arial" w:ascii="Arial" w:hAnsi="Arial"/>
          <w:color w:val="000000"/>
          <w:kern w:val="2"/>
          <w:sz w:val="24"/>
          <w:szCs w:val="24"/>
          <w:lang w:eastAsia="hi-IN" w:bidi="hi-IN"/>
        </w:rPr>
      </w:r>
    </w:p>
    <w:p>
      <w:pPr>
        <w:pStyle w:val="5551"/>
        <w:rPr/>
      </w:pPr>
      <w:bookmarkStart w:id="22" w:name="__RefHeading___Toc494193918"/>
      <w:r>
        <w:rPr>
          <w:rStyle w:val="55555"/>
          <w:rFonts w:eastAsia="Calibri" w:cs="Arial" w:ascii="Arial" w:hAnsi="Arial"/>
        </w:rPr>
        <w:t>7.3. Расчетные показатели максимально допустимого уровня территориальной доступности объектов коммунально-складской зоны</w:t>
      </w:r>
      <w:bookmarkEnd w:id="22"/>
      <w:r>
        <w:rPr>
          <w:rFonts w:cs="Arial" w:ascii="Arial" w:hAnsi="Arial"/>
        </w:rPr>
        <w:t>.</w:t>
      </w:r>
    </w:p>
    <w:p>
      <w:pPr>
        <w:pStyle w:val="ConsPlusNormal1"/>
        <w:ind w:left="0" w:right="0" w:firstLine="567"/>
        <w:rPr>
          <w:rFonts w:cs="Arial"/>
          <w:iCs/>
          <w:color w:val="000000"/>
          <w:sz w:val="24"/>
          <w:szCs w:val="24"/>
        </w:rPr>
      </w:pPr>
      <w:r>
        <w:rPr>
          <w:rFonts w:cs="Arial"/>
          <w:iCs/>
          <w:color w:val="000000"/>
          <w:sz w:val="24"/>
          <w:szCs w:val="24"/>
        </w:rPr>
        <w:t>Не устанавливается.</w:t>
      </w:r>
    </w:p>
    <w:p>
      <w:pPr>
        <w:pStyle w:val="NoSpacing"/>
        <w:numPr>
          <w:ilvl w:val="0"/>
          <w:numId w:val="0"/>
        </w:numPr>
        <w:ind w:left="0" w:hanging="0"/>
        <w:rPr>
          <w:rFonts w:ascii="Arial" w:hAnsi="Arial" w:cs="Arial"/>
          <w:b/>
          <w:b/>
          <w:i/>
          <w:i/>
          <w:sz w:val="24"/>
          <w:szCs w:val="24"/>
        </w:rPr>
      </w:pPr>
      <w:r>
        <w:rPr>
          <w:rFonts w:cs="Arial" w:ascii="Arial" w:hAnsi="Arial"/>
          <w:b/>
          <w:i/>
          <w:sz w:val="24"/>
          <w:szCs w:val="24"/>
        </w:rPr>
      </w:r>
    </w:p>
    <w:p>
      <w:pPr>
        <w:pStyle w:val="Style117"/>
        <w:rPr>
          <w:rFonts w:ascii="Arial" w:hAnsi="Arial" w:cs="Arial"/>
        </w:rPr>
      </w:pPr>
      <w:bookmarkStart w:id="23" w:name="__RefHeading___Toc494193919"/>
      <w:bookmarkEnd w:id="23"/>
      <w:r>
        <w:rPr>
          <w:rFonts w:cs="Arial" w:ascii="Arial" w:hAnsi="Arial"/>
        </w:rPr>
        <w:t>8. Расчетные показатели зоны транспортной инфраструктуры</w:t>
      </w:r>
    </w:p>
    <w:p>
      <w:pPr>
        <w:pStyle w:val="NoSpacing"/>
        <w:ind w:left="0" w:right="0" w:firstLine="708"/>
        <w:jc w:val="both"/>
        <w:rPr>
          <w:rFonts w:ascii="Arial" w:hAnsi="Arial" w:cs="Arial"/>
          <w:sz w:val="24"/>
          <w:szCs w:val="24"/>
        </w:rPr>
      </w:pPr>
      <w:r>
        <w:rPr>
          <w:rFonts w:cs="Arial" w:ascii="Arial" w:hAnsi="Arial"/>
          <w:sz w:val="24"/>
          <w:szCs w:val="24"/>
        </w:rPr>
      </w:r>
    </w:p>
    <w:p>
      <w:pPr>
        <w:pStyle w:val="5551"/>
        <w:rPr/>
      </w:pPr>
      <w:r>
        <w:rPr>
          <w:rFonts w:cs="Arial" w:ascii="Arial" w:hAnsi="Arial"/>
        </w:rPr>
        <w:t xml:space="preserve">8.1. </w:t>
      </w:r>
      <w:r>
        <w:rPr>
          <w:rFonts w:cs="Arial" w:ascii="Arial" w:hAnsi="Arial"/>
          <w:lang w:eastAsia="ru-RU"/>
        </w:rPr>
        <w:t xml:space="preserve">Улично-дорожную сеть населенных пунктов следует проектировать в виде непрерывной системы с учетом функционального назначения улиц и дорог, интенсивности транспортного, велосипедного и пешеходного движения, архитектурно-планировочной организации территории и характера застройки. В составе улично-дорожной сети следует выделять улицы и дороги магистрального и местного значения, а также главные улицы в соответствии с классификацией, приведенной в таблице 13 части 2 настоящих нормативов. </w:t>
      </w:r>
    </w:p>
    <w:p>
      <w:pPr>
        <w:pStyle w:val="5551"/>
        <w:rPr/>
      </w:pPr>
      <w:bookmarkStart w:id="24" w:name="__RefHeading___Toc494193920"/>
      <w:r>
        <w:rPr>
          <w:rStyle w:val="55555"/>
          <w:rFonts w:eastAsia="Calibri" w:cs="Arial" w:ascii="Arial" w:hAnsi="Arial"/>
        </w:rPr>
        <w:t>8.2. Основные расчетные параметры уличной сети Кушнурского   сельсовета</w:t>
      </w:r>
      <w:bookmarkEnd w:id="24"/>
      <w:r>
        <w:rPr>
          <w:rFonts w:cs="Arial" w:ascii="Arial" w:hAnsi="Arial"/>
          <w:lang w:eastAsia="ru-RU"/>
        </w:rPr>
        <w:t xml:space="preserve"> следует устанавливать в соответствии с таблицей 8.1.</w:t>
      </w:r>
    </w:p>
    <w:p>
      <w:pPr>
        <w:pStyle w:val="Normal"/>
        <w:spacing w:lineRule="auto" w:line="240" w:before="0" w:after="0"/>
        <w:ind w:left="0" w:right="0" w:firstLine="708"/>
        <w:jc w:val="right"/>
        <w:rPr>
          <w:rFonts w:ascii="Arial" w:hAnsi="Arial" w:cs="Arial"/>
          <w:sz w:val="24"/>
          <w:szCs w:val="24"/>
        </w:rPr>
      </w:pPr>
      <w:r>
        <w:rPr>
          <w:rFonts w:cs="Arial" w:ascii="Arial" w:hAnsi="Arial"/>
          <w:sz w:val="24"/>
          <w:szCs w:val="24"/>
        </w:rPr>
        <w:t>Таблица 8.1.</w:t>
      </w:r>
    </w:p>
    <w:tbl>
      <w:tblPr>
        <w:tblW w:w="10261" w:type="dxa"/>
        <w:jc w:val="left"/>
        <w:tblInd w:w="-150" w:type="dxa"/>
        <w:tblBorders>
          <w:top w:val="single" w:sz="4" w:space="0" w:color="000001"/>
          <w:left w:val="single" w:sz="4" w:space="0" w:color="000001"/>
          <w:bottom w:val="single" w:sz="4" w:space="0" w:color="000001"/>
          <w:insideH w:val="single" w:sz="4" w:space="0" w:color="000001"/>
        </w:tblBorders>
        <w:tblCellMar>
          <w:top w:w="0" w:type="dxa"/>
          <w:left w:w="35" w:type="dxa"/>
          <w:bottom w:w="0" w:type="dxa"/>
          <w:right w:w="40" w:type="dxa"/>
        </w:tblCellMar>
      </w:tblPr>
      <w:tblGrid>
        <w:gridCol w:w="5287"/>
        <w:gridCol w:w="1418"/>
        <w:gridCol w:w="1133"/>
        <w:gridCol w:w="993"/>
        <w:gridCol w:w="1430"/>
      </w:tblGrid>
      <w:tr>
        <w:trPr>
          <w:trHeight w:val="1152" w:hRule="atLeast"/>
          <w:cantSplit w:val="true"/>
        </w:trPr>
        <w:tc>
          <w:tcPr>
            <w:tcW w:w="5287" w:type="dxa"/>
            <w:tcBorders>
              <w:top w:val="single" w:sz="4" w:space="0" w:color="000001"/>
              <w:left w:val="single" w:sz="4" w:space="0" w:color="000001"/>
              <w:bottom w:val="single" w:sz="4" w:space="0" w:color="000001"/>
              <w:insideH w:val="single" w:sz="4" w:space="0" w:color="000001"/>
            </w:tcBorders>
            <w:shd w:fill="EEECE1" w:val="clear"/>
            <w:tcMar>
              <w:left w:w="35" w:type="dxa"/>
            </w:tcMar>
            <w:vAlign w:val="center"/>
          </w:tcPr>
          <w:p>
            <w:pPr>
              <w:pStyle w:val="Normal"/>
              <w:snapToGrid w:val="false"/>
              <w:spacing w:before="0" w:after="0"/>
              <w:jc w:val="center"/>
              <w:rPr>
                <w:rFonts w:ascii="Arial" w:hAnsi="Arial" w:cs="Arial"/>
                <w:b/>
                <w:b/>
                <w:sz w:val="24"/>
                <w:szCs w:val="24"/>
              </w:rPr>
            </w:pPr>
            <w:r>
              <w:rPr>
                <w:rFonts w:cs="Arial" w:ascii="Arial" w:hAnsi="Arial"/>
                <w:b/>
                <w:sz w:val="24"/>
                <w:szCs w:val="24"/>
              </w:rPr>
              <w:t>Категория сельских улиц и дорог</w:t>
            </w:r>
          </w:p>
        </w:tc>
        <w:tc>
          <w:tcPr>
            <w:tcW w:w="1418" w:type="dxa"/>
            <w:tcBorders>
              <w:top w:val="single" w:sz="4" w:space="0" w:color="000001"/>
              <w:left w:val="single" w:sz="4" w:space="0" w:color="000001"/>
              <w:bottom w:val="single" w:sz="4" w:space="0" w:color="000001"/>
              <w:insideH w:val="single" w:sz="4" w:space="0" w:color="000001"/>
            </w:tcBorders>
            <w:shd w:fill="EEECE1" w:val="clear"/>
            <w:tcMar>
              <w:left w:w="35" w:type="dxa"/>
            </w:tcMar>
            <w:vAlign w:val="cente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Расчетная скорость движения, км/ч</w:t>
            </w:r>
          </w:p>
        </w:tc>
        <w:tc>
          <w:tcPr>
            <w:tcW w:w="1133" w:type="dxa"/>
            <w:tcBorders>
              <w:top w:val="single" w:sz="4" w:space="0" w:color="000001"/>
              <w:left w:val="single" w:sz="4" w:space="0" w:color="000001"/>
              <w:bottom w:val="single" w:sz="4" w:space="0" w:color="000001"/>
              <w:insideH w:val="single" w:sz="4" w:space="0" w:color="000001"/>
            </w:tcBorders>
            <w:shd w:fill="EEECE1" w:val="clear"/>
            <w:tcMar>
              <w:left w:w="35" w:type="dxa"/>
            </w:tcMar>
            <w:vAlign w:val="cente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Ширина полосы движения, м</w:t>
            </w:r>
          </w:p>
        </w:tc>
        <w:tc>
          <w:tcPr>
            <w:tcW w:w="993" w:type="dxa"/>
            <w:tcBorders>
              <w:top w:val="single" w:sz="4" w:space="0" w:color="000001"/>
              <w:left w:val="single" w:sz="4" w:space="0" w:color="000001"/>
              <w:bottom w:val="single" w:sz="4" w:space="0" w:color="000001"/>
              <w:insideH w:val="single" w:sz="4" w:space="0" w:color="000001"/>
            </w:tcBorders>
            <w:shd w:fill="EEECE1" w:val="clear"/>
            <w:tcMar>
              <w:left w:w="35" w:type="dxa"/>
            </w:tcMar>
            <w:vAlign w:val="cente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Число полос движения</w:t>
            </w:r>
          </w:p>
        </w:tc>
        <w:tc>
          <w:tcPr>
            <w:tcW w:w="143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35" w:type="dxa"/>
            </w:tcMar>
            <w:vAlign w:val="cente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Ширина пешеходной части тротуара, м</w:t>
            </w:r>
          </w:p>
        </w:tc>
      </w:tr>
      <w:tr>
        <w:trPr>
          <w:trHeight w:val="563" w:hRule="atLeast"/>
        </w:trPr>
        <w:tc>
          <w:tcPr>
            <w:tcW w:w="5287"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rPr>
                <w:rFonts w:ascii="Arial" w:hAnsi="Arial" w:cs="Arial"/>
                <w:sz w:val="24"/>
                <w:szCs w:val="24"/>
              </w:rPr>
            </w:pPr>
            <w:r>
              <w:rPr>
                <w:rFonts w:cs="Arial" w:ascii="Arial" w:hAnsi="Arial"/>
                <w:sz w:val="24"/>
                <w:szCs w:val="24"/>
              </w:rPr>
              <w:t>Поселковая дорога (ДПос)</w:t>
            </w:r>
          </w:p>
        </w:tc>
        <w:tc>
          <w:tcPr>
            <w:tcW w:w="1418"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60</w:t>
            </w:r>
          </w:p>
        </w:tc>
        <w:tc>
          <w:tcPr>
            <w:tcW w:w="113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3,5</w:t>
            </w:r>
          </w:p>
        </w:tc>
        <w:tc>
          <w:tcPr>
            <w:tcW w:w="99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2</w:t>
            </w:r>
          </w:p>
        </w:tc>
        <w:tc>
          <w:tcPr>
            <w:tcW w:w="143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noBreakHyphen/>
            </w:r>
          </w:p>
        </w:tc>
      </w:tr>
      <w:tr>
        <w:trPr>
          <w:trHeight w:val="563" w:hRule="atLeast"/>
        </w:trPr>
        <w:tc>
          <w:tcPr>
            <w:tcW w:w="5287"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rPr>
                <w:rFonts w:ascii="Arial" w:hAnsi="Arial" w:cs="Arial"/>
                <w:sz w:val="24"/>
                <w:szCs w:val="24"/>
              </w:rPr>
            </w:pPr>
            <w:r>
              <w:rPr>
                <w:rFonts w:cs="Arial" w:ascii="Arial" w:hAnsi="Arial"/>
                <w:sz w:val="24"/>
                <w:szCs w:val="24"/>
              </w:rPr>
              <w:t>Главная улица (Угл)</w:t>
            </w:r>
          </w:p>
        </w:tc>
        <w:tc>
          <w:tcPr>
            <w:tcW w:w="1418"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40</w:t>
            </w:r>
          </w:p>
        </w:tc>
        <w:tc>
          <w:tcPr>
            <w:tcW w:w="113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3,5</w:t>
            </w:r>
          </w:p>
        </w:tc>
        <w:tc>
          <w:tcPr>
            <w:tcW w:w="99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2-3</w:t>
            </w:r>
          </w:p>
        </w:tc>
        <w:tc>
          <w:tcPr>
            <w:tcW w:w="143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1,5-2,25</w:t>
            </w:r>
          </w:p>
        </w:tc>
      </w:tr>
      <w:tr>
        <w:trPr>
          <w:trHeight w:val="563" w:hRule="atLeast"/>
        </w:trPr>
        <w:tc>
          <w:tcPr>
            <w:tcW w:w="5287"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Улицы в жилой застройке:</w:t>
            </w:r>
          </w:p>
        </w:tc>
        <w:tc>
          <w:tcPr>
            <w:tcW w:w="4974" w:type="dxa"/>
            <w:gridSpan w:val="4"/>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r>
          </w:p>
        </w:tc>
      </w:tr>
      <w:tr>
        <w:trPr>
          <w:trHeight w:val="563" w:hRule="atLeast"/>
        </w:trPr>
        <w:tc>
          <w:tcPr>
            <w:tcW w:w="5287"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rPr>
                <w:rFonts w:ascii="Arial" w:hAnsi="Arial" w:cs="Arial"/>
                <w:sz w:val="24"/>
                <w:szCs w:val="24"/>
              </w:rPr>
            </w:pPr>
            <w:r>
              <w:rPr>
                <w:rFonts w:cs="Arial" w:ascii="Arial" w:hAnsi="Arial"/>
                <w:sz w:val="24"/>
                <w:szCs w:val="24"/>
              </w:rPr>
              <w:t>Основная (УЖо)</w:t>
            </w:r>
          </w:p>
        </w:tc>
        <w:tc>
          <w:tcPr>
            <w:tcW w:w="1418"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40</w:t>
            </w:r>
          </w:p>
        </w:tc>
        <w:tc>
          <w:tcPr>
            <w:tcW w:w="113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3,0</w:t>
            </w:r>
          </w:p>
        </w:tc>
        <w:tc>
          <w:tcPr>
            <w:tcW w:w="99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2</w:t>
            </w:r>
          </w:p>
        </w:tc>
        <w:tc>
          <w:tcPr>
            <w:tcW w:w="143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1,0-1,5</w:t>
            </w:r>
          </w:p>
        </w:tc>
      </w:tr>
      <w:tr>
        <w:trPr>
          <w:trHeight w:val="563" w:hRule="atLeast"/>
        </w:trPr>
        <w:tc>
          <w:tcPr>
            <w:tcW w:w="5287"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tabs>
                <w:tab w:val="left" w:pos="140" w:leader="none"/>
                <w:tab w:val="left" w:pos="320" w:leader="none"/>
              </w:tabs>
              <w:snapToGrid w:val="false"/>
              <w:spacing w:lineRule="auto" w:line="240" w:before="0" w:after="0"/>
              <w:rPr>
                <w:rFonts w:ascii="Arial" w:hAnsi="Arial" w:cs="Arial"/>
                <w:sz w:val="24"/>
                <w:szCs w:val="24"/>
              </w:rPr>
            </w:pPr>
            <w:r>
              <w:rPr>
                <w:rFonts w:cs="Arial" w:ascii="Arial" w:hAnsi="Arial"/>
                <w:sz w:val="24"/>
                <w:szCs w:val="24"/>
              </w:rPr>
              <w:t>второстепенная (переулок) (УЖв)</w:t>
            </w:r>
          </w:p>
        </w:tc>
        <w:tc>
          <w:tcPr>
            <w:tcW w:w="1418"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30</w:t>
            </w:r>
          </w:p>
        </w:tc>
        <w:tc>
          <w:tcPr>
            <w:tcW w:w="113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2,75</w:t>
            </w:r>
          </w:p>
        </w:tc>
        <w:tc>
          <w:tcPr>
            <w:tcW w:w="99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2</w:t>
            </w:r>
          </w:p>
        </w:tc>
        <w:tc>
          <w:tcPr>
            <w:tcW w:w="143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1,0</w:t>
            </w:r>
          </w:p>
        </w:tc>
      </w:tr>
      <w:tr>
        <w:trPr>
          <w:trHeight w:val="563" w:hRule="atLeast"/>
        </w:trPr>
        <w:tc>
          <w:tcPr>
            <w:tcW w:w="5287"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rPr>
                <w:rFonts w:ascii="Arial" w:hAnsi="Arial" w:cs="Arial"/>
                <w:sz w:val="24"/>
                <w:szCs w:val="24"/>
              </w:rPr>
            </w:pPr>
            <w:r>
              <w:rPr>
                <w:rFonts w:cs="Arial" w:ascii="Arial" w:hAnsi="Arial"/>
                <w:sz w:val="24"/>
                <w:szCs w:val="24"/>
              </w:rPr>
              <w:t>Проезд (Пр)</w:t>
            </w:r>
          </w:p>
        </w:tc>
        <w:tc>
          <w:tcPr>
            <w:tcW w:w="1418"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20</w:t>
            </w:r>
          </w:p>
        </w:tc>
        <w:tc>
          <w:tcPr>
            <w:tcW w:w="113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2,75-3,0</w:t>
            </w:r>
          </w:p>
        </w:tc>
        <w:tc>
          <w:tcPr>
            <w:tcW w:w="99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1</w:t>
            </w:r>
          </w:p>
        </w:tc>
        <w:tc>
          <w:tcPr>
            <w:tcW w:w="143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0-1,0</w:t>
            </w:r>
          </w:p>
        </w:tc>
      </w:tr>
      <w:tr>
        <w:trPr>
          <w:trHeight w:val="563" w:hRule="atLeast"/>
        </w:trPr>
        <w:tc>
          <w:tcPr>
            <w:tcW w:w="5287"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rPr>
                <w:rFonts w:ascii="Arial" w:hAnsi="Arial" w:cs="Arial"/>
                <w:sz w:val="24"/>
                <w:szCs w:val="24"/>
              </w:rPr>
            </w:pPr>
            <w:r>
              <w:rPr>
                <w:rFonts w:cs="Arial" w:ascii="Arial" w:hAnsi="Arial"/>
                <w:sz w:val="24"/>
                <w:szCs w:val="24"/>
              </w:rPr>
              <w:t>Хозяйственный проезд, скотопрогон (Прх)</w:t>
            </w:r>
          </w:p>
        </w:tc>
        <w:tc>
          <w:tcPr>
            <w:tcW w:w="1418"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30</w:t>
            </w:r>
          </w:p>
        </w:tc>
        <w:tc>
          <w:tcPr>
            <w:tcW w:w="113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4,5</w:t>
            </w:r>
          </w:p>
        </w:tc>
        <w:tc>
          <w:tcPr>
            <w:tcW w:w="993" w:type="dxa"/>
            <w:tcBorders>
              <w:top w:val="single" w:sz="4" w:space="0" w:color="000001"/>
              <w:left w:val="single" w:sz="4" w:space="0" w:color="000001"/>
              <w:bottom w:val="single" w:sz="4" w:space="0" w:color="000001"/>
              <w:insideH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1</w:t>
            </w:r>
          </w:p>
        </w:tc>
        <w:tc>
          <w:tcPr>
            <w:tcW w:w="143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35"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noBreakHyphen/>
            </w:r>
          </w:p>
        </w:tc>
      </w:tr>
    </w:tbl>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t>Примечания: 1. На однополосных проездах необходимо предусматривать разъездные площадки шириной 6 м и длиной 15 м на расстоянии не более 75 м  между ними.</w:t>
      </w:r>
    </w:p>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t>2. При непосредственном примыкании тротуаров к стенам зданий, подпорным стенкам или оградам следует увеличивать их ширину не менее чем на 0,5 м.</w:t>
      </w:r>
    </w:p>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t>3. В пределах фасадов зданий, имеющих входы, ширина проезда составляет 5,5 м.</w:t>
      </w:r>
    </w:p>
    <w:p>
      <w:pPr>
        <w:pStyle w:val="Normal"/>
        <w:spacing w:lineRule="auto" w:line="240" w:before="0" w:after="0"/>
        <w:jc w:val="both"/>
        <w:rPr>
          <w:rFonts w:ascii="Arial" w:hAnsi="Arial" w:cs="Arial"/>
          <w:sz w:val="24"/>
          <w:szCs w:val="24"/>
        </w:rPr>
      </w:pPr>
      <w:r>
        <w:rPr>
          <w:rFonts w:cs="Arial" w:ascii="Arial" w:hAnsi="Arial"/>
          <w:sz w:val="24"/>
          <w:szCs w:val="24"/>
        </w:rPr>
      </w:r>
    </w:p>
    <w:p>
      <w:pPr>
        <w:pStyle w:val="5551"/>
        <w:rPr/>
      </w:pPr>
      <w:r>
        <w:rPr>
          <w:rFonts w:eastAsia="Times New Roman" w:cs="Arial" w:ascii="Arial" w:hAnsi="Arial"/>
          <w:lang w:eastAsia="ru-RU"/>
        </w:rPr>
        <w:t xml:space="preserve">8.3. </w:t>
      </w:r>
      <w:r>
        <w:rPr>
          <w:rFonts w:cs="Arial" w:ascii="Arial" w:hAnsi="Arial"/>
        </w:rPr>
        <w:t>Радиусы закругления бортов проезжей части улиц и дорог по кромке тротуаров и разделительных полос следует принимать не менее приведенных в таблице 8.2</w:t>
      </w:r>
    </w:p>
    <w:p>
      <w:pPr>
        <w:pStyle w:val="Normal"/>
        <w:spacing w:lineRule="auto" w:line="240" w:before="0" w:after="0"/>
        <w:ind w:left="0" w:right="0" w:firstLine="708"/>
        <w:jc w:val="right"/>
        <w:rPr>
          <w:rFonts w:ascii="Arial" w:hAnsi="Arial" w:cs="Arial"/>
          <w:sz w:val="24"/>
          <w:szCs w:val="24"/>
        </w:rPr>
      </w:pPr>
      <w:r>
        <w:rPr>
          <w:rFonts w:cs="Arial" w:ascii="Arial" w:hAnsi="Arial"/>
          <w:sz w:val="24"/>
          <w:szCs w:val="24"/>
        </w:rPr>
        <w:t>Таблица 8.2</w:t>
      </w:r>
    </w:p>
    <w:tbl>
      <w:tblPr>
        <w:tblW w:w="10211" w:type="dxa"/>
        <w:jc w:val="left"/>
        <w:tblInd w:w="82" w:type="dxa"/>
        <w:tblBorders>
          <w:top w:val="single" w:sz="2" w:space="0" w:color="00000A"/>
          <w:left w:val="single" w:sz="2" w:space="0" w:color="00000A"/>
        </w:tblBorders>
        <w:tblCellMar>
          <w:top w:w="0" w:type="dxa"/>
          <w:left w:w="81" w:type="dxa"/>
          <w:bottom w:w="0" w:type="dxa"/>
          <w:right w:w="84" w:type="dxa"/>
        </w:tblCellMar>
      </w:tblPr>
      <w:tblGrid>
        <w:gridCol w:w="5103"/>
        <w:gridCol w:w="2694"/>
        <w:gridCol w:w="2414"/>
      </w:tblGrid>
      <w:tr>
        <w:trPr/>
        <w:tc>
          <w:tcPr>
            <w:tcW w:w="5103" w:type="dxa"/>
            <w:tcBorders>
              <w:top w:val="single" w:sz="2" w:space="0" w:color="00000A"/>
              <w:left w:val="single" w:sz="2" w:space="0" w:color="00000A"/>
            </w:tcBorders>
            <w:shd w:fill="EEECE1" w:val="clear"/>
            <w:tcMar>
              <w:left w:w="81" w:type="dxa"/>
            </w:tcMar>
          </w:tcPr>
          <w:p>
            <w:pPr>
              <w:pStyle w:val="Style115"/>
              <w:jc w:val="center"/>
              <w:rPr>
                <w:rFonts w:ascii="Arial" w:hAnsi="Arial" w:cs="Arial"/>
              </w:rPr>
            </w:pPr>
            <w:r>
              <w:rPr>
                <w:rFonts w:cs="Arial" w:ascii="Arial" w:hAnsi="Arial"/>
              </w:rPr>
              <w:t>Категория улиц</w:t>
            </w:r>
          </w:p>
        </w:tc>
        <w:tc>
          <w:tcPr>
            <w:tcW w:w="5108" w:type="dxa"/>
            <w:gridSpan w:val="2"/>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EEECE1" w:val="clear"/>
            <w:tcMar>
              <w:left w:w="81" w:type="dxa"/>
            </w:tcMar>
          </w:tcPr>
          <w:p>
            <w:pPr>
              <w:pStyle w:val="Style115"/>
              <w:jc w:val="center"/>
              <w:rPr>
                <w:rFonts w:ascii="Arial" w:hAnsi="Arial" w:cs="Arial"/>
              </w:rPr>
            </w:pPr>
            <w:r>
              <w:rPr>
                <w:rFonts w:cs="Arial" w:ascii="Arial" w:hAnsi="Arial"/>
              </w:rPr>
              <w:t>Радиус закругления проезжей части, м</w:t>
            </w:r>
          </w:p>
          <w:p>
            <w:pPr>
              <w:pStyle w:val="Style115"/>
              <w:jc w:val="center"/>
              <w:rPr>
                <w:rFonts w:ascii="Arial" w:hAnsi="Arial" w:cs="Arial"/>
              </w:rPr>
            </w:pPr>
            <w:r>
              <w:rPr>
                <w:rFonts w:cs="Arial" w:ascii="Arial" w:hAnsi="Arial"/>
              </w:rPr>
            </w:r>
          </w:p>
        </w:tc>
      </w:tr>
      <w:tr>
        <w:trPr/>
        <w:tc>
          <w:tcPr>
            <w:tcW w:w="5103" w:type="dxa"/>
            <w:tcBorders>
              <w:left w:val="single" w:sz="2" w:space="0" w:color="00000A"/>
              <w:bottom w:val="single" w:sz="2" w:space="0" w:color="00000A"/>
              <w:insideH w:val="single" w:sz="2" w:space="0" w:color="00000A"/>
            </w:tcBorders>
            <w:shd w:fill="EEECE1" w:val="clear"/>
            <w:tcMar>
              <w:left w:w="81" w:type="dxa"/>
            </w:tcMar>
          </w:tcPr>
          <w:p>
            <w:pPr>
              <w:pStyle w:val="Style115"/>
              <w:snapToGrid w:val="false"/>
              <w:jc w:val="center"/>
              <w:rPr>
                <w:rFonts w:ascii="Arial" w:hAnsi="Arial" w:cs="Arial"/>
              </w:rPr>
            </w:pPr>
            <w:r>
              <w:rPr>
                <w:rFonts w:cs="Arial" w:ascii="Arial" w:hAnsi="Arial"/>
              </w:rPr>
            </w:r>
          </w:p>
        </w:tc>
        <w:tc>
          <w:tcPr>
            <w:tcW w:w="2694" w:type="dxa"/>
            <w:tcBorders>
              <w:top w:val="single" w:sz="2" w:space="0" w:color="00000A"/>
              <w:left w:val="single" w:sz="2" w:space="0" w:color="00000A"/>
              <w:bottom w:val="single" w:sz="2" w:space="0" w:color="00000A"/>
              <w:insideH w:val="single" w:sz="2" w:space="0" w:color="00000A"/>
            </w:tcBorders>
            <w:shd w:fill="EEECE1" w:val="clear"/>
            <w:tcMar>
              <w:left w:w="81" w:type="dxa"/>
            </w:tcMar>
          </w:tcPr>
          <w:p>
            <w:pPr>
              <w:pStyle w:val="Style115"/>
              <w:jc w:val="center"/>
              <w:rPr>
                <w:rFonts w:ascii="Arial" w:hAnsi="Arial" w:cs="Arial"/>
              </w:rPr>
            </w:pPr>
            <w:r>
              <w:rPr>
                <w:rFonts w:cs="Arial" w:ascii="Arial" w:hAnsi="Arial"/>
              </w:rPr>
              <w:t>при новом строительстве</w:t>
            </w:r>
          </w:p>
        </w:tc>
        <w:tc>
          <w:tcPr>
            <w:tcW w:w="241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EEECE1" w:val="clear"/>
            <w:tcMar>
              <w:left w:w="81" w:type="dxa"/>
            </w:tcMar>
          </w:tcPr>
          <w:p>
            <w:pPr>
              <w:pStyle w:val="Style115"/>
              <w:jc w:val="center"/>
              <w:rPr>
                <w:rFonts w:ascii="Arial" w:hAnsi="Arial" w:cs="Arial"/>
              </w:rPr>
            </w:pPr>
            <w:r>
              <w:rPr>
                <w:rFonts w:cs="Arial" w:ascii="Arial" w:hAnsi="Arial"/>
              </w:rPr>
              <w:t>в условиях реконструкции</w:t>
            </w:r>
          </w:p>
        </w:tc>
      </w:tr>
      <w:tr>
        <w:trPr>
          <w:trHeight w:val="266" w:hRule="atLeast"/>
        </w:trPr>
        <w:tc>
          <w:tcPr>
            <w:tcW w:w="5103"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 xml:space="preserve">магистральные улицы и дороги </w:t>
            </w:r>
          </w:p>
        </w:tc>
        <w:tc>
          <w:tcPr>
            <w:tcW w:w="2694"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 xml:space="preserve">15 </w:t>
            </w:r>
          </w:p>
        </w:tc>
        <w:tc>
          <w:tcPr>
            <w:tcW w:w="241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rPr>
                <w:rFonts w:ascii="Arial" w:hAnsi="Arial" w:cs="Arial"/>
              </w:rPr>
            </w:pPr>
            <w:r>
              <w:rPr>
                <w:rFonts w:cs="Arial" w:ascii="Arial" w:hAnsi="Arial"/>
              </w:rPr>
              <w:t xml:space="preserve">8 </w:t>
            </w:r>
          </w:p>
        </w:tc>
      </w:tr>
      <w:tr>
        <w:trPr/>
        <w:tc>
          <w:tcPr>
            <w:tcW w:w="5103"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 xml:space="preserve">улицы местного значения </w:t>
            </w:r>
          </w:p>
        </w:tc>
        <w:tc>
          <w:tcPr>
            <w:tcW w:w="2694"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 xml:space="preserve">8 </w:t>
            </w:r>
          </w:p>
        </w:tc>
        <w:tc>
          <w:tcPr>
            <w:tcW w:w="241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rPr>
                <w:rFonts w:ascii="Arial" w:hAnsi="Arial" w:cs="Arial"/>
              </w:rPr>
            </w:pPr>
            <w:r>
              <w:rPr>
                <w:rFonts w:cs="Arial" w:ascii="Arial" w:hAnsi="Arial"/>
              </w:rPr>
              <w:t xml:space="preserve">6 </w:t>
            </w:r>
          </w:p>
        </w:tc>
      </w:tr>
      <w:tr>
        <w:trPr/>
        <w:tc>
          <w:tcPr>
            <w:tcW w:w="5103"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 xml:space="preserve">проезды </w:t>
            </w:r>
          </w:p>
        </w:tc>
        <w:tc>
          <w:tcPr>
            <w:tcW w:w="2694"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 xml:space="preserve">6 </w:t>
            </w:r>
          </w:p>
        </w:tc>
        <w:tc>
          <w:tcPr>
            <w:tcW w:w="241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rPr>
                <w:rFonts w:ascii="Arial" w:hAnsi="Arial" w:cs="Arial"/>
              </w:rPr>
            </w:pPr>
            <w:r>
              <w:rPr>
                <w:rFonts w:cs="Arial" w:ascii="Arial" w:hAnsi="Arial"/>
              </w:rPr>
              <w:t xml:space="preserve">5 </w:t>
            </w:r>
          </w:p>
        </w:tc>
      </w:tr>
      <w:tr>
        <w:trPr/>
        <w:tc>
          <w:tcPr>
            <w:tcW w:w="5103"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на транспортных площадях</w:t>
            </w:r>
          </w:p>
        </w:tc>
        <w:tc>
          <w:tcPr>
            <w:tcW w:w="2694"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12 м.</w:t>
            </w:r>
          </w:p>
        </w:tc>
        <w:tc>
          <w:tcPr>
            <w:tcW w:w="2414"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rPr>
                <w:rFonts w:ascii="Arial" w:hAnsi="Arial" w:cs="Arial"/>
              </w:rPr>
            </w:pPr>
            <w:r>
              <w:rPr>
                <w:rFonts w:cs="Arial" w:ascii="Arial" w:hAnsi="Arial"/>
              </w:rPr>
              <w:t>8</w:t>
            </w:r>
          </w:p>
        </w:tc>
      </w:tr>
    </w:tbl>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t>Примечание: В стесненных условиях радиусы закругления магистральных улиц и дорог регулируемого движения допускается принимать не менее 6 м, на транспортных площадях – 8 м.</w:t>
      </w:r>
    </w:p>
    <w:p>
      <w:pPr>
        <w:pStyle w:val="NoSpacing"/>
        <w:ind w:left="0" w:right="0" w:firstLine="708"/>
        <w:jc w:val="both"/>
        <w:rPr>
          <w:rFonts w:ascii="Arial" w:hAnsi="Arial" w:cs="Arial"/>
          <w:sz w:val="24"/>
          <w:szCs w:val="24"/>
        </w:rPr>
      </w:pPr>
      <w:r>
        <w:rPr>
          <w:rFonts w:cs="Arial" w:ascii="Arial" w:hAnsi="Arial"/>
          <w:sz w:val="24"/>
          <w:szCs w:val="24"/>
        </w:rPr>
      </w:r>
    </w:p>
    <w:p>
      <w:pPr>
        <w:pStyle w:val="5551"/>
        <w:rPr/>
      </w:pPr>
      <w:r>
        <w:rPr>
          <w:rFonts w:cs="Arial" w:ascii="Arial" w:hAnsi="Arial"/>
        </w:rPr>
        <w:t xml:space="preserve">8.4. </w:t>
      </w:r>
      <w:r>
        <w:rPr>
          <w:rFonts w:cs="Arial" w:ascii="Arial" w:hAnsi="Arial"/>
          <w:lang w:eastAsia="ru-RU"/>
        </w:rPr>
        <w:t>Размеры прямоугольного треугольника видимости необходимо применять не менее приведенных в таблице 8.3.</w:t>
      </w:r>
    </w:p>
    <w:p>
      <w:pPr>
        <w:pStyle w:val="Normal"/>
        <w:spacing w:lineRule="auto" w:line="240" w:before="0" w:after="0"/>
        <w:ind w:left="0" w:right="0" w:firstLine="708"/>
        <w:jc w:val="right"/>
        <w:rPr>
          <w:rFonts w:ascii="Arial" w:hAnsi="Arial" w:eastAsia="Times New Roman" w:cs="Arial"/>
          <w:sz w:val="24"/>
          <w:szCs w:val="24"/>
          <w:lang w:eastAsia="ru-RU"/>
        </w:rPr>
      </w:pPr>
      <w:r>
        <w:rPr>
          <w:rFonts w:eastAsia="Times New Roman" w:cs="Arial" w:ascii="Arial" w:hAnsi="Arial"/>
          <w:sz w:val="24"/>
          <w:szCs w:val="24"/>
          <w:lang w:eastAsia="ru-RU"/>
        </w:rPr>
        <w:t>Таблица 8.3.</w:t>
      </w:r>
    </w:p>
    <w:tbl>
      <w:tblPr>
        <w:tblW w:w="9506" w:type="dxa"/>
        <w:jc w:val="left"/>
        <w:tblInd w:w="387" w:type="dxa"/>
        <w:tblBorders>
          <w:top w:val="single" w:sz="4" w:space="0" w:color="00000A"/>
          <w:left w:val="single" w:sz="4" w:space="0" w:color="00000A"/>
          <w:bottom w:val="single" w:sz="4" w:space="0" w:color="00000A"/>
          <w:insideH w:val="single" w:sz="4" w:space="0" w:color="00000A"/>
        </w:tblBorders>
        <w:tblCellMar>
          <w:top w:w="0" w:type="dxa"/>
          <w:left w:w="108" w:type="dxa"/>
          <w:bottom w:w="0" w:type="dxa"/>
          <w:right w:w="108" w:type="dxa"/>
        </w:tblCellMar>
      </w:tblPr>
      <w:tblGrid>
        <w:gridCol w:w="2751"/>
        <w:gridCol w:w="2117"/>
        <w:gridCol w:w="1912"/>
        <w:gridCol w:w="2726"/>
      </w:tblGrid>
      <w:tr>
        <w:trPr>
          <w:trHeight w:val="285" w:hRule="atLeast"/>
        </w:trPr>
        <w:tc>
          <w:tcPr>
            <w:tcW w:w="2751" w:type="dxa"/>
            <w:tcBorders>
              <w:top w:val="single" w:sz="4" w:space="0" w:color="00000A"/>
              <w:left w:val="single" w:sz="4" w:space="0" w:color="00000A"/>
              <w:bottom w:val="single" w:sz="4" w:space="0" w:color="00000A"/>
              <w:insideH w:val="single" w:sz="4" w:space="0" w:color="00000A"/>
            </w:tcBorders>
            <w:shd w:fill="EEECE1" w:val="clear"/>
            <w:tcMar>
              <w:left w:w="108" w:type="dxa"/>
            </w:tcMar>
            <w:vAlign w:val="center"/>
          </w:tcPr>
          <w:p>
            <w:pPr>
              <w:pStyle w:val="Normal"/>
              <w:spacing w:lineRule="auto" w:line="240" w:before="0" w:after="0"/>
              <w:jc w:val="center"/>
              <w:rPr>
                <w:rFonts w:ascii="Arial" w:hAnsi="Arial" w:cs="Arial"/>
                <w:b/>
                <w:b/>
                <w:sz w:val="24"/>
                <w:szCs w:val="24"/>
              </w:rPr>
            </w:pPr>
            <w:r>
              <w:rPr>
                <w:rFonts w:cs="Arial" w:ascii="Arial" w:hAnsi="Arial"/>
                <w:b/>
                <w:sz w:val="24"/>
                <w:szCs w:val="24"/>
              </w:rPr>
              <w:t xml:space="preserve">Условия </w:t>
            </w:r>
          </w:p>
        </w:tc>
        <w:tc>
          <w:tcPr>
            <w:tcW w:w="2117"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Normal"/>
              <w:spacing w:lineRule="auto" w:line="240" w:before="0" w:after="0"/>
              <w:jc w:val="center"/>
              <w:rPr>
                <w:rFonts w:ascii="Arial" w:hAnsi="Arial" w:cs="Arial"/>
                <w:b/>
                <w:b/>
                <w:sz w:val="24"/>
                <w:szCs w:val="24"/>
              </w:rPr>
            </w:pPr>
            <w:r>
              <w:rPr>
                <w:rFonts w:cs="Arial" w:ascii="Arial" w:hAnsi="Arial"/>
                <w:b/>
                <w:sz w:val="24"/>
                <w:szCs w:val="24"/>
              </w:rPr>
              <w:t>Скорость движения</w:t>
            </w:r>
          </w:p>
        </w:tc>
        <w:tc>
          <w:tcPr>
            <w:tcW w:w="1912" w:type="dxa"/>
            <w:tcBorders>
              <w:top w:val="single" w:sz="4" w:space="0" w:color="00000A"/>
              <w:left w:val="single" w:sz="4" w:space="0" w:color="00000A"/>
              <w:bottom w:val="single" w:sz="4" w:space="0" w:color="00000A"/>
              <w:insideH w:val="single" w:sz="4" w:space="0" w:color="00000A"/>
            </w:tcBorders>
            <w:shd w:fill="EEECE1" w:val="clear"/>
            <w:tcMar>
              <w:left w:w="108" w:type="dxa"/>
            </w:tcMar>
            <w:vAlign w:val="center"/>
          </w:tcPr>
          <w:p>
            <w:pPr>
              <w:pStyle w:val="Normal"/>
              <w:spacing w:lineRule="auto" w:line="240" w:before="0" w:after="0"/>
              <w:jc w:val="center"/>
              <w:rPr>
                <w:rFonts w:ascii="Arial" w:hAnsi="Arial" w:cs="Arial"/>
                <w:b/>
                <w:b/>
                <w:sz w:val="24"/>
                <w:szCs w:val="24"/>
              </w:rPr>
            </w:pPr>
            <w:r>
              <w:rPr>
                <w:rFonts w:cs="Arial" w:ascii="Arial" w:hAnsi="Arial"/>
                <w:b/>
                <w:sz w:val="24"/>
                <w:szCs w:val="24"/>
              </w:rPr>
              <w:t>Единица измерения</w:t>
            </w:r>
          </w:p>
        </w:tc>
        <w:tc>
          <w:tcPr>
            <w:tcW w:w="272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8" w:type="dxa"/>
            </w:tcMar>
            <w:vAlign w:val="center"/>
          </w:tcPr>
          <w:p>
            <w:pPr>
              <w:pStyle w:val="Normal"/>
              <w:spacing w:lineRule="auto" w:line="240" w:before="0" w:after="0"/>
              <w:jc w:val="center"/>
              <w:rPr>
                <w:rFonts w:ascii="Arial" w:hAnsi="Arial" w:cs="Arial"/>
                <w:b/>
                <w:b/>
                <w:sz w:val="24"/>
                <w:szCs w:val="24"/>
              </w:rPr>
            </w:pPr>
            <w:r>
              <w:rPr>
                <w:rFonts w:cs="Arial" w:ascii="Arial" w:hAnsi="Arial"/>
                <w:b/>
                <w:sz w:val="24"/>
                <w:szCs w:val="24"/>
              </w:rPr>
              <w:t>Размеры сторон</w:t>
            </w:r>
          </w:p>
        </w:tc>
      </w:tr>
      <w:tr>
        <w:trPr/>
        <w:tc>
          <w:tcPr>
            <w:tcW w:w="2751" w:type="dxa"/>
            <w:vMerge w:val="restart"/>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Normal"/>
              <w:spacing w:lineRule="auto" w:line="240" w:before="0" w:after="0"/>
              <w:rPr>
                <w:rFonts w:ascii="Arial" w:hAnsi="Arial" w:cs="Arial"/>
                <w:sz w:val="24"/>
                <w:szCs w:val="24"/>
              </w:rPr>
            </w:pPr>
            <w:r>
              <w:rPr>
                <w:rFonts w:cs="Arial" w:ascii="Arial" w:hAnsi="Arial"/>
                <w:sz w:val="24"/>
                <w:szCs w:val="24"/>
              </w:rPr>
              <w:t>«Транспорт-транспорт»</w:t>
            </w:r>
          </w:p>
        </w:tc>
        <w:tc>
          <w:tcPr>
            <w:tcW w:w="2117"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Normal"/>
              <w:spacing w:lineRule="auto" w:line="240" w:before="0" w:after="0"/>
              <w:jc w:val="center"/>
              <w:rPr>
                <w:rFonts w:ascii="Arial" w:hAnsi="Arial" w:cs="Arial"/>
                <w:sz w:val="24"/>
                <w:szCs w:val="24"/>
              </w:rPr>
            </w:pPr>
            <w:r>
              <w:rPr>
                <w:rFonts w:cs="Arial" w:ascii="Arial" w:hAnsi="Arial"/>
                <w:sz w:val="24"/>
                <w:szCs w:val="24"/>
              </w:rPr>
              <w:t>40 км/ч</w:t>
            </w:r>
          </w:p>
        </w:tc>
        <w:tc>
          <w:tcPr>
            <w:tcW w:w="1912"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Normal"/>
              <w:spacing w:lineRule="auto" w:line="240" w:before="0" w:after="0"/>
              <w:jc w:val="center"/>
              <w:rPr>
                <w:rFonts w:ascii="Arial" w:hAnsi="Arial" w:cs="Arial"/>
                <w:sz w:val="24"/>
                <w:szCs w:val="24"/>
              </w:rPr>
            </w:pPr>
            <w:r>
              <w:rPr>
                <w:rFonts w:cs="Arial" w:ascii="Arial" w:hAnsi="Arial"/>
                <w:sz w:val="24"/>
                <w:szCs w:val="24"/>
              </w:rPr>
              <w:t>м</w:t>
            </w:r>
          </w:p>
        </w:tc>
        <w:tc>
          <w:tcPr>
            <w:tcW w:w="272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0"/>
              <w:jc w:val="center"/>
              <w:rPr>
                <w:rFonts w:ascii="Arial" w:hAnsi="Arial" w:cs="Arial"/>
                <w:sz w:val="24"/>
                <w:szCs w:val="24"/>
              </w:rPr>
            </w:pPr>
            <w:r>
              <w:rPr>
                <w:rFonts w:cs="Arial" w:ascii="Arial" w:hAnsi="Arial"/>
                <w:sz w:val="24"/>
                <w:szCs w:val="24"/>
              </w:rPr>
              <w:t>25х25</w:t>
            </w:r>
          </w:p>
        </w:tc>
      </w:tr>
      <w:tr>
        <w:trPr/>
        <w:tc>
          <w:tcPr>
            <w:tcW w:w="2751" w:type="dxa"/>
            <w:vMerge w:val="continue"/>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Normal"/>
              <w:snapToGrid w:val="false"/>
              <w:spacing w:lineRule="auto" w:line="240" w:before="0" w:after="0"/>
              <w:rPr>
                <w:rFonts w:ascii="Arial" w:hAnsi="Arial" w:cs="Arial"/>
                <w:sz w:val="24"/>
                <w:szCs w:val="24"/>
              </w:rPr>
            </w:pPr>
            <w:r>
              <w:rPr>
                <w:rFonts w:cs="Arial" w:ascii="Arial" w:hAnsi="Arial"/>
                <w:sz w:val="24"/>
                <w:szCs w:val="24"/>
              </w:rPr>
            </w:r>
          </w:p>
        </w:tc>
        <w:tc>
          <w:tcPr>
            <w:tcW w:w="2117"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Normal"/>
              <w:spacing w:lineRule="auto" w:line="240" w:before="0" w:after="0"/>
              <w:jc w:val="center"/>
              <w:rPr>
                <w:rFonts w:ascii="Arial" w:hAnsi="Arial" w:cs="Arial"/>
                <w:sz w:val="24"/>
                <w:szCs w:val="24"/>
              </w:rPr>
            </w:pPr>
            <w:r>
              <w:rPr>
                <w:rFonts w:cs="Arial" w:ascii="Arial" w:hAnsi="Arial"/>
                <w:sz w:val="24"/>
                <w:szCs w:val="24"/>
              </w:rPr>
              <w:t>60 км/ч</w:t>
            </w:r>
          </w:p>
        </w:tc>
        <w:tc>
          <w:tcPr>
            <w:tcW w:w="1912"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Normal"/>
              <w:spacing w:lineRule="auto" w:line="240" w:before="0" w:after="0"/>
              <w:jc w:val="center"/>
              <w:rPr>
                <w:rFonts w:ascii="Arial" w:hAnsi="Arial" w:cs="Arial"/>
                <w:sz w:val="24"/>
                <w:szCs w:val="24"/>
              </w:rPr>
            </w:pPr>
            <w:r>
              <w:rPr>
                <w:rFonts w:cs="Arial" w:ascii="Arial" w:hAnsi="Arial"/>
                <w:sz w:val="24"/>
                <w:szCs w:val="24"/>
              </w:rPr>
              <w:t>м</w:t>
            </w:r>
          </w:p>
        </w:tc>
        <w:tc>
          <w:tcPr>
            <w:tcW w:w="272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0"/>
              <w:jc w:val="center"/>
              <w:rPr>
                <w:rFonts w:ascii="Arial" w:hAnsi="Arial" w:cs="Arial"/>
                <w:sz w:val="24"/>
                <w:szCs w:val="24"/>
              </w:rPr>
            </w:pPr>
            <w:r>
              <w:rPr>
                <w:rFonts w:cs="Arial" w:ascii="Arial" w:hAnsi="Arial"/>
                <w:sz w:val="24"/>
                <w:szCs w:val="24"/>
              </w:rPr>
              <w:t>40х40</w:t>
            </w:r>
          </w:p>
        </w:tc>
      </w:tr>
      <w:tr>
        <w:trPr/>
        <w:tc>
          <w:tcPr>
            <w:tcW w:w="2751" w:type="dxa"/>
            <w:vMerge w:val="restart"/>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Normal"/>
              <w:spacing w:lineRule="auto" w:line="240" w:before="0" w:after="0"/>
              <w:rPr>
                <w:rFonts w:ascii="Arial" w:hAnsi="Arial" w:cs="Arial"/>
                <w:sz w:val="24"/>
                <w:szCs w:val="24"/>
              </w:rPr>
            </w:pPr>
            <w:r>
              <w:rPr>
                <w:rFonts w:cs="Arial" w:ascii="Arial" w:hAnsi="Arial"/>
                <w:sz w:val="24"/>
                <w:szCs w:val="24"/>
              </w:rPr>
              <w:t>«Пешеход-транспорт»</w:t>
            </w:r>
          </w:p>
        </w:tc>
        <w:tc>
          <w:tcPr>
            <w:tcW w:w="2117"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Normal"/>
              <w:spacing w:lineRule="auto" w:line="240" w:before="0" w:after="0"/>
              <w:jc w:val="center"/>
              <w:rPr>
                <w:rFonts w:ascii="Arial" w:hAnsi="Arial" w:cs="Arial"/>
                <w:sz w:val="24"/>
                <w:szCs w:val="24"/>
              </w:rPr>
            </w:pPr>
            <w:r>
              <w:rPr>
                <w:rFonts w:cs="Arial" w:ascii="Arial" w:hAnsi="Arial"/>
                <w:sz w:val="24"/>
                <w:szCs w:val="24"/>
              </w:rPr>
              <w:t>25 км/ч</w:t>
            </w:r>
          </w:p>
        </w:tc>
        <w:tc>
          <w:tcPr>
            <w:tcW w:w="1912"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Normal"/>
              <w:spacing w:lineRule="auto" w:line="240" w:before="0" w:after="0"/>
              <w:jc w:val="center"/>
              <w:rPr>
                <w:rFonts w:ascii="Arial" w:hAnsi="Arial" w:cs="Arial"/>
                <w:sz w:val="24"/>
                <w:szCs w:val="24"/>
              </w:rPr>
            </w:pPr>
            <w:r>
              <w:rPr>
                <w:rFonts w:cs="Arial" w:ascii="Arial" w:hAnsi="Arial"/>
                <w:sz w:val="24"/>
                <w:szCs w:val="24"/>
              </w:rPr>
              <w:t>м</w:t>
            </w:r>
          </w:p>
        </w:tc>
        <w:tc>
          <w:tcPr>
            <w:tcW w:w="272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0"/>
              <w:jc w:val="center"/>
              <w:rPr>
                <w:rFonts w:ascii="Arial" w:hAnsi="Arial" w:cs="Arial"/>
                <w:sz w:val="24"/>
                <w:szCs w:val="24"/>
              </w:rPr>
            </w:pPr>
            <w:r>
              <w:rPr>
                <w:rFonts w:cs="Arial" w:ascii="Arial" w:hAnsi="Arial"/>
                <w:sz w:val="24"/>
                <w:szCs w:val="24"/>
              </w:rPr>
              <w:t>8х40</w:t>
            </w:r>
          </w:p>
        </w:tc>
      </w:tr>
      <w:tr>
        <w:trPr/>
        <w:tc>
          <w:tcPr>
            <w:tcW w:w="2751" w:type="dxa"/>
            <w:vMerge w:val="continue"/>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Normal"/>
              <w:snapToGrid w:val="false"/>
              <w:spacing w:lineRule="auto" w:line="240" w:before="0" w:after="0"/>
              <w:rPr>
                <w:rFonts w:ascii="Arial" w:hAnsi="Arial" w:cs="Arial"/>
                <w:sz w:val="24"/>
                <w:szCs w:val="24"/>
              </w:rPr>
            </w:pPr>
            <w:r>
              <w:rPr>
                <w:rFonts w:cs="Arial" w:ascii="Arial" w:hAnsi="Arial"/>
                <w:sz w:val="24"/>
                <w:szCs w:val="24"/>
              </w:rPr>
            </w:r>
          </w:p>
        </w:tc>
        <w:tc>
          <w:tcPr>
            <w:tcW w:w="2117"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Normal"/>
              <w:spacing w:lineRule="auto" w:line="240" w:before="0" w:after="0"/>
              <w:jc w:val="center"/>
              <w:rPr>
                <w:rFonts w:ascii="Arial" w:hAnsi="Arial" w:cs="Arial"/>
                <w:sz w:val="24"/>
                <w:szCs w:val="24"/>
              </w:rPr>
            </w:pPr>
            <w:r>
              <w:rPr>
                <w:rFonts w:cs="Arial" w:ascii="Arial" w:hAnsi="Arial"/>
                <w:sz w:val="24"/>
                <w:szCs w:val="24"/>
              </w:rPr>
              <w:t>40 км/ч</w:t>
            </w:r>
          </w:p>
        </w:tc>
        <w:tc>
          <w:tcPr>
            <w:tcW w:w="1912"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Normal"/>
              <w:spacing w:lineRule="auto" w:line="240" w:before="0" w:after="0"/>
              <w:jc w:val="center"/>
              <w:rPr>
                <w:rFonts w:ascii="Arial" w:hAnsi="Arial" w:cs="Arial"/>
                <w:sz w:val="24"/>
                <w:szCs w:val="24"/>
              </w:rPr>
            </w:pPr>
            <w:r>
              <w:rPr>
                <w:rFonts w:cs="Arial" w:ascii="Arial" w:hAnsi="Arial"/>
                <w:sz w:val="24"/>
                <w:szCs w:val="24"/>
              </w:rPr>
              <w:t>м</w:t>
            </w:r>
          </w:p>
        </w:tc>
        <w:tc>
          <w:tcPr>
            <w:tcW w:w="272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0"/>
              <w:jc w:val="center"/>
              <w:rPr>
                <w:rFonts w:ascii="Arial" w:hAnsi="Arial" w:cs="Arial"/>
                <w:sz w:val="24"/>
                <w:szCs w:val="24"/>
              </w:rPr>
            </w:pPr>
            <w:r>
              <w:rPr>
                <w:rFonts w:cs="Arial" w:ascii="Arial" w:hAnsi="Arial"/>
                <w:sz w:val="24"/>
                <w:szCs w:val="24"/>
              </w:rPr>
              <w:t>10х50</w:t>
            </w:r>
          </w:p>
        </w:tc>
      </w:tr>
    </w:tbl>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t xml:space="preserve">Примечания: </w:t>
      </w:r>
    </w:p>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t>1. В зоне треугольника видимости не допускается размещение зданий, сооружений, передвижных объектов (киосков, рекламы, малых архитектурных форм и др.) и зеленых насаждений выше 1,2 м.</w:t>
      </w:r>
    </w:p>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t>2. На наземных нерегулируемых пешеходных переходах в зоне треугольника видимости "пешеход - транспорт" (со сторонами 10x50 м) не допускается размещение строений и зеленых насаждений высотой более 0,5 м.</w:t>
      </w:r>
    </w:p>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t>3. В условиях сложившейся застройки, не позволяющей организовать необходимые треугольники видимости, безопасное движение транспорта и пешеходов следует обеспечивать средствами регулирования и специального технического оборудования.</w:t>
      </w:r>
    </w:p>
    <w:p>
      <w:pPr>
        <w:pStyle w:val="5551"/>
        <w:rPr>
          <w:rFonts w:ascii="Arial" w:hAnsi="Arial" w:cs="Arial"/>
          <w:lang w:eastAsia="ru-RU"/>
        </w:rPr>
      </w:pPr>
      <w:r>
        <w:rPr>
          <w:rFonts w:cs="Arial" w:ascii="Arial" w:hAnsi="Arial"/>
          <w:lang w:eastAsia="ru-RU"/>
        </w:rPr>
      </w:r>
    </w:p>
    <w:p>
      <w:pPr>
        <w:pStyle w:val="5551"/>
        <w:rPr/>
      </w:pPr>
      <w:r>
        <w:rPr>
          <w:rFonts w:cs="Arial" w:ascii="Arial" w:hAnsi="Arial"/>
          <w:lang w:eastAsia="ru-RU"/>
        </w:rPr>
        <w:t>8.5. Максимальное р</w:t>
      </w:r>
      <w:r>
        <w:rPr>
          <w:rFonts w:cs="Arial" w:ascii="Arial" w:hAnsi="Arial"/>
        </w:rPr>
        <w:t xml:space="preserve">асстояние до ближайшей остановки общественного пассажирского транспорта от жилых домов, объектов массового посещения и зон массового отдыха населения </w:t>
      </w:r>
    </w:p>
    <w:p>
      <w:pPr>
        <w:pStyle w:val="Normal"/>
        <w:spacing w:lineRule="auto" w:line="240" w:before="0" w:after="0"/>
        <w:ind w:left="0" w:right="0" w:firstLine="708"/>
        <w:jc w:val="right"/>
        <w:rPr>
          <w:rFonts w:ascii="Arial" w:hAnsi="Arial" w:cs="Arial"/>
          <w:sz w:val="24"/>
          <w:szCs w:val="24"/>
        </w:rPr>
      </w:pPr>
      <w:r>
        <w:rPr>
          <w:rFonts w:cs="Arial" w:ascii="Arial" w:hAnsi="Arial"/>
          <w:sz w:val="24"/>
          <w:szCs w:val="24"/>
        </w:rPr>
        <w:t>Таблица 8.4.</w:t>
      </w:r>
    </w:p>
    <w:tbl>
      <w:tblPr>
        <w:tblW w:w="947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4788"/>
        <w:gridCol w:w="1980"/>
        <w:gridCol w:w="2701"/>
        <w:gridCol w:w="10"/>
      </w:tblGrid>
      <w:tr>
        <w:trPr>
          <w:trHeight w:val="375" w:hRule="atLeast"/>
        </w:trPr>
        <w:tc>
          <w:tcPr>
            <w:tcW w:w="4788"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Расстояние до ближайшей остановки общественного пассажирского транспорта от:</w:t>
            </w:r>
          </w:p>
        </w:tc>
        <w:tc>
          <w:tcPr>
            <w:tcW w:w="1980"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Единица измерения</w:t>
            </w:r>
          </w:p>
        </w:tc>
        <w:tc>
          <w:tcPr>
            <w:tcW w:w="271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Норма обеспеченности</w:t>
            </w:r>
          </w:p>
        </w:tc>
      </w:tr>
      <w:tr>
        <w:trPr/>
        <w:tc>
          <w:tcPr>
            <w:tcW w:w="4788"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0"/>
              <w:jc w:val="both"/>
              <w:rPr>
                <w:rFonts w:ascii="Arial" w:hAnsi="Arial" w:cs="Arial"/>
                <w:sz w:val="24"/>
                <w:szCs w:val="24"/>
              </w:rPr>
            </w:pPr>
            <w:r>
              <w:rPr>
                <w:rFonts w:cs="Arial" w:ascii="Arial" w:hAnsi="Arial"/>
                <w:sz w:val="24"/>
                <w:szCs w:val="24"/>
              </w:rPr>
              <w:t>Жилых домов</w:t>
            </w:r>
          </w:p>
        </w:tc>
        <w:tc>
          <w:tcPr>
            <w:tcW w:w="1980"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м</w:t>
            </w:r>
          </w:p>
        </w:tc>
        <w:tc>
          <w:tcPr>
            <w:tcW w:w="271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400</w:t>
            </w:r>
          </w:p>
        </w:tc>
      </w:tr>
      <w:tr>
        <w:trPr/>
        <w:tc>
          <w:tcPr>
            <w:tcW w:w="4788"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0"/>
              <w:jc w:val="both"/>
              <w:rPr>
                <w:rFonts w:ascii="Arial" w:hAnsi="Arial" w:cs="Arial"/>
                <w:sz w:val="24"/>
                <w:szCs w:val="24"/>
              </w:rPr>
            </w:pPr>
            <w:r>
              <w:rPr>
                <w:rFonts w:cs="Arial" w:ascii="Arial" w:hAnsi="Arial"/>
                <w:sz w:val="24"/>
                <w:szCs w:val="24"/>
              </w:rPr>
              <w:t>Объектов массового посещения</w:t>
            </w:r>
          </w:p>
        </w:tc>
        <w:tc>
          <w:tcPr>
            <w:tcW w:w="1980"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м</w:t>
            </w:r>
          </w:p>
        </w:tc>
        <w:tc>
          <w:tcPr>
            <w:tcW w:w="271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250</w:t>
            </w:r>
          </w:p>
        </w:tc>
      </w:tr>
      <w:tr>
        <w:trPr/>
        <w:tc>
          <w:tcPr>
            <w:tcW w:w="4788" w:type="dxa"/>
            <w:tcBorders/>
            <w:shd w:fill="auto" w:val="clear"/>
          </w:tcPr>
          <w:p>
            <w:pPr>
              <w:pStyle w:val="Normal"/>
              <w:spacing w:lineRule="auto" w:line="240" w:before="0" w:after="0"/>
              <w:jc w:val="both"/>
              <w:rPr>
                <w:rFonts w:ascii="Arial" w:hAnsi="Arial" w:cs="Arial"/>
                <w:sz w:val="24"/>
                <w:szCs w:val="24"/>
              </w:rPr>
            </w:pPr>
            <w:r>
              <w:rPr>
                <w:rFonts w:cs="Arial" w:ascii="Arial" w:hAnsi="Arial"/>
                <w:sz w:val="24"/>
                <w:szCs w:val="24"/>
              </w:rPr>
              <w:t>Проходных предприятий в производственных и коммунально-складских зонах</w:t>
            </w:r>
          </w:p>
        </w:tc>
        <w:tc>
          <w:tcPr>
            <w:tcW w:w="1980" w:type="dxa"/>
            <w:tcBorders/>
            <w:shd w:fill="auto" w:val="clear"/>
            <w:vAlign w:val="center"/>
          </w:tcPr>
          <w:p>
            <w:pPr>
              <w:pStyle w:val="Normal"/>
              <w:spacing w:lineRule="auto" w:line="240" w:before="0" w:after="0"/>
              <w:jc w:val="center"/>
              <w:rPr>
                <w:rFonts w:ascii="Arial" w:hAnsi="Arial" w:cs="Arial"/>
                <w:sz w:val="24"/>
                <w:szCs w:val="24"/>
              </w:rPr>
            </w:pPr>
            <w:r>
              <w:rPr>
                <w:rFonts w:cs="Arial" w:ascii="Arial" w:hAnsi="Arial"/>
                <w:sz w:val="24"/>
                <w:szCs w:val="24"/>
              </w:rPr>
              <w:t>м</w:t>
            </w:r>
          </w:p>
        </w:tc>
        <w:tc>
          <w:tcPr>
            <w:tcW w:w="2701" w:type="dxa"/>
            <w:tcBorders/>
            <w:shd w:fill="auto" w:val="clear"/>
            <w:vAlign w:val="center"/>
          </w:tcPr>
          <w:p>
            <w:pPr>
              <w:pStyle w:val="Normal"/>
              <w:spacing w:lineRule="auto" w:line="240" w:before="0" w:after="0"/>
              <w:jc w:val="center"/>
              <w:rPr>
                <w:rFonts w:ascii="Arial" w:hAnsi="Arial" w:cs="Arial"/>
                <w:sz w:val="24"/>
                <w:szCs w:val="24"/>
              </w:rPr>
            </w:pPr>
            <w:r>
              <w:rPr>
                <w:rFonts w:cs="Arial" w:ascii="Arial" w:hAnsi="Arial"/>
                <w:sz w:val="24"/>
                <w:szCs w:val="24"/>
              </w:rPr>
              <w:t>400</w:t>
            </w:r>
          </w:p>
        </w:tc>
      </w:tr>
      <w:tr>
        <w:trPr/>
        <w:tc>
          <w:tcPr>
            <w:tcW w:w="4788"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0"/>
              <w:jc w:val="both"/>
              <w:rPr>
                <w:rFonts w:ascii="Arial" w:hAnsi="Arial" w:cs="Arial"/>
                <w:sz w:val="24"/>
                <w:szCs w:val="24"/>
              </w:rPr>
            </w:pPr>
            <w:r>
              <w:rPr>
                <w:rFonts w:cs="Arial" w:ascii="Arial" w:hAnsi="Arial"/>
                <w:sz w:val="24"/>
                <w:szCs w:val="24"/>
              </w:rPr>
              <w:t>Зон массового отдыха населения</w:t>
            </w:r>
          </w:p>
        </w:tc>
        <w:tc>
          <w:tcPr>
            <w:tcW w:w="1980"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м</w:t>
            </w:r>
          </w:p>
        </w:tc>
        <w:tc>
          <w:tcPr>
            <w:tcW w:w="271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0"/>
              <w:jc w:val="center"/>
              <w:rPr>
                <w:rFonts w:ascii="Arial" w:hAnsi="Arial" w:cs="Arial"/>
                <w:sz w:val="24"/>
                <w:szCs w:val="24"/>
              </w:rPr>
            </w:pPr>
            <w:r>
              <w:rPr>
                <w:rFonts w:cs="Arial" w:ascii="Arial" w:hAnsi="Arial"/>
                <w:sz w:val="24"/>
                <w:szCs w:val="24"/>
              </w:rPr>
              <w:t>800</w:t>
            </w:r>
          </w:p>
        </w:tc>
      </w:tr>
    </w:tbl>
    <w:p>
      <w:pPr>
        <w:pStyle w:val="Normal"/>
        <w:spacing w:lineRule="auto" w:line="240" w:before="0" w:after="0"/>
        <w:ind w:left="0" w:right="0" w:firstLine="708"/>
        <w:jc w:val="right"/>
        <w:rPr>
          <w:rFonts w:ascii="Arial" w:hAnsi="Arial" w:cs="Arial"/>
          <w:sz w:val="24"/>
          <w:szCs w:val="24"/>
        </w:rPr>
      </w:pPr>
      <w:r>
        <w:rPr>
          <w:rFonts w:cs="Arial" w:ascii="Arial" w:hAnsi="Arial"/>
          <w:sz w:val="24"/>
          <w:szCs w:val="24"/>
        </w:rPr>
      </w:r>
    </w:p>
    <w:p>
      <w:pPr>
        <w:pStyle w:val="Normal"/>
        <w:spacing w:lineRule="auto" w:line="240" w:before="0" w:after="0"/>
        <w:ind w:left="0" w:right="0" w:firstLine="708"/>
        <w:jc w:val="both"/>
        <w:rPr>
          <w:rFonts w:ascii="Arial" w:hAnsi="Arial" w:eastAsia="Times New Roman" w:cs="Arial"/>
          <w:sz w:val="24"/>
          <w:szCs w:val="24"/>
          <w:lang w:eastAsia="ru-RU"/>
        </w:rPr>
      </w:pPr>
      <w:r>
        <w:rPr>
          <w:rFonts w:eastAsia="Times New Roman" w:cs="Arial" w:ascii="Arial" w:hAnsi="Arial"/>
          <w:sz w:val="24"/>
          <w:szCs w:val="24"/>
          <w:lang w:eastAsia="ru-RU"/>
        </w:rPr>
        <w:t>Примечание. В районах индивидуальной усадебной застройки дальность пешеходных подходов к ближайшей остановке общественного транспорта может быть увеличена до 800 метров.</w:t>
      </w:r>
    </w:p>
    <w:p>
      <w:pPr>
        <w:pStyle w:val="5551"/>
        <w:rPr>
          <w:rFonts w:ascii="Arial" w:hAnsi="Arial" w:cs="Arial"/>
          <w:lang w:eastAsia="ru-RU"/>
        </w:rPr>
      </w:pPr>
      <w:r>
        <w:rPr>
          <w:rFonts w:cs="Arial" w:ascii="Arial" w:hAnsi="Arial"/>
          <w:lang w:eastAsia="ru-RU"/>
        </w:rPr>
      </w:r>
    </w:p>
    <w:p>
      <w:pPr>
        <w:pStyle w:val="5551"/>
        <w:rPr/>
      </w:pPr>
      <w:r>
        <w:rPr>
          <w:rFonts w:cs="Arial" w:ascii="Arial" w:hAnsi="Arial"/>
          <w:lang w:eastAsia="ru-RU"/>
        </w:rPr>
        <w:t>8.6. Площадь о</w:t>
      </w:r>
      <w:r>
        <w:rPr>
          <w:rFonts w:cs="Arial" w:ascii="Arial" w:hAnsi="Arial"/>
        </w:rPr>
        <w:t>зеленения территорий санитарных разрывов, отделяющих автомобильные дороги от объектов жилой застройки следует принимать не менее 60%.</w:t>
      </w:r>
    </w:p>
    <w:p>
      <w:pPr>
        <w:pStyle w:val="5551"/>
        <w:rPr>
          <w:rFonts w:ascii="Arial" w:hAnsi="Arial" w:cs="Arial"/>
          <w:lang w:eastAsia="ru-RU"/>
        </w:rPr>
      </w:pPr>
      <w:r>
        <w:rPr>
          <w:rFonts w:cs="Arial" w:ascii="Arial" w:hAnsi="Arial"/>
          <w:lang w:eastAsia="ru-RU"/>
        </w:rPr>
      </w:r>
    </w:p>
    <w:p>
      <w:pPr>
        <w:pStyle w:val="5551"/>
        <w:rPr>
          <w:rFonts w:ascii="Arial" w:hAnsi="Arial" w:cs="Arial"/>
          <w:lang w:eastAsia="ru-RU"/>
        </w:rPr>
      </w:pPr>
      <w:r>
        <w:rPr>
          <w:rFonts w:cs="Arial" w:ascii="Arial" w:hAnsi="Arial"/>
          <w:lang w:eastAsia="ru-RU"/>
        </w:rPr>
        <w:t>8.7. В  Кушнурском сельсовете должны быть предусмотрены территории для хранения, парковки, технического обслуживания парка легковых автомобилей всех категорий, исходя из ожидаемого уровня насыщения легковыми автомобилями в соответствии с настоящими нормативами.</w:t>
      </w:r>
    </w:p>
    <w:p>
      <w:pPr>
        <w:pStyle w:val="Normal"/>
        <w:spacing w:lineRule="auto" w:line="240" w:before="0" w:after="0"/>
        <w:ind w:left="0" w:right="0" w:firstLine="708"/>
        <w:jc w:val="both"/>
        <w:rPr>
          <w:rFonts w:ascii="Arial" w:hAnsi="Arial" w:eastAsia="Times New Roman" w:cs="Arial"/>
          <w:sz w:val="24"/>
          <w:szCs w:val="24"/>
          <w:lang w:eastAsia="ru-RU"/>
        </w:rPr>
      </w:pPr>
      <w:r>
        <w:rPr>
          <w:rFonts w:eastAsia="Times New Roman" w:cs="Arial" w:ascii="Arial" w:hAnsi="Arial"/>
          <w:sz w:val="24"/>
          <w:szCs w:val="24"/>
          <w:lang w:eastAsia="ru-RU"/>
        </w:rPr>
      </w:r>
    </w:p>
    <w:p>
      <w:pPr>
        <w:pStyle w:val="Style117"/>
        <w:rPr>
          <w:rFonts w:ascii="Arial" w:hAnsi="Arial" w:cs="Arial"/>
        </w:rPr>
      </w:pPr>
      <w:bookmarkStart w:id="25" w:name="__RefHeading___Toc494193921"/>
      <w:bookmarkEnd w:id="25"/>
      <w:r>
        <w:rPr>
          <w:rFonts w:cs="Arial" w:ascii="Arial" w:hAnsi="Arial"/>
        </w:rPr>
        <w:t>9. Расчет обеспеченности и размещения мест для хранения и парковки автотрнаспорта</w:t>
      </w:r>
    </w:p>
    <w:p>
      <w:pPr>
        <w:pStyle w:val="ConsPlusNormal3"/>
        <w:ind w:left="0" w:right="0" w:firstLine="540"/>
        <w:jc w:val="both"/>
        <w:rPr>
          <w:rFonts w:cs="Arial"/>
          <w:sz w:val="24"/>
          <w:szCs w:val="24"/>
        </w:rPr>
      </w:pPr>
      <w:r>
        <w:rPr>
          <w:rFonts w:cs="Arial"/>
          <w:sz w:val="24"/>
          <w:szCs w:val="24"/>
        </w:rPr>
      </w:r>
    </w:p>
    <w:p>
      <w:pPr>
        <w:pStyle w:val="Normal"/>
        <w:spacing w:lineRule="auto" w:line="240" w:before="0" w:after="0"/>
        <w:ind w:left="0" w:right="0" w:firstLine="708"/>
        <w:jc w:val="both"/>
        <w:rPr/>
      </w:pPr>
      <w:bookmarkStart w:id="26" w:name="__RefHeading___Toc494193922"/>
      <w:r>
        <w:rPr>
          <w:rStyle w:val="55555"/>
          <w:rFonts w:eastAsia="Calibri" w:cs="Arial" w:ascii="Arial" w:hAnsi="Arial"/>
        </w:rPr>
        <w:t>9.1.</w:t>
        <w:tab/>
        <w:t>Для объектов нового строительства и реконструкции требуемое количество машино-мест для хранения и парковки легкового автотранспорта</w:t>
      </w:r>
      <w:bookmarkEnd w:id="26"/>
      <w:r>
        <w:rPr>
          <w:rFonts w:eastAsia="Times New Roman" w:cs="Arial" w:ascii="Arial" w:hAnsi="Arial"/>
          <w:sz w:val="24"/>
          <w:szCs w:val="24"/>
          <w:lang w:eastAsia="ru-RU"/>
        </w:rPr>
        <w:t xml:space="preserve"> следует определять в соответствии с таблицей 9.1.</w:t>
      </w:r>
    </w:p>
    <w:p>
      <w:pPr>
        <w:pStyle w:val="5551"/>
        <w:jc w:val="right"/>
        <w:rPr>
          <w:rFonts w:ascii="Arial" w:hAnsi="Arial" w:cs="Arial"/>
          <w:lang w:eastAsia="ru-RU"/>
        </w:rPr>
      </w:pPr>
      <w:r>
        <w:rPr>
          <w:rFonts w:cs="Arial" w:ascii="Arial" w:hAnsi="Arial"/>
          <w:lang w:eastAsia="ru-RU"/>
        </w:rPr>
        <w:t>Таблица 9.1</w:t>
      </w:r>
    </w:p>
    <w:tbl>
      <w:tblPr>
        <w:tblW w:w="10363"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628"/>
        <w:gridCol w:w="5103"/>
        <w:gridCol w:w="2127"/>
        <w:gridCol w:w="2505"/>
      </w:tblGrid>
      <w:tr>
        <w:trPr>
          <w:trHeight w:val="1040" w:hRule="atLeast"/>
        </w:trPr>
        <w:tc>
          <w:tcPr>
            <w:tcW w:w="628"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N</w:t>
            </w:r>
          </w:p>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п/п</w:t>
            </w:r>
          </w:p>
        </w:tc>
        <w:tc>
          <w:tcPr>
            <w:tcW w:w="5103"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Объекты посещения</w:t>
            </w:r>
          </w:p>
        </w:tc>
        <w:tc>
          <w:tcPr>
            <w:tcW w:w="2127"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Расчетные</w:t>
            </w:r>
          </w:p>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единицы</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Предусматривается</w:t>
            </w:r>
          </w:p>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1 машино-место на следующее количество</w:t>
            </w:r>
          </w:p>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расчетных единиц</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numPr>
                <w:ilvl w:val="0"/>
                <w:numId w:val="0"/>
              </w:numPr>
              <w:spacing w:lineRule="atLeast" w:line="240"/>
              <w:ind w:left="0" w:hanging="0"/>
              <w:rPr>
                <w:rFonts w:cs="Arial"/>
                <w:sz w:val="24"/>
                <w:szCs w:val="24"/>
              </w:rPr>
            </w:pPr>
            <w:r>
              <w:rPr>
                <w:rFonts w:cs="Arial"/>
                <w:sz w:val="24"/>
                <w:szCs w:val="24"/>
              </w:rPr>
              <w:t>1.</w:t>
            </w:r>
          </w:p>
        </w:tc>
        <w:tc>
          <w:tcPr>
            <w:tcW w:w="973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Объекты административно-делового назначения</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1.1.</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Объекты капитального строительства, предназначенные для размещения органов местного самоуправления</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200 - 220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1.2.</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Объекты административно-управленческой деятельности, здания и помещения общественных организаций</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100 - 120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1.3.</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Коммерческо-деловые центры, офисные здания и помещения</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50 - 60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numPr>
                <w:ilvl w:val="0"/>
                <w:numId w:val="0"/>
              </w:numPr>
              <w:spacing w:lineRule="atLeast" w:line="240"/>
              <w:ind w:left="0" w:hanging="0"/>
              <w:rPr>
                <w:rFonts w:cs="Arial"/>
                <w:sz w:val="24"/>
                <w:szCs w:val="24"/>
              </w:rPr>
            </w:pPr>
            <w:r>
              <w:rPr>
                <w:rFonts w:cs="Arial"/>
                <w:sz w:val="24"/>
                <w:szCs w:val="24"/>
              </w:rPr>
              <w:t>2.</w:t>
            </w:r>
          </w:p>
        </w:tc>
        <w:tc>
          <w:tcPr>
            <w:tcW w:w="973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Объекты науки и учебно-образовательного назначения</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2.1.</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Центры обучения, самодеятельного творчества, клубы по интересам</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20 - 25</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numPr>
                <w:ilvl w:val="0"/>
                <w:numId w:val="0"/>
              </w:numPr>
              <w:spacing w:lineRule="atLeast" w:line="240"/>
              <w:ind w:left="0" w:hanging="0"/>
              <w:rPr>
                <w:rFonts w:cs="Arial"/>
                <w:sz w:val="24"/>
                <w:szCs w:val="24"/>
              </w:rPr>
            </w:pPr>
            <w:r>
              <w:rPr>
                <w:rFonts w:cs="Arial"/>
                <w:sz w:val="24"/>
                <w:szCs w:val="24"/>
              </w:rPr>
              <w:t>3.</w:t>
            </w:r>
          </w:p>
        </w:tc>
        <w:tc>
          <w:tcPr>
            <w:tcW w:w="973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Объекты промышленно-производственного назначения</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3.1.</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Производственные здания и коммунально-складские объекты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работающие в двух смежных сменах, чел.</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6 - 8</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numPr>
                <w:ilvl w:val="0"/>
                <w:numId w:val="0"/>
              </w:numPr>
              <w:spacing w:lineRule="atLeast" w:line="240"/>
              <w:ind w:left="0" w:hanging="0"/>
              <w:rPr>
                <w:rFonts w:cs="Arial"/>
                <w:sz w:val="24"/>
                <w:szCs w:val="24"/>
              </w:rPr>
            </w:pPr>
            <w:r>
              <w:rPr>
                <w:rFonts w:cs="Arial"/>
                <w:sz w:val="24"/>
                <w:szCs w:val="24"/>
              </w:rPr>
              <w:t>4.</w:t>
            </w:r>
          </w:p>
        </w:tc>
        <w:tc>
          <w:tcPr>
            <w:tcW w:w="973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Объекты торгово-бытового и коммунального назначения</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4.1.</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Специализированные магазины по продаже товаров эпизодического спроса непродовольственной группы (спортивные, автосалоны, мебельные, бытовой техники, музыкальных инструментов, ювелирные, книжные и т.п.)</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20 - 30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4.2.</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Магазины шаговой доступности продовольственной и непродовольственной групп, размещающиеся в жилой группе</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40 - 50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4.3.</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Специализированные объекты торгового назначения с широким ассортиментов товаров продовольственной и непродовольственной групп (отдельно стоящие сетевые супермаркеты)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40 - 50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4.4.</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Торговые центры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70 - 80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4.5.</w:t>
            </w:r>
          </w:p>
        </w:tc>
        <w:tc>
          <w:tcPr>
            <w:tcW w:w="973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Рынки постоянные</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4.5.1.</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Универсальные и непродовольственные</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30 - 40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4.5.2.</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Продовольственные и сельскохозяйственные</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40 - 50</w:t>
            </w:r>
          </w:p>
        </w:tc>
      </w:tr>
      <w:tr>
        <w:trPr/>
        <w:tc>
          <w:tcPr>
            <w:tcW w:w="628" w:type="dxa"/>
            <w:tcBorders>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4.5.</w:t>
            </w:r>
          </w:p>
        </w:tc>
        <w:tc>
          <w:tcPr>
            <w:tcW w:w="5103" w:type="dxa"/>
            <w:tcBorders>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 xml:space="preserve">Рестораны, кафе </w:t>
            </w:r>
          </w:p>
        </w:tc>
        <w:tc>
          <w:tcPr>
            <w:tcW w:w="2127" w:type="dxa"/>
            <w:tcBorders>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посадочные места</w:t>
            </w:r>
          </w:p>
        </w:tc>
        <w:tc>
          <w:tcPr>
            <w:tcW w:w="2505" w:type="dxa"/>
            <w:tcBorders>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4 - 5</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4.6.</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Объекты коммунально-бытового обслуживания</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napToGrid w:val="false"/>
              <w:spacing w:lineRule="atLeast" w:line="240"/>
              <w:rPr>
                <w:rFonts w:cs="Arial"/>
                <w:sz w:val="24"/>
                <w:szCs w:val="24"/>
              </w:rPr>
            </w:pPr>
            <w:r>
              <w:rPr>
                <w:rFonts w:cs="Arial"/>
                <w:sz w:val="24"/>
                <w:szCs w:val="24"/>
              </w:rPr>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napToGrid w:val="false"/>
              <w:spacing w:lineRule="atLeast" w:line="240"/>
              <w:rPr>
                <w:rFonts w:cs="Arial"/>
                <w:sz w:val="24"/>
                <w:szCs w:val="24"/>
              </w:rPr>
            </w:pPr>
            <w:r>
              <w:rPr>
                <w:rFonts w:cs="Arial"/>
                <w:sz w:val="24"/>
                <w:szCs w:val="24"/>
              </w:rPr>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4.6.1.</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Бани</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единоврем. посетители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5 - 6</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4.6.2.</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Ателье, фотосалоны городского значения, салоны-парикмахерские, салоны красоты, солярии, салоны моды, свадебные салоны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10 - 15</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4.6.3.</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Салоны ритуальных услуг</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20 - 25</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4.6.4.</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Химчистки, прачечные, ремонтные мастерские, специализированные центры по обслуживанию сложной бытовой техники и др.</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рабочее место приемщика</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1 - 2</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4.7.</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Гостиницы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номер</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5 - 6</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4.8.</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Кладбища</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единоврем. посетители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3 - 5, но не менее 50 машино-мест</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numPr>
                <w:ilvl w:val="0"/>
                <w:numId w:val="0"/>
              </w:numPr>
              <w:spacing w:lineRule="atLeast" w:line="240"/>
              <w:ind w:left="0" w:hanging="0"/>
              <w:rPr>
                <w:rFonts w:cs="Arial"/>
                <w:sz w:val="24"/>
                <w:szCs w:val="24"/>
              </w:rPr>
            </w:pPr>
            <w:r>
              <w:rPr>
                <w:rFonts w:cs="Arial"/>
                <w:sz w:val="24"/>
                <w:szCs w:val="24"/>
              </w:rPr>
              <w:t>5.</w:t>
            </w:r>
          </w:p>
        </w:tc>
        <w:tc>
          <w:tcPr>
            <w:tcW w:w="973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Объекты культуры и досуга</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5.1.</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Выставочно-музейные комплексы, музеи-заповедники, музеи, галереи, выставочные залы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единоврем. посетители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6 - 8</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5.2.</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Театры, концертные залы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зрительское место</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15 - 20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5.3.</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Киноцентры и кинотеатры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зрительское место</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15 - 25</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5.4.</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 xml:space="preserve">Библиотеки </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пос. место</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6 - 8</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5.5.</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Объекты религиозных конфессий (церкви, костелы, мечети, синагоги и др.)</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единоврем. посетители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8 - 10, но не менее 10 машино-мест на объект</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5.6.</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Развлекательные центры, дискотеки, ночные клубы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единоврем. посетители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4 - 7</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numPr>
                <w:ilvl w:val="0"/>
                <w:numId w:val="0"/>
              </w:numPr>
              <w:spacing w:lineRule="atLeast" w:line="240"/>
              <w:ind w:left="0" w:hanging="0"/>
              <w:rPr>
                <w:rFonts w:cs="Arial"/>
                <w:sz w:val="24"/>
                <w:szCs w:val="24"/>
              </w:rPr>
            </w:pPr>
            <w:r>
              <w:rPr>
                <w:rFonts w:cs="Arial"/>
                <w:sz w:val="24"/>
                <w:szCs w:val="24"/>
              </w:rPr>
              <w:t>6.</w:t>
            </w:r>
          </w:p>
        </w:tc>
        <w:tc>
          <w:tcPr>
            <w:tcW w:w="973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Лечебные учреждения</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6.1.</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Поликлиники, в том числе амбулатории</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посещения в смену</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30 - 50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6.2.</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Больницы, профилактории</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койко-место</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10 - 15</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6.3.</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Специализированные клиники, реабилитационные центры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койко-место</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8 - 10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6.5.</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Интернаты и пансионаты для престарелых и инвалидов</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койко-место</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20 - 30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numPr>
                <w:ilvl w:val="0"/>
                <w:numId w:val="0"/>
              </w:numPr>
              <w:spacing w:lineRule="atLeast" w:line="240"/>
              <w:ind w:left="0" w:hanging="0"/>
              <w:rPr>
                <w:rFonts w:cs="Arial"/>
                <w:sz w:val="24"/>
                <w:szCs w:val="24"/>
              </w:rPr>
            </w:pPr>
            <w:r>
              <w:rPr>
                <w:rFonts w:cs="Arial"/>
                <w:sz w:val="24"/>
                <w:szCs w:val="24"/>
              </w:rPr>
              <w:t>7.</w:t>
            </w:r>
          </w:p>
        </w:tc>
        <w:tc>
          <w:tcPr>
            <w:tcW w:w="973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Спортивно-оздоровительные объекты</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7.1.</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Спортивные комплексы и стадионы с трибунами</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мест на трибунах</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25 - 30</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7.2.</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Оздоровительные комплексы (спортивные и тренажерные залы)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кв. м общей площади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25 - 35</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7.3.</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Специализированные спортивные клубы и комплексы (теннис, конный спорт, горнолыжные центры и др.)</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единоврем. посетители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3 - 4</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7.4.</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Бассейны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единоврем. посетители</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5 - 7</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numPr>
                <w:ilvl w:val="0"/>
                <w:numId w:val="0"/>
              </w:numPr>
              <w:spacing w:lineRule="atLeast" w:line="240"/>
              <w:ind w:left="0" w:hanging="0"/>
              <w:rPr>
                <w:rFonts w:cs="Arial"/>
                <w:sz w:val="24"/>
                <w:szCs w:val="24"/>
              </w:rPr>
            </w:pPr>
            <w:r>
              <w:rPr>
                <w:rFonts w:cs="Arial"/>
                <w:sz w:val="24"/>
                <w:szCs w:val="24"/>
              </w:rPr>
              <w:t>8.</w:t>
            </w:r>
          </w:p>
        </w:tc>
        <w:tc>
          <w:tcPr>
            <w:tcW w:w="973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Объекты транспортного обслуживания</w:t>
            </w:r>
          </w:p>
        </w:tc>
      </w:tr>
      <w:tr>
        <w:trPr/>
        <w:tc>
          <w:tcPr>
            <w:tcW w:w="62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8.2.</w:t>
            </w:r>
          </w:p>
        </w:tc>
        <w:tc>
          <w:tcPr>
            <w:tcW w:w="510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Автовокзалы</w:t>
            </w:r>
          </w:p>
        </w:tc>
        <w:tc>
          <w:tcPr>
            <w:tcW w:w="21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пассажиры в час пик</w:t>
            </w:r>
          </w:p>
        </w:tc>
        <w:tc>
          <w:tcPr>
            <w:tcW w:w="25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spacing w:lineRule="atLeast" w:line="240"/>
              <w:rPr>
                <w:rFonts w:cs="Arial"/>
                <w:sz w:val="24"/>
                <w:szCs w:val="24"/>
              </w:rPr>
            </w:pPr>
            <w:r>
              <w:rPr>
                <w:rFonts w:cs="Arial"/>
                <w:sz w:val="24"/>
                <w:szCs w:val="24"/>
              </w:rPr>
              <w:t>10 - 15</w:t>
            </w:r>
          </w:p>
        </w:tc>
      </w:tr>
    </w:tbl>
    <w:p>
      <w:pPr>
        <w:pStyle w:val="ConsPlusNormal3"/>
        <w:ind w:left="0" w:right="0" w:firstLine="540"/>
        <w:jc w:val="both"/>
        <w:rPr>
          <w:rFonts w:cs="Arial"/>
          <w:sz w:val="24"/>
          <w:szCs w:val="24"/>
        </w:rPr>
      </w:pPr>
      <w:r>
        <w:rPr>
          <w:rFonts w:cs="Arial"/>
          <w:sz w:val="24"/>
          <w:szCs w:val="24"/>
        </w:rPr>
      </w:r>
    </w:p>
    <w:p>
      <w:pPr>
        <w:pStyle w:val="ConsPlusNormal3"/>
        <w:ind w:left="0" w:right="0" w:firstLine="540"/>
        <w:jc w:val="both"/>
        <w:rPr>
          <w:rFonts w:cs="Arial"/>
          <w:sz w:val="24"/>
          <w:szCs w:val="24"/>
        </w:rPr>
      </w:pPr>
      <w:r>
        <w:rPr>
          <w:rFonts w:cs="Arial"/>
          <w:sz w:val="24"/>
          <w:szCs w:val="24"/>
        </w:rPr>
        <w:t>Примечания:</w:t>
      </w:r>
    </w:p>
    <w:p>
      <w:pPr>
        <w:pStyle w:val="ConsPlusNormal3"/>
        <w:ind w:left="0" w:right="0" w:firstLine="540"/>
        <w:jc w:val="both"/>
        <w:rPr>
          <w:rFonts w:cs="Arial"/>
          <w:sz w:val="24"/>
          <w:szCs w:val="24"/>
        </w:rPr>
      </w:pPr>
      <w:r>
        <w:rPr>
          <w:rFonts w:cs="Arial"/>
          <w:sz w:val="24"/>
          <w:szCs w:val="24"/>
        </w:rPr>
        <w:t>1. Нормативные показатели включают требуемое количество машино-мест для работающих и посетителей, без учета машино-мест для автомобилей, обслуживающих технологические нужды объекта (стоянка автомобиля, связанная с погрузкой, выгрузкой грузов, обеспечивающих функционирование объекта, и др.), а также для туристических автобусов.</w:t>
      </w:r>
    </w:p>
    <w:p>
      <w:pPr>
        <w:pStyle w:val="ConsPlusNormal3"/>
        <w:ind w:left="0" w:right="0" w:firstLine="540"/>
        <w:jc w:val="both"/>
        <w:rPr>
          <w:rFonts w:cs="Arial"/>
          <w:sz w:val="24"/>
          <w:szCs w:val="24"/>
        </w:rPr>
      </w:pPr>
      <w:r>
        <w:rPr>
          <w:rFonts w:cs="Arial"/>
          <w:sz w:val="24"/>
          <w:szCs w:val="24"/>
        </w:rPr>
        <w:t>2. Общая площадь объекта включает суммарную поэтажную площадь здания, определенную в пределах внутренних поверхностей наружных стен, в том числе площадь антресолей, переходов в другие здания, остекленных веранд, галерей и балконов зрительных залов. Площадь многосветных помещений включается в общую площадь здания в пределах одного этажа.</w:t>
      </w:r>
    </w:p>
    <w:p>
      <w:pPr>
        <w:pStyle w:val="ConsPlusNormal3"/>
        <w:ind w:left="0" w:right="0" w:firstLine="540"/>
        <w:jc w:val="both"/>
        <w:rPr>
          <w:rFonts w:cs="Arial"/>
          <w:sz w:val="24"/>
          <w:szCs w:val="24"/>
        </w:rPr>
      </w:pPr>
      <w:r>
        <w:rPr>
          <w:rFonts w:cs="Arial"/>
          <w:sz w:val="24"/>
          <w:szCs w:val="24"/>
        </w:rPr>
        <w:t>3. Для зданий с помещениями различного функционального назначения требуемое количество машино-мест следует определять раздельно для каждого вида помещений, а затем суммировать.</w:t>
      </w:r>
    </w:p>
    <w:p>
      <w:pPr>
        <w:pStyle w:val="ConsPlusNormal3"/>
        <w:ind w:left="0" w:right="0" w:firstLine="540"/>
        <w:jc w:val="both"/>
        <w:rPr>
          <w:rFonts w:cs="Arial"/>
          <w:sz w:val="24"/>
          <w:szCs w:val="24"/>
        </w:rPr>
      </w:pPr>
      <w:r>
        <w:rPr>
          <w:rFonts w:cs="Arial"/>
          <w:sz w:val="24"/>
          <w:szCs w:val="24"/>
        </w:rPr>
        <w:t>4. Расчет машино-мест для объектов религиозных конфессий следует производить для максимального по числу посетителей дня недели, но без учета дней основных (главных) религиозных праздников.</w:t>
      </w:r>
    </w:p>
    <w:p>
      <w:pPr>
        <w:pStyle w:val="ConsPlusNormal3"/>
        <w:ind w:left="0" w:right="0" w:firstLine="540"/>
        <w:jc w:val="both"/>
        <w:rPr>
          <w:rFonts w:cs="Arial"/>
          <w:sz w:val="24"/>
          <w:szCs w:val="24"/>
        </w:rPr>
      </w:pPr>
      <w:r>
        <w:rPr>
          <w:rFonts w:cs="Arial"/>
          <w:sz w:val="24"/>
          <w:szCs w:val="24"/>
        </w:rPr>
        <w:t>5. Расчет машино-мест для посетителей кладбищ проводится для выходных дней весенне-летнего периода без учета пиковой потребности в дни религиозных праздников, связанных с массовым посещением мест захоронений близких родственников (день поминовения родителей и т.п.).</w:t>
      </w:r>
    </w:p>
    <w:p>
      <w:pPr>
        <w:pStyle w:val="Normal"/>
        <w:spacing w:lineRule="auto" w:line="240" w:before="0" w:after="0"/>
        <w:ind w:left="0" w:right="0" w:firstLine="708"/>
        <w:jc w:val="both"/>
        <w:rPr>
          <w:rFonts w:ascii="Arial" w:hAnsi="Arial" w:eastAsia="Times New Roman" w:cs="Arial"/>
          <w:sz w:val="24"/>
          <w:szCs w:val="24"/>
          <w:lang w:eastAsia="ru-RU"/>
        </w:rPr>
      </w:pPr>
      <w:r>
        <w:rPr>
          <w:rFonts w:eastAsia="Times New Roman" w:cs="Arial" w:ascii="Arial" w:hAnsi="Arial"/>
          <w:sz w:val="24"/>
          <w:szCs w:val="24"/>
          <w:lang w:eastAsia="ru-RU"/>
        </w:rPr>
      </w:r>
    </w:p>
    <w:p>
      <w:pPr>
        <w:pStyle w:val="5551"/>
        <w:rPr>
          <w:rFonts w:ascii="Arial" w:hAnsi="Arial" w:cs="Arial"/>
          <w:lang w:eastAsia="ru-RU"/>
        </w:rPr>
      </w:pPr>
      <w:r>
        <w:rPr>
          <w:rFonts w:cs="Arial" w:ascii="Arial" w:hAnsi="Arial"/>
          <w:lang w:eastAsia="ru-RU"/>
        </w:rPr>
        <w:t>9.2.</w:t>
        <w:tab/>
        <w:t>Требуемое для объекта количество машино-мест, установленное расчетом, следует размещать в пределах участка, отведенного под застройку этого объекта. Не допускается использовать для этих целей улично-дорожную сеть (включая проезжую часть, тротуары, полосы озеленения и другие элементы), а также участки, выделяемые застройщику под компенсационное благоустройство.</w:t>
      </w:r>
    </w:p>
    <w:p>
      <w:pPr>
        <w:pStyle w:val="5551"/>
        <w:rPr/>
      </w:pPr>
      <w:r>
        <w:rPr>
          <w:rFonts w:cs="Arial" w:ascii="Arial" w:hAnsi="Arial"/>
        </w:rPr>
        <w:t>9.3.</w:t>
        <w:tab/>
        <w:t xml:space="preserve">Потребность в территории для хранения автотранспорта определяется исходя из способа хранения (наземная площадка или специализированные здания/сооружения), типа (встроенный, отдельно стоящий) и числа уровней зданий (сооружений). В случае если территория для постоянного или временного хранения автотранспорта не выделяется (не резервируется) в составе территорий жилой застройки, то места хранения автомобилей должны быть предусмотрены в подземной и надземной частях жилых зданий, пристраиваться к зданиям другого функционального назначения или </w:t>
      </w:r>
      <w:r>
        <w:rPr>
          <w:rFonts w:eastAsia="Times New Roman" w:cs="Arial" w:ascii="Arial" w:hAnsi="Arial"/>
          <w:lang w:eastAsia="ru-RU"/>
        </w:rPr>
        <w:t>встраиваться</w:t>
      </w:r>
      <w:r>
        <w:rPr>
          <w:rFonts w:cs="Arial" w:ascii="Arial" w:hAnsi="Arial"/>
        </w:rPr>
        <w:t xml:space="preserve"> в них.</w:t>
      </w:r>
    </w:p>
    <w:p>
      <w:pPr>
        <w:pStyle w:val="5551"/>
        <w:rPr>
          <w:rFonts w:ascii="Arial" w:hAnsi="Arial" w:cs="Arial"/>
        </w:rPr>
      </w:pPr>
      <w:r>
        <w:rPr>
          <w:rFonts w:cs="Arial" w:ascii="Arial" w:hAnsi="Arial"/>
        </w:rPr>
        <w:t>9.4.</w:t>
        <w:tab/>
        <w:t>Для жилого квартала, жилой группы, жилого здания требуемое количество машино-мест для организованного хранения легкового автотранспорта следует определять с учетом категории комфортности жилой застройки, предусматривая:</w:t>
      </w:r>
    </w:p>
    <w:p>
      <w:pPr>
        <w:pStyle w:val="ConsPlusNormal3"/>
        <w:ind w:left="0" w:right="0" w:firstLine="540"/>
        <w:jc w:val="both"/>
        <w:rPr>
          <w:rFonts w:cs="Arial"/>
          <w:sz w:val="24"/>
          <w:szCs w:val="24"/>
        </w:rPr>
      </w:pPr>
      <w:r>
        <w:rPr>
          <w:rFonts w:cs="Arial"/>
          <w:sz w:val="24"/>
          <w:szCs w:val="24"/>
        </w:rPr>
        <w:t>- при застройке жилыми домами (с обеспеченностью общей площадью до 50 кв. м на 1 жителя) - 70% от количества квартир;</w:t>
      </w:r>
    </w:p>
    <w:p>
      <w:pPr>
        <w:pStyle w:val="ConsPlusNormal3"/>
        <w:ind w:left="0" w:right="0" w:firstLine="540"/>
        <w:jc w:val="both"/>
        <w:rPr>
          <w:rFonts w:cs="Arial"/>
          <w:sz w:val="24"/>
          <w:szCs w:val="24"/>
        </w:rPr>
      </w:pPr>
      <w:r>
        <w:rPr>
          <w:rFonts w:cs="Arial"/>
          <w:sz w:val="24"/>
          <w:szCs w:val="24"/>
        </w:rPr>
        <w:t>- при застройке жилыми домами повышенной комфортности (с обеспеченностью общей площадью свыше 50 кв. м на 1 жителя) - не менее 1,0 машино-места на квартиру;</w:t>
      </w:r>
    </w:p>
    <w:p>
      <w:pPr>
        <w:pStyle w:val="ConsPlusNormal3"/>
        <w:ind w:left="0" w:right="0" w:firstLine="540"/>
        <w:jc w:val="both"/>
        <w:rPr>
          <w:rFonts w:cs="Arial"/>
          <w:sz w:val="24"/>
          <w:szCs w:val="24"/>
        </w:rPr>
      </w:pPr>
      <w:r>
        <w:rPr>
          <w:rFonts w:cs="Arial"/>
          <w:sz w:val="24"/>
          <w:szCs w:val="24"/>
        </w:rPr>
        <w:t>- для застройки индивидуальными и блокированными жилыми домами - не нормируется, т.к. хранение личного автотранспорта обеспечивается за счет наличия придомовых земельных участков.</w:t>
      </w:r>
    </w:p>
    <w:p>
      <w:pPr>
        <w:pStyle w:val="5551"/>
        <w:rPr>
          <w:rFonts w:ascii="Arial" w:hAnsi="Arial" w:cs="Arial"/>
        </w:rPr>
      </w:pPr>
      <w:r>
        <w:rPr>
          <w:rFonts w:cs="Arial" w:ascii="Arial" w:hAnsi="Arial"/>
        </w:rPr>
        <w:t>9.5.</w:t>
        <w:tab/>
        <w:t>Дополнительно к местам постоянного хранения автотранспорта должны быть предусмотрены места для временного хранения автомобилей ("гостевых парковок") - 25 - 30% от расчетного количества мест постоянного хранения.</w:t>
      </w:r>
    </w:p>
    <w:p>
      <w:pPr>
        <w:pStyle w:val="ConsPlusNormal3"/>
        <w:ind w:left="0" w:right="0" w:firstLine="540"/>
        <w:jc w:val="both"/>
        <w:rPr>
          <w:rFonts w:cs="Arial"/>
          <w:sz w:val="24"/>
          <w:szCs w:val="24"/>
        </w:rPr>
      </w:pPr>
      <w:r>
        <w:rPr>
          <w:rFonts w:cs="Arial"/>
          <w:sz w:val="24"/>
          <w:szCs w:val="24"/>
        </w:rPr>
        <w:t>Места для временного хранения легковых автомобилей следует располагать только в границах жилого квартала.</w:t>
      </w:r>
    </w:p>
    <w:p>
      <w:pPr>
        <w:pStyle w:val="5551"/>
        <w:rPr>
          <w:rFonts w:ascii="Arial" w:hAnsi="Arial" w:cs="Arial"/>
        </w:rPr>
      </w:pPr>
      <w:r>
        <w:rPr>
          <w:rFonts w:cs="Arial" w:ascii="Arial" w:hAnsi="Arial"/>
        </w:rPr>
        <w:t>9.6.</w:t>
        <w:tab/>
        <w:t>Сооружения для хранения легковых автомобилей постоянного населения населенного пункта следует размещать в радиусе доступности 250 - 300 м от мест жительства автовладельцев, но не более чем в 600 м. Допускается увеличивать дальность подходов к сооружениям хранения легковых автомобилей для жителей кварталов с сохраняемой застройкой до 1500 м.</w:t>
      </w:r>
    </w:p>
    <w:p>
      <w:pPr>
        <w:pStyle w:val="5551"/>
        <w:rPr>
          <w:rFonts w:ascii="Arial" w:hAnsi="Arial" w:cs="Arial"/>
        </w:rPr>
      </w:pPr>
      <w:r>
        <w:rPr>
          <w:rFonts w:cs="Arial" w:ascii="Arial" w:hAnsi="Arial"/>
        </w:rPr>
        <w:t>9.7.</w:t>
        <w:tab/>
        <w:t>Сооружения для хранения легковых автомобилей всех категорий следует, как правило, размещать:</w:t>
      </w:r>
    </w:p>
    <w:p>
      <w:pPr>
        <w:pStyle w:val="ConsPlusNormal3"/>
        <w:ind w:left="0" w:right="0" w:firstLine="540"/>
        <w:jc w:val="both"/>
        <w:rPr>
          <w:rFonts w:cs="Arial"/>
          <w:sz w:val="24"/>
          <w:szCs w:val="24"/>
        </w:rPr>
      </w:pPr>
      <w:r>
        <w:rPr>
          <w:rFonts w:cs="Arial"/>
          <w:sz w:val="24"/>
          <w:szCs w:val="24"/>
        </w:rPr>
        <w:t>- на территориях коммунально-складских и производственных зон, на территориях защитных зон между полосами отвода железных дорог и линиями застройки, на участках с резким перепадом рельефа, овражистых территориях, в санитарно-защитных зонах производственных предприятий и железных дорог;</w:t>
      </w:r>
    </w:p>
    <w:p>
      <w:pPr>
        <w:pStyle w:val="ConsPlusNormal3"/>
        <w:ind w:left="0" w:right="0" w:firstLine="540"/>
        <w:jc w:val="both"/>
        <w:rPr>
          <w:rFonts w:cs="Arial"/>
          <w:sz w:val="24"/>
          <w:szCs w:val="24"/>
        </w:rPr>
      </w:pPr>
      <w:r>
        <w:rPr>
          <w:rFonts w:cs="Arial"/>
          <w:sz w:val="24"/>
          <w:szCs w:val="24"/>
        </w:rPr>
        <w:t>- в жилых районах - на территориях коммунального и общественного назначения, на участках с резким перепадом рельефа, овражистых территориях, территориях транспортных сооружений, в подземном пространстве - под участками газонов, спортивных сооружений, под проездами, автостоянками.</w:t>
      </w:r>
    </w:p>
    <w:p>
      <w:pPr>
        <w:pStyle w:val="5551"/>
        <w:rPr>
          <w:rFonts w:ascii="Arial" w:hAnsi="Arial" w:cs="Arial"/>
        </w:rPr>
      </w:pPr>
      <w:r>
        <w:rPr>
          <w:rFonts w:cs="Arial" w:ascii="Arial" w:hAnsi="Arial"/>
        </w:rPr>
        <w:t>9.8.</w:t>
        <w:tab/>
        <w:t>Сооружения для хранения легковых автомобилей, принадлежащих постоянным жителям города (вместимостью, как правило, не более 500 машино-мест), допускается размещать на территориях жилых кварталов при условии соблюдения действующих государственных санитарно-эпидемиологических правил и нормативов.</w:t>
      </w:r>
    </w:p>
    <w:p>
      <w:pPr>
        <w:pStyle w:val="5551"/>
        <w:rPr/>
      </w:pPr>
      <w:r>
        <w:rPr>
          <w:rFonts w:cs="Arial" w:ascii="Arial" w:hAnsi="Arial"/>
        </w:rPr>
        <w:t>9.9.</w:t>
        <w:tab/>
        <w:t xml:space="preserve">Расстояния от автостоянок и наземных гаражей-стоянок рампового типа до зданий различного назначения следует принимать не менее приведенных в </w:t>
      </w:r>
      <w:r>
        <w:rPr>
          <w:rFonts w:cs="Arial" w:ascii="Arial" w:hAnsi="Arial"/>
          <w:color w:val="00000A"/>
        </w:rPr>
        <w:t>таблице 9.2</w:t>
      </w:r>
      <w:r>
        <w:rPr>
          <w:rFonts w:cs="Arial" w:ascii="Arial" w:hAnsi="Arial"/>
        </w:rPr>
        <w:t xml:space="preserve"> настоящих Нормативов. Расстояния от подземных гаражей-стоянок до объектов застройки, а также расстояния от автостоянок и наземных гаражей-стоянок рампового типа до общественных зданий не лимитируются.</w:t>
      </w:r>
    </w:p>
    <w:p>
      <w:pPr>
        <w:pStyle w:val="ConsPlusNormal3"/>
        <w:ind w:left="0" w:right="0" w:firstLine="540"/>
        <w:jc w:val="both"/>
        <w:rPr/>
      </w:pPr>
      <w:r>
        <w:rPr>
          <w:rFonts w:cs="Arial"/>
          <w:sz w:val="24"/>
          <w:szCs w:val="24"/>
        </w:rPr>
        <w:t>При размещении наземных и комбинированных гаражей-стоянок, а также вентиляционных шахт подземных гаражей-стоянок ожидаемые расчетные концентрации загрязняющих веществ не должны превышать установленные санитарные нормативы (</w:t>
      </w:r>
      <w:hyperlink r:id="rId9">
        <w:r>
          <w:rPr>
            <w:rStyle w:val="Style9"/>
            <w:rFonts w:cs="Arial"/>
            <w:sz w:val="24"/>
            <w:szCs w:val="24"/>
          </w:rPr>
          <w:t>СанПиН 2.2.1/2.1.1.1200-03</w:t>
        </w:r>
      </w:hyperlink>
      <w:r>
        <w:rPr>
          <w:rFonts w:cs="Arial"/>
          <w:sz w:val="24"/>
          <w:szCs w:val="24"/>
        </w:rPr>
        <w:t xml:space="preserve"> "Санитарно-защитные зоны и санитарная классификация предприятий, сооружений и иных объектов" (новая редакция)), уровни шума не должны превышать предельно допустимые значения.</w:t>
      </w:r>
    </w:p>
    <w:p>
      <w:pPr>
        <w:pStyle w:val="ConsPlusNormal2"/>
        <w:ind w:left="0" w:right="0" w:firstLine="540"/>
        <w:jc w:val="right"/>
        <w:rPr/>
      </w:pPr>
      <w:bookmarkStart w:id="27" w:name="P232323"/>
      <w:r>
        <w:rPr>
          <w:rFonts w:cs="Arial"/>
          <w:sz w:val="24"/>
          <w:szCs w:val="24"/>
        </w:rPr>
        <w:t xml:space="preserve">Таблица </w:t>
      </w:r>
      <w:bookmarkEnd w:id="27"/>
      <w:r>
        <w:rPr>
          <w:rFonts w:cs="Arial"/>
          <w:sz w:val="24"/>
          <w:szCs w:val="24"/>
        </w:rPr>
        <w:t>9.2.</w:t>
      </w:r>
    </w:p>
    <w:p>
      <w:pPr>
        <w:pStyle w:val="ConsPlusNormal3"/>
        <w:ind w:left="0" w:right="0" w:firstLine="540"/>
        <w:jc w:val="both"/>
        <w:rPr>
          <w:rFonts w:cs="Arial"/>
          <w:sz w:val="24"/>
          <w:szCs w:val="24"/>
        </w:rPr>
      </w:pPr>
      <w:r>
        <w:rPr>
          <w:rFonts w:cs="Arial"/>
          <w:sz w:val="24"/>
          <w:szCs w:val="24"/>
        </w:rPr>
      </w:r>
    </w:p>
    <w:tbl>
      <w:tblPr>
        <w:tblW w:w="10419"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4598"/>
        <w:gridCol w:w="1161"/>
        <w:gridCol w:w="1162"/>
        <w:gridCol w:w="1163"/>
        <w:gridCol w:w="1162"/>
        <w:gridCol w:w="1173"/>
      </w:tblGrid>
      <w:tr>
        <w:trPr/>
        <w:tc>
          <w:tcPr>
            <w:tcW w:w="4598"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Объекты, до которых исчисляется расстояние</w:t>
            </w:r>
          </w:p>
        </w:tc>
        <w:tc>
          <w:tcPr>
            <w:tcW w:w="5821"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Normal"/>
              <w:snapToGrid w:val="false"/>
              <w:spacing w:lineRule="auto" w:line="240" w:before="0" w:after="0"/>
              <w:jc w:val="center"/>
              <w:rPr>
                <w:rFonts w:ascii="Arial" w:hAnsi="Arial" w:cs="Arial"/>
                <w:b/>
                <w:b/>
                <w:sz w:val="24"/>
                <w:szCs w:val="24"/>
              </w:rPr>
            </w:pPr>
            <w:r>
              <w:rPr>
                <w:rFonts w:cs="Arial" w:ascii="Arial" w:hAnsi="Arial"/>
                <w:b/>
                <w:sz w:val="24"/>
                <w:szCs w:val="24"/>
              </w:rPr>
              <w:t>Расстояние, м</w:t>
            </w:r>
          </w:p>
        </w:tc>
      </w:tr>
      <w:tr>
        <w:trPr/>
        <w:tc>
          <w:tcPr>
            <w:tcW w:w="4598"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5821"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3"/>
              <w:jc w:val="center"/>
              <w:rPr>
                <w:rFonts w:cs="Arial"/>
                <w:b/>
                <w:b/>
                <w:sz w:val="24"/>
                <w:szCs w:val="24"/>
              </w:rPr>
            </w:pPr>
            <w:r>
              <w:rPr>
                <w:rFonts w:cs="Arial"/>
                <w:b/>
                <w:sz w:val="24"/>
                <w:szCs w:val="24"/>
              </w:rPr>
              <w:t>Автостоянки (открытые площадки) и наземные гаражи-стоянки рампового типа вместимостью, машино-мест</w:t>
            </w:r>
          </w:p>
        </w:tc>
      </w:tr>
      <w:tr>
        <w:trPr/>
        <w:tc>
          <w:tcPr>
            <w:tcW w:w="4598"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1161"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3"/>
              <w:jc w:val="center"/>
              <w:rPr>
                <w:rFonts w:cs="Arial"/>
                <w:b/>
                <w:b/>
                <w:sz w:val="24"/>
                <w:szCs w:val="24"/>
              </w:rPr>
            </w:pPr>
            <w:r>
              <w:rPr>
                <w:rFonts w:cs="Arial"/>
                <w:b/>
                <w:sz w:val="24"/>
                <w:szCs w:val="24"/>
              </w:rPr>
              <w:t>10 и менее</w:t>
            </w:r>
          </w:p>
        </w:tc>
        <w:tc>
          <w:tcPr>
            <w:tcW w:w="1162"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3"/>
              <w:jc w:val="center"/>
              <w:rPr>
                <w:rFonts w:cs="Arial"/>
                <w:b/>
                <w:b/>
                <w:sz w:val="24"/>
                <w:szCs w:val="24"/>
              </w:rPr>
            </w:pPr>
            <w:r>
              <w:rPr>
                <w:rFonts w:cs="Arial"/>
                <w:b/>
                <w:sz w:val="24"/>
                <w:szCs w:val="24"/>
              </w:rPr>
              <w:t>11 - 50</w:t>
            </w:r>
          </w:p>
        </w:tc>
        <w:tc>
          <w:tcPr>
            <w:tcW w:w="1163"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3"/>
              <w:jc w:val="center"/>
              <w:rPr>
                <w:rFonts w:cs="Arial"/>
                <w:b/>
                <w:b/>
                <w:sz w:val="24"/>
                <w:szCs w:val="24"/>
              </w:rPr>
            </w:pPr>
            <w:r>
              <w:rPr>
                <w:rFonts w:cs="Arial"/>
                <w:b/>
                <w:sz w:val="24"/>
                <w:szCs w:val="24"/>
              </w:rPr>
              <w:t>51 - 100</w:t>
            </w:r>
          </w:p>
        </w:tc>
        <w:tc>
          <w:tcPr>
            <w:tcW w:w="1162"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3"/>
              <w:jc w:val="center"/>
              <w:rPr>
                <w:rFonts w:cs="Arial"/>
                <w:b/>
                <w:b/>
                <w:sz w:val="24"/>
                <w:szCs w:val="24"/>
              </w:rPr>
            </w:pPr>
            <w:r>
              <w:rPr>
                <w:rFonts w:cs="Arial"/>
                <w:b/>
                <w:sz w:val="24"/>
                <w:szCs w:val="24"/>
              </w:rPr>
              <w:t>101 - 300</w:t>
            </w:r>
          </w:p>
        </w:tc>
        <w:tc>
          <w:tcPr>
            <w:tcW w:w="117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3"/>
              <w:jc w:val="center"/>
              <w:rPr>
                <w:rFonts w:cs="Arial"/>
                <w:b/>
                <w:b/>
                <w:sz w:val="24"/>
                <w:szCs w:val="24"/>
              </w:rPr>
            </w:pPr>
            <w:r>
              <w:rPr>
                <w:rFonts w:cs="Arial"/>
                <w:b/>
                <w:sz w:val="24"/>
                <w:szCs w:val="24"/>
              </w:rPr>
              <w:t>свыше 300</w:t>
            </w:r>
          </w:p>
        </w:tc>
      </w:tr>
      <w:tr>
        <w:trPr/>
        <w:tc>
          <w:tcPr>
            <w:tcW w:w="45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Стены жилых домов с окнами</w:t>
            </w:r>
          </w:p>
        </w:tc>
        <w:tc>
          <w:tcPr>
            <w:tcW w:w="11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w:t>
            </w:r>
          </w:p>
        </w:tc>
        <w:tc>
          <w:tcPr>
            <w:tcW w:w="116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15</w:t>
            </w:r>
          </w:p>
        </w:tc>
        <w:tc>
          <w:tcPr>
            <w:tcW w:w="116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25</w:t>
            </w:r>
          </w:p>
        </w:tc>
        <w:tc>
          <w:tcPr>
            <w:tcW w:w="116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35</w:t>
            </w:r>
          </w:p>
        </w:tc>
        <w:tc>
          <w:tcPr>
            <w:tcW w:w="117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менее 50</w:t>
            </w:r>
          </w:p>
        </w:tc>
      </w:tr>
      <w:tr>
        <w:trPr/>
        <w:tc>
          <w:tcPr>
            <w:tcW w:w="45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Торцы жилых домов без окон</w:t>
            </w:r>
          </w:p>
        </w:tc>
        <w:tc>
          <w:tcPr>
            <w:tcW w:w="11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w:t>
            </w:r>
          </w:p>
        </w:tc>
        <w:tc>
          <w:tcPr>
            <w:tcW w:w="116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w:t>
            </w:r>
          </w:p>
        </w:tc>
        <w:tc>
          <w:tcPr>
            <w:tcW w:w="116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15</w:t>
            </w:r>
          </w:p>
        </w:tc>
        <w:tc>
          <w:tcPr>
            <w:tcW w:w="116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25</w:t>
            </w:r>
          </w:p>
        </w:tc>
        <w:tc>
          <w:tcPr>
            <w:tcW w:w="117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r>
              <w:rPr>
                <w:rFonts w:cs="Arial"/>
                <w:sz w:val="24"/>
                <w:szCs w:val="24"/>
              </w:rPr>
              <w:t>Не менее 35</w:t>
            </w:r>
          </w:p>
        </w:tc>
      </w:tr>
      <w:tr>
        <w:trPr/>
        <w:tc>
          <w:tcPr>
            <w:tcW w:w="45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Общественные здания</w:t>
            </w:r>
          </w:p>
        </w:tc>
        <w:tc>
          <w:tcPr>
            <w:tcW w:w="11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w:t>
            </w:r>
          </w:p>
        </w:tc>
        <w:tc>
          <w:tcPr>
            <w:tcW w:w="116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10</w:t>
            </w:r>
          </w:p>
        </w:tc>
        <w:tc>
          <w:tcPr>
            <w:tcW w:w="116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15</w:t>
            </w:r>
          </w:p>
        </w:tc>
        <w:tc>
          <w:tcPr>
            <w:tcW w:w="116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25</w:t>
            </w:r>
          </w:p>
        </w:tc>
        <w:tc>
          <w:tcPr>
            <w:tcW w:w="117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hyperlink w:anchor="P4202">
              <w:r>
                <w:rPr>
                  <w:rStyle w:val="Style9"/>
                  <w:rFonts w:cs="Arial"/>
                  <w:color w:val="0000FF"/>
                  <w:sz w:val="24"/>
                  <w:szCs w:val="24"/>
                </w:rPr>
                <w:t>&lt;*&gt;</w:t>
              </w:r>
            </w:hyperlink>
          </w:p>
        </w:tc>
      </w:tr>
      <w:tr>
        <w:trPr/>
        <w:tc>
          <w:tcPr>
            <w:tcW w:w="45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Дошкольные образовательные организации и общеобразовательные организации</w:t>
            </w:r>
          </w:p>
        </w:tc>
        <w:tc>
          <w:tcPr>
            <w:tcW w:w="11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15</w:t>
            </w:r>
          </w:p>
        </w:tc>
        <w:tc>
          <w:tcPr>
            <w:tcW w:w="116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25</w:t>
            </w:r>
          </w:p>
        </w:tc>
        <w:tc>
          <w:tcPr>
            <w:tcW w:w="116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25</w:t>
            </w:r>
          </w:p>
        </w:tc>
        <w:tc>
          <w:tcPr>
            <w:tcW w:w="116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50</w:t>
            </w:r>
          </w:p>
        </w:tc>
        <w:tc>
          <w:tcPr>
            <w:tcW w:w="117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hyperlink w:anchor="P4202">
              <w:r>
                <w:rPr>
                  <w:rStyle w:val="Style9"/>
                  <w:rFonts w:cs="Arial"/>
                  <w:color w:val="0000FF"/>
                  <w:sz w:val="24"/>
                  <w:szCs w:val="24"/>
                </w:rPr>
                <w:t>&lt;*&gt;</w:t>
              </w:r>
            </w:hyperlink>
          </w:p>
        </w:tc>
      </w:tr>
      <w:tr>
        <w:trPr/>
        <w:tc>
          <w:tcPr>
            <w:tcW w:w="45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Медицинские организации стационарного типа</w:t>
            </w:r>
          </w:p>
        </w:tc>
        <w:tc>
          <w:tcPr>
            <w:tcW w:w="11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25</w:t>
            </w:r>
          </w:p>
        </w:tc>
        <w:tc>
          <w:tcPr>
            <w:tcW w:w="116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rFonts w:cs="Arial"/>
                <w:sz w:val="24"/>
                <w:szCs w:val="24"/>
              </w:rPr>
            </w:pPr>
            <w:r>
              <w:rPr>
                <w:rFonts w:cs="Arial"/>
                <w:sz w:val="24"/>
                <w:szCs w:val="24"/>
              </w:rPr>
              <w:t>50</w:t>
            </w:r>
          </w:p>
        </w:tc>
        <w:tc>
          <w:tcPr>
            <w:tcW w:w="116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pPr>
            <w:hyperlink w:anchor="P4202">
              <w:r>
                <w:rPr>
                  <w:rStyle w:val="Style9"/>
                  <w:rFonts w:cs="Arial"/>
                  <w:color w:val="0000FF"/>
                  <w:sz w:val="24"/>
                  <w:szCs w:val="24"/>
                </w:rPr>
                <w:t>&lt;*&gt;</w:t>
              </w:r>
            </w:hyperlink>
          </w:p>
        </w:tc>
        <w:tc>
          <w:tcPr>
            <w:tcW w:w="116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3"/>
              <w:rPr/>
            </w:pPr>
            <w:hyperlink w:anchor="P4202">
              <w:r>
                <w:rPr>
                  <w:rStyle w:val="Style9"/>
                  <w:rFonts w:cs="Arial"/>
                  <w:color w:val="0000FF"/>
                  <w:sz w:val="24"/>
                  <w:szCs w:val="24"/>
                </w:rPr>
                <w:t>&lt;*&gt;</w:t>
              </w:r>
            </w:hyperlink>
          </w:p>
        </w:tc>
        <w:tc>
          <w:tcPr>
            <w:tcW w:w="117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3"/>
              <w:rPr>
                <w:rFonts w:cs="Arial"/>
                <w:sz w:val="24"/>
                <w:szCs w:val="24"/>
              </w:rPr>
            </w:pPr>
            <w:hyperlink w:anchor="P4202">
              <w:r>
                <w:rPr>
                  <w:rStyle w:val="Style9"/>
                  <w:rFonts w:cs="Arial"/>
                  <w:color w:val="0000FF"/>
                  <w:sz w:val="24"/>
                  <w:szCs w:val="24"/>
                </w:rPr>
                <w:t>&lt;*&gt;</w:t>
              </w:r>
            </w:hyperlink>
          </w:p>
        </w:tc>
      </w:tr>
    </w:tbl>
    <w:p>
      <w:pPr>
        <w:pStyle w:val="ConsPlusNormal3"/>
        <w:ind w:left="0" w:right="0" w:firstLine="540"/>
        <w:jc w:val="both"/>
        <w:rPr>
          <w:rFonts w:cs="Arial"/>
          <w:sz w:val="24"/>
          <w:szCs w:val="24"/>
        </w:rPr>
      </w:pPr>
      <w:bookmarkStart w:id="28" w:name="P4202"/>
      <w:bookmarkEnd w:id="28"/>
      <w:r>
        <w:rPr>
          <w:rFonts w:cs="Arial"/>
          <w:sz w:val="24"/>
          <w:szCs w:val="24"/>
        </w:rPr>
        <w:t>&lt;*&gt; Устанавливаются по согласованию с органами государственного санитарного надзора.</w:t>
      </w:r>
    </w:p>
    <w:p>
      <w:pPr>
        <w:pStyle w:val="ConsPlusNormal3"/>
        <w:ind w:left="0" w:right="0" w:firstLine="540"/>
        <w:jc w:val="both"/>
        <w:rPr>
          <w:rFonts w:cs="Arial"/>
          <w:sz w:val="24"/>
          <w:szCs w:val="24"/>
        </w:rPr>
      </w:pPr>
      <w:r>
        <w:rPr>
          <w:rFonts w:cs="Arial"/>
          <w:sz w:val="24"/>
          <w:szCs w:val="24"/>
        </w:rPr>
      </w:r>
    </w:p>
    <w:p>
      <w:pPr>
        <w:pStyle w:val="ConsPlusNormal3"/>
        <w:ind w:left="0" w:right="0" w:firstLine="540"/>
        <w:jc w:val="both"/>
        <w:rPr>
          <w:rFonts w:cs="Arial"/>
          <w:sz w:val="24"/>
          <w:szCs w:val="24"/>
        </w:rPr>
      </w:pPr>
      <w:r>
        <w:rPr>
          <w:rFonts w:cs="Arial"/>
          <w:sz w:val="24"/>
          <w:szCs w:val="24"/>
        </w:rPr>
        <w:t>Примечания:</w:t>
      </w:r>
    </w:p>
    <w:p>
      <w:pPr>
        <w:pStyle w:val="ConsPlusNormal3"/>
        <w:ind w:left="0" w:right="0" w:firstLine="540"/>
        <w:jc w:val="both"/>
        <w:rPr>
          <w:rFonts w:cs="Arial"/>
          <w:sz w:val="24"/>
          <w:szCs w:val="24"/>
        </w:rPr>
      </w:pPr>
      <w:r>
        <w:rPr>
          <w:rFonts w:cs="Arial"/>
          <w:sz w:val="24"/>
          <w:szCs w:val="24"/>
        </w:rPr>
        <w:t>1. Расстояния следует определять от границ автостоянок (открытых площадок), стен гаража-стоянки до границ участков детских дошкольных учреждений, школ, лечебных учреждений стационарного типа.</w:t>
      </w:r>
    </w:p>
    <w:p>
      <w:pPr>
        <w:pStyle w:val="ConsPlusNormal3"/>
        <w:ind w:left="0" w:right="0" w:firstLine="540"/>
        <w:jc w:val="both"/>
        <w:rPr>
          <w:rFonts w:cs="Arial"/>
          <w:sz w:val="24"/>
          <w:szCs w:val="24"/>
        </w:rPr>
      </w:pPr>
      <w:r>
        <w:rPr>
          <w:rFonts w:cs="Arial"/>
          <w:sz w:val="24"/>
          <w:szCs w:val="24"/>
        </w:rPr>
        <w:t>2. В случае размещения на смежных участках нескольких автостоянок (открытых площадок), расположенных с разрывом между ними, не превышающим 25 м, расстояние от этих автостоянок до жилых домов и других зданий следует принимать с учетом общего количества машино-мест на всех автостоянках, но во всех случаях не допуская размещения во внутриквартальной жилой застройке автостоянок вместимостью более 500 машино-мест.</w:t>
      </w:r>
    </w:p>
    <w:p>
      <w:pPr>
        <w:pStyle w:val="ConsPlusNormal3"/>
        <w:ind w:left="0" w:right="0" w:firstLine="540"/>
        <w:jc w:val="both"/>
        <w:rPr>
          <w:rFonts w:cs="Arial"/>
          <w:sz w:val="24"/>
          <w:szCs w:val="24"/>
        </w:rPr>
      </w:pPr>
      <w:r>
        <w:rPr>
          <w:rFonts w:cs="Arial"/>
          <w:sz w:val="24"/>
          <w:szCs w:val="24"/>
        </w:rPr>
      </w:r>
    </w:p>
    <w:p>
      <w:pPr>
        <w:pStyle w:val="5551"/>
        <w:rPr>
          <w:rFonts w:ascii="Arial" w:hAnsi="Arial" w:cs="Arial"/>
        </w:rPr>
      </w:pPr>
      <w:r>
        <w:rPr>
          <w:rFonts w:cs="Arial" w:ascii="Arial" w:hAnsi="Arial"/>
        </w:rPr>
        <w:t>9.10.</w:t>
        <w:tab/>
        <w:t>Места для хранения легковых автомобилей, принадлежащих инвалидам, в соответствии с требованиями СП 59.13330.2012 "Доступность зданий и сооружений для маломобильных групп населения" (Актуализированная редакция СНиП 35-01-2001) следует предоставлять в гаражах-стоянках и на автостоянках, расположенных не далее 100 м от места проживания автовладельца.</w:t>
      </w:r>
    </w:p>
    <w:p>
      <w:pPr>
        <w:pStyle w:val="5551"/>
        <w:rPr/>
      </w:pPr>
      <w:r>
        <w:rPr>
          <w:rFonts w:cs="Arial" w:ascii="Arial" w:hAnsi="Arial"/>
        </w:rPr>
        <w:t>9.11.</w:t>
        <w:tab/>
        <w:t>Для объектов нового строительства и реконструкции общественного и производственного назначения, а также при изменении функционального назначения объектов требуемое количество машино-мест для парковки легкового автотранспорта (для работающих и посетителей) следует определять расчетом в соответствии с нормативами, приведенными в  таблице 9.1 настоящих Нормативов.</w:t>
      </w:r>
    </w:p>
    <w:p>
      <w:pPr>
        <w:pStyle w:val="ConsPlusNormal3"/>
        <w:ind w:left="0" w:right="0" w:firstLine="540"/>
        <w:jc w:val="both"/>
        <w:rPr>
          <w:rFonts w:cs="Arial"/>
          <w:sz w:val="24"/>
          <w:szCs w:val="24"/>
        </w:rPr>
      </w:pPr>
      <w:r>
        <w:rPr>
          <w:rFonts w:cs="Arial"/>
          <w:sz w:val="24"/>
          <w:szCs w:val="24"/>
        </w:rPr>
        <w:t>На автостоянках и в гаражах-стоянках, обслуживающих объекты различного функционального назначения, следует выделять места для парковки личных автотранспортных средств, принадлежащих инвалидам, в соответствии с требованиями СП 59.13330.2012 "Доступность зданий и сооружений для маломобильных групп населения" (Актуализированная редакция СНиП 35-01-2001).</w:t>
      </w:r>
    </w:p>
    <w:p>
      <w:pPr>
        <w:pStyle w:val="5551"/>
        <w:rPr>
          <w:rFonts w:ascii="Arial" w:hAnsi="Arial" w:cs="Arial"/>
        </w:rPr>
      </w:pPr>
      <w:bookmarkStart w:id="29" w:name="P4212"/>
      <w:bookmarkEnd w:id="29"/>
      <w:r>
        <w:rPr>
          <w:rFonts w:cs="Arial" w:ascii="Arial" w:hAnsi="Arial"/>
        </w:rPr>
        <w:t>9.12.</w:t>
        <w:tab/>
        <w:t>При расчете потребности в парковочных местах допускается применение следующих понижающих коэффициентов для общественных зданий (учреждения, организации, высшие учебные заведения, пром. предприятия, больницы, театры, торговые объекты, рынки, общепит, гостиницы, культовые объекты):</w:t>
      </w:r>
    </w:p>
    <w:p>
      <w:pPr>
        <w:pStyle w:val="ConsPlusNormal3"/>
        <w:numPr>
          <w:ilvl w:val="0"/>
          <w:numId w:val="5"/>
        </w:numPr>
        <w:suppressAutoHyphens w:val="false"/>
        <w:jc w:val="both"/>
        <w:rPr>
          <w:rFonts w:cs="Arial"/>
          <w:sz w:val="24"/>
          <w:szCs w:val="24"/>
        </w:rPr>
      </w:pPr>
      <w:r>
        <w:rPr>
          <w:rFonts w:cs="Arial"/>
          <w:sz w:val="24"/>
          <w:szCs w:val="24"/>
        </w:rPr>
        <w:t>Коэффициент 0,7 в зоне высокого насыщения интегрированной общественной функцией (исторический центр города).</w:t>
      </w:r>
    </w:p>
    <w:p>
      <w:pPr>
        <w:pStyle w:val="ConsPlusNormal3"/>
        <w:suppressAutoHyphens w:val="false"/>
        <w:jc w:val="both"/>
        <w:rPr>
          <w:rFonts w:cs="Arial"/>
          <w:sz w:val="24"/>
          <w:szCs w:val="24"/>
        </w:rPr>
      </w:pPr>
      <w:r>
        <w:rPr>
          <w:rFonts w:cs="Arial"/>
          <w:sz w:val="24"/>
          <w:szCs w:val="24"/>
        </w:rPr>
        <w:t>При строительстве указанных объектов на магистральных улицах с движением общественного транспорта :</w:t>
      </w:r>
    </w:p>
    <w:p>
      <w:pPr>
        <w:pStyle w:val="ConsPlusNormal3"/>
        <w:numPr>
          <w:ilvl w:val="0"/>
          <w:numId w:val="5"/>
        </w:numPr>
        <w:suppressAutoHyphens w:val="false"/>
        <w:jc w:val="both"/>
        <w:rPr>
          <w:rFonts w:cs="Arial"/>
          <w:sz w:val="24"/>
          <w:szCs w:val="24"/>
        </w:rPr>
      </w:pPr>
      <w:r>
        <w:rPr>
          <w:rFonts w:cs="Arial"/>
          <w:sz w:val="24"/>
          <w:szCs w:val="24"/>
        </w:rPr>
        <w:t>коэффициент 0,85 - при наличии трех видов наземного общественного транспорта;</w:t>
      </w:r>
    </w:p>
    <w:p>
      <w:pPr>
        <w:pStyle w:val="ConsPlusNormal3"/>
        <w:numPr>
          <w:ilvl w:val="0"/>
          <w:numId w:val="5"/>
        </w:numPr>
        <w:suppressAutoHyphens w:val="false"/>
        <w:jc w:val="both"/>
        <w:rPr>
          <w:rFonts w:cs="Arial"/>
          <w:sz w:val="24"/>
          <w:szCs w:val="24"/>
        </w:rPr>
      </w:pPr>
      <w:r>
        <w:rPr>
          <w:rFonts w:cs="Arial"/>
          <w:sz w:val="24"/>
          <w:szCs w:val="24"/>
        </w:rPr>
        <w:t>коэффициент 0,9 - при наличии двух видов наземного общественного транспорта.</w:t>
      </w:r>
    </w:p>
    <w:p>
      <w:pPr>
        <w:pStyle w:val="5551"/>
        <w:rPr>
          <w:rFonts w:ascii="Arial" w:hAnsi="Arial" w:cs="Arial"/>
        </w:rPr>
      </w:pPr>
      <w:r>
        <w:rPr>
          <w:rFonts w:cs="Arial" w:ascii="Arial" w:hAnsi="Arial"/>
        </w:rPr>
        <w:t>9.13.</w:t>
        <w:tab/>
        <w:t>Тип сооружения для хранения или парковки легковых автомобилей следует выбирать в соответствии с общим архитектурно-градостроительным решением окружающей застройки, с учетом территориальных возможностей, гидрогеологических особенностей.</w:t>
      </w:r>
    </w:p>
    <w:p>
      <w:pPr>
        <w:pStyle w:val="5551"/>
        <w:rPr>
          <w:rFonts w:ascii="Arial" w:hAnsi="Arial" w:cs="Arial"/>
        </w:rPr>
      </w:pPr>
      <w:r>
        <w:rPr>
          <w:rFonts w:cs="Arial" w:ascii="Arial" w:hAnsi="Arial"/>
        </w:rPr>
        <w:t>9.14.</w:t>
        <w:tab/>
        <w:t>При строительстве или реконструкции объектов капитального строительства, предназначенных для размещения дошкольных образовательных организаций и общеобразовательных организаций, необходимо предусматривать парковочные карманы для кратковременного паркования автотранспортных средств (родители детей, посещающих учреждение).</w:t>
      </w:r>
    </w:p>
    <w:p>
      <w:pPr>
        <w:pStyle w:val="Normal"/>
        <w:spacing w:lineRule="auto" w:line="240" w:before="0" w:after="0"/>
        <w:ind w:left="0" w:right="0" w:firstLine="708"/>
        <w:jc w:val="both"/>
        <w:rPr>
          <w:rFonts w:ascii="Arial" w:hAnsi="Arial" w:eastAsia="Times New Roman" w:cs="Arial"/>
          <w:sz w:val="24"/>
          <w:szCs w:val="24"/>
          <w:lang w:eastAsia="ru-RU"/>
        </w:rPr>
      </w:pPr>
      <w:r>
        <w:rPr>
          <w:rFonts w:eastAsia="Times New Roman" w:cs="Arial" w:ascii="Arial" w:hAnsi="Arial"/>
          <w:sz w:val="24"/>
          <w:szCs w:val="24"/>
          <w:lang w:eastAsia="ru-RU"/>
        </w:rPr>
      </w:r>
    </w:p>
    <w:p>
      <w:pPr>
        <w:pStyle w:val="5551"/>
        <w:rPr/>
      </w:pPr>
      <w:bookmarkStart w:id="30" w:name="__RefHeading___Toc494193923"/>
      <w:r>
        <w:rPr>
          <w:rStyle w:val="55555"/>
          <w:rFonts w:eastAsia="Calibri" w:cs="Arial" w:ascii="Arial" w:hAnsi="Arial"/>
        </w:rPr>
        <w:t>9.15.</w:t>
        <w:tab/>
        <w:t>Норматив размеров земельного участка гаражей и стоянок автомобилей в зависимости от этажности</w:t>
      </w:r>
      <w:bookmarkEnd w:id="30"/>
      <w:r>
        <w:rPr>
          <w:rFonts w:cs="Arial" w:ascii="Arial" w:hAnsi="Arial"/>
        </w:rPr>
        <w:t xml:space="preserve"> принимается в соответствии с таблицей 9.3.</w:t>
      </w:r>
    </w:p>
    <w:p>
      <w:pPr>
        <w:pStyle w:val="Normal"/>
        <w:spacing w:lineRule="auto" w:line="240" w:before="0" w:after="0"/>
        <w:ind w:left="0" w:right="0" w:firstLine="709"/>
        <w:jc w:val="right"/>
        <w:rPr>
          <w:rFonts w:ascii="Arial" w:hAnsi="Arial" w:eastAsia="Arial" w:cs="Arial"/>
          <w:sz w:val="24"/>
          <w:szCs w:val="24"/>
          <w:lang w:eastAsia="ru-RU"/>
        </w:rPr>
      </w:pPr>
      <w:r>
        <w:rPr>
          <w:rFonts w:eastAsia="Arial" w:cs="Arial" w:ascii="Arial" w:hAnsi="Arial"/>
          <w:sz w:val="24"/>
          <w:szCs w:val="24"/>
          <w:lang w:eastAsia="ru-RU"/>
        </w:rPr>
        <w:t>Таблица 9.3</w:t>
      </w:r>
    </w:p>
    <w:tbl>
      <w:tblPr>
        <w:tblW w:w="9433"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3572"/>
        <w:gridCol w:w="2795"/>
        <w:gridCol w:w="3066"/>
      </w:tblGrid>
      <w:tr>
        <w:trPr>
          <w:trHeight w:val="313" w:hRule="atLeast"/>
        </w:trPr>
        <w:tc>
          <w:tcPr>
            <w:tcW w:w="3572"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bCs/>
                <w:color w:val="000000"/>
                <w:sz w:val="24"/>
                <w:szCs w:val="24"/>
                <w:lang w:eastAsia="ar-SA"/>
              </w:rPr>
            </w:pPr>
            <w:r>
              <w:rPr>
                <w:rFonts w:eastAsia="Times New Roman" w:cs="Arial" w:ascii="Arial" w:hAnsi="Arial"/>
                <w:b/>
                <w:bCs/>
                <w:color w:val="000000"/>
                <w:sz w:val="24"/>
                <w:szCs w:val="24"/>
                <w:lang w:eastAsia="ar-SA"/>
              </w:rPr>
              <w:t>Этажность гаражного сооружения</w:t>
            </w:r>
          </w:p>
        </w:tc>
        <w:tc>
          <w:tcPr>
            <w:tcW w:w="2795"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bCs/>
                <w:color w:val="000000"/>
                <w:sz w:val="24"/>
                <w:szCs w:val="24"/>
                <w:lang w:eastAsia="ar-SA"/>
              </w:rPr>
            </w:pPr>
            <w:r>
              <w:rPr>
                <w:rFonts w:eastAsia="Times New Roman" w:cs="Arial" w:ascii="Arial" w:hAnsi="Arial"/>
                <w:b/>
                <w:bCs/>
                <w:color w:val="000000"/>
                <w:sz w:val="24"/>
                <w:szCs w:val="24"/>
                <w:lang w:eastAsia="ar-SA"/>
              </w:rPr>
              <w:t xml:space="preserve">Единица измерения </w:t>
            </w:r>
          </w:p>
        </w:tc>
        <w:tc>
          <w:tcPr>
            <w:tcW w:w="306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bCs/>
                <w:color w:val="000000"/>
                <w:sz w:val="24"/>
                <w:szCs w:val="24"/>
                <w:lang w:eastAsia="ar-SA"/>
              </w:rPr>
            </w:pPr>
            <w:r>
              <w:rPr>
                <w:rFonts w:eastAsia="Times New Roman" w:cs="Arial" w:ascii="Arial" w:hAnsi="Arial"/>
                <w:b/>
                <w:bCs/>
                <w:color w:val="000000"/>
                <w:sz w:val="24"/>
                <w:szCs w:val="24"/>
                <w:lang w:eastAsia="ar-SA"/>
              </w:rPr>
              <w:t>Норма обеспеченности</w:t>
            </w:r>
          </w:p>
        </w:tc>
      </w:tr>
      <w:tr>
        <w:trPr/>
        <w:tc>
          <w:tcPr>
            <w:tcW w:w="357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Одноэтажное </w:t>
            </w:r>
          </w:p>
        </w:tc>
        <w:tc>
          <w:tcPr>
            <w:tcW w:w="2795"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pPr>
            <w:r>
              <w:rPr>
                <w:rFonts w:eastAsia="Times New Roman" w:cs="Arial" w:ascii="Arial" w:hAnsi="Arial"/>
                <w:color w:val="000000"/>
                <w:sz w:val="24"/>
                <w:szCs w:val="24"/>
                <w:lang w:eastAsia="ar-SA"/>
              </w:rPr>
              <w:t>м</w:t>
            </w:r>
            <w:r>
              <w:rPr>
                <w:rFonts w:eastAsia="Times New Roman" w:cs="Arial" w:ascii="Arial" w:hAnsi="Arial"/>
                <w:bCs/>
                <w:color w:val="000000"/>
                <w:sz w:val="24"/>
                <w:szCs w:val="24"/>
                <w:vertAlign w:val="superscript"/>
                <w:lang w:eastAsia="ar-SA"/>
              </w:rPr>
              <w:t>2</w:t>
            </w:r>
            <w:r>
              <w:rPr>
                <w:rFonts w:eastAsia="Times New Roman" w:cs="Arial" w:ascii="Arial" w:hAnsi="Arial"/>
                <w:color w:val="000000"/>
                <w:sz w:val="24"/>
                <w:szCs w:val="24"/>
                <w:lang w:eastAsia="ar-SA"/>
              </w:rPr>
              <w:t xml:space="preserve"> на 1 машино-место</w:t>
            </w:r>
          </w:p>
        </w:tc>
        <w:tc>
          <w:tcPr>
            <w:tcW w:w="306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w:t>
            </w:r>
          </w:p>
        </w:tc>
      </w:tr>
      <w:tr>
        <w:trPr/>
        <w:tc>
          <w:tcPr>
            <w:tcW w:w="357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Двухэтажное </w:t>
            </w:r>
          </w:p>
        </w:tc>
        <w:tc>
          <w:tcPr>
            <w:tcW w:w="2795"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pPr>
            <w:r>
              <w:rPr>
                <w:rFonts w:eastAsia="Times New Roman" w:cs="Arial" w:ascii="Arial" w:hAnsi="Arial"/>
                <w:color w:val="000000"/>
                <w:sz w:val="24"/>
                <w:szCs w:val="24"/>
                <w:lang w:eastAsia="ar-SA"/>
              </w:rPr>
              <w:t>м</w:t>
            </w:r>
            <w:r>
              <w:rPr>
                <w:rFonts w:eastAsia="Times New Roman" w:cs="Arial" w:ascii="Arial" w:hAnsi="Arial"/>
                <w:bCs/>
                <w:color w:val="000000"/>
                <w:sz w:val="24"/>
                <w:szCs w:val="24"/>
                <w:vertAlign w:val="superscript"/>
                <w:lang w:eastAsia="ar-SA"/>
              </w:rPr>
              <w:t>2</w:t>
            </w:r>
            <w:r>
              <w:rPr>
                <w:rFonts w:eastAsia="Times New Roman" w:cs="Arial" w:ascii="Arial" w:hAnsi="Arial"/>
                <w:color w:val="000000"/>
                <w:sz w:val="24"/>
                <w:szCs w:val="24"/>
                <w:lang w:eastAsia="ar-SA"/>
              </w:rPr>
              <w:t xml:space="preserve"> на 1 машино-место</w:t>
            </w:r>
          </w:p>
        </w:tc>
        <w:tc>
          <w:tcPr>
            <w:tcW w:w="306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w:t>
            </w:r>
          </w:p>
        </w:tc>
      </w:tr>
    </w:tbl>
    <w:p>
      <w:pPr>
        <w:pStyle w:val="Normal"/>
        <w:spacing w:lineRule="auto" w:line="240" w:before="0" w:after="0"/>
        <w:jc w:val="both"/>
        <w:rPr>
          <w:rFonts w:ascii="Arial" w:hAnsi="Arial" w:cs="Arial"/>
          <w:sz w:val="24"/>
          <w:szCs w:val="24"/>
        </w:rPr>
      </w:pPr>
      <w:r>
        <w:rPr>
          <w:rFonts w:cs="Arial" w:ascii="Arial" w:hAnsi="Arial"/>
          <w:sz w:val="24"/>
          <w:szCs w:val="24"/>
        </w:rPr>
      </w:r>
    </w:p>
    <w:p>
      <w:pPr>
        <w:pStyle w:val="5551"/>
        <w:rPr/>
      </w:pPr>
      <w:bookmarkStart w:id="31" w:name="__RefHeading___Toc494193924"/>
      <w:r>
        <w:rPr>
          <w:rStyle w:val="55555"/>
          <w:rFonts w:eastAsia="Calibri" w:cs="Arial" w:ascii="Arial" w:hAnsi="Arial"/>
        </w:rPr>
        <w:t>9.16.</w:t>
        <w:tab/>
        <w:t>Норматив размеров земельного участка гаражей и парков транспортных средств</w:t>
      </w:r>
      <w:bookmarkEnd w:id="31"/>
      <w:r>
        <w:rPr>
          <w:rStyle w:val="55555"/>
          <w:rFonts w:eastAsia="Calibri" w:cs="Arial" w:ascii="Arial" w:hAnsi="Arial"/>
        </w:rPr>
        <w:t xml:space="preserve"> </w:t>
      </w:r>
      <w:r>
        <w:rPr>
          <w:rFonts w:cs="Arial" w:ascii="Arial" w:hAnsi="Arial"/>
        </w:rPr>
        <w:t>принимается в соответствии с таблицей 9.4.</w:t>
      </w:r>
    </w:p>
    <w:p>
      <w:pPr>
        <w:pStyle w:val="Normal"/>
        <w:spacing w:lineRule="auto" w:line="240" w:before="0" w:after="0"/>
        <w:ind w:left="0" w:right="0" w:firstLine="709"/>
        <w:jc w:val="right"/>
        <w:rPr>
          <w:rFonts w:ascii="Arial" w:hAnsi="Arial" w:eastAsia="Arial" w:cs="Arial"/>
          <w:sz w:val="24"/>
          <w:szCs w:val="24"/>
          <w:lang w:eastAsia="ru-RU"/>
        </w:rPr>
      </w:pPr>
      <w:r>
        <w:rPr>
          <w:rFonts w:eastAsia="Arial" w:cs="Arial" w:ascii="Arial" w:hAnsi="Arial"/>
          <w:sz w:val="24"/>
          <w:szCs w:val="24"/>
          <w:lang w:eastAsia="ru-RU"/>
        </w:rPr>
        <w:t>Таблица 9.4</w:t>
      </w:r>
    </w:p>
    <w:tbl>
      <w:tblPr>
        <w:tblW w:w="9478"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2686"/>
        <w:gridCol w:w="2278"/>
        <w:gridCol w:w="2277"/>
        <w:gridCol w:w="2237"/>
      </w:tblGrid>
      <w:tr>
        <w:trPr>
          <w:trHeight w:val="313" w:hRule="atLeast"/>
        </w:trPr>
        <w:tc>
          <w:tcPr>
            <w:tcW w:w="2686"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bCs/>
                <w:color w:val="000000"/>
                <w:sz w:val="24"/>
                <w:szCs w:val="24"/>
                <w:lang w:eastAsia="ar-SA"/>
              </w:rPr>
            </w:pPr>
            <w:r>
              <w:rPr>
                <w:rFonts w:eastAsia="Times New Roman" w:cs="Arial" w:ascii="Arial" w:hAnsi="Arial"/>
                <w:b/>
                <w:bCs/>
                <w:color w:val="000000"/>
                <w:sz w:val="24"/>
                <w:szCs w:val="24"/>
                <w:lang w:eastAsia="ar-SA"/>
              </w:rPr>
              <w:t xml:space="preserve">Объект </w:t>
            </w:r>
          </w:p>
        </w:tc>
        <w:tc>
          <w:tcPr>
            <w:tcW w:w="2278"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bCs/>
                <w:color w:val="000000"/>
                <w:sz w:val="24"/>
                <w:szCs w:val="24"/>
                <w:lang w:eastAsia="ar-SA"/>
              </w:rPr>
            </w:pPr>
            <w:r>
              <w:rPr>
                <w:rFonts w:eastAsia="Times New Roman" w:cs="Arial" w:ascii="Arial" w:hAnsi="Arial"/>
                <w:b/>
                <w:bCs/>
                <w:color w:val="000000"/>
                <w:sz w:val="24"/>
                <w:szCs w:val="24"/>
                <w:lang w:eastAsia="ar-SA"/>
              </w:rPr>
              <w:t xml:space="preserve">Расчетная единица </w:t>
            </w:r>
          </w:p>
        </w:tc>
        <w:tc>
          <w:tcPr>
            <w:tcW w:w="2277"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bCs/>
                <w:color w:val="000000"/>
                <w:sz w:val="24"/>
                <w:szCs w:val="24"/>
                <w:lang w:eastAsia="ar-SA"/>
              </w:rPr>
            </w:pPr>
            <w:r>
              <w:rPr>
                <w:rFonts w:eastAsia="Times New Roman" w:cs="Arial" w:ascii="Arial" w:hAnsi="Arial"/>
                <w:b/>
                <w:bCs/>
                <w:color w:val="000000"/>
                <w:sz w:val="24"/>
                <w:szCs w:val="24"/>
                <w:lang w:eastAsia="ar-SA"/>
              </w:rPr>
              <w:t>Вместимость объекта</w:t>
            </w:r>
          </w:p>
        </w:tc>
        <w:tc>
          <w:tcPr>
            <w:tcW w:w="223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b/>
                <w:b/>
                <w:bCs/>
                <w:color w:val="000000"/>
                <w:sz w:val="24"/>
                <w:szCs w:val="24"/>
                <w:lang w:eastAsia="ar-SA"/>
              </w:rPr>
            </w:pPr>
            <w:r>
              <w:rPr>
                <w:rFonts w:eastAsia="Times New Roman" w:cs="Arial" w:ascii="Arial" w:hAnsi="Arial"/>
                <w:b/>
                <w:bCs/>
                <w:color w:val="000000"/>
                <w:sz w:val="24"/>
                <w:szCs w:val="24"/>
                <w:lang w:eastAsia="ar-SA"/>
              </w:rPr>
              <w:t>Площадь участка, га</w:t>
            </w:r>
          </w:p>
        </w:tc>
      </w:tr>
      <w:tr>
        <w:trPr/>
        <w:tc>
          <w:tcPr>
            <w:tcW w:w="2686"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Гаражи грузовых автомобилей</w:t>
            </w:r>
          </w:p>
        </w:tc>
        <w:tc>
          <w:tcPr>
            <w:tcW w:w="227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Автомобиль</w:t>
            </w:r>
          </w:p>
        </w:tc>
        <w:tc>
          <w:tcPr>
            <w:tcW w:w="2277"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100-200</w:t>
            </w:r>
          </w:p>
        </w:tc>
        <w:tc>
          <w:tcPr>
            <w:tcW w:w="223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2-3,5</w:t>
            </w:r>
          </w:p>
        </w:tc>
      </w:tr>
      <w:tr>
        <w:trPr/>
        <w:tc>
          <w:tcPr>
            <w:tcW w:w="2686"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Автобусные парки</w:t>
            </w:r>
          </w:p>
        </w:tc>
        <w:tc>
          <w:tcPr>
            <w:tcW w:w="2278"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Автомобиль</w:t>
            </w:r>
          </w:p>
        </w:tc>
        <w:tc>
          <w:tcPr>
            <w:tcW w:w="2277"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100-200</w:t>
            </w:r>
          </w:p>
        </w:tc>
        <w:tc>
          <w:tcPr>
            <w:tcW w:w="223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2,3-3,5</w:t>
            </w:r>
          </w:p>
        </w:tc>
      </w:tr>
    </w:tbl>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xml:space="preserve">Примечание: </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При соответствующем обосновании размеры земельных участков допускается уменьшать, но не более чем на 20%.</w:t>
      </w:r>
    </w:p>
    <w:p>
      <w:pPr>
        <w:pStyle w:val="5551"/>
        <w:rPr/>
      </w:pPr>
      <w:bookmarkStart w:id="32" w:name="__RefHeading___Toc494193925"/>
      <w:r>
        <w:rPr>
          <w:rStyle w:val="55555"/>
          <w:rFonts w:eastAsia="Calibri" w:cs="Arial" w:ascii="Arial" w:hAnsi="Arial"/>
        </w:rPr>
        <w:t>9.17.</w:t>
        <w:tab/>
        <w:t xml:space="preserve"> Норматив размеров земельного участка открытых стоянок автомобилей</w:t>
      </w:r>
      <w:bookmarkEnd w:id="32"/>
      <w:r>
        <w:rPr>
          <w:rFonts w:cs="Arial" w:ascii="Arial" w:hAnsi="Arial"/>
        </w:rPr>
        <w:t xml:space="preserve"> составляет 25 (18)* метров квадратных на 1 машино-место.</w:t>
      </w:r>
    </w:p>
    <w:p>
      <w:pPr>
        <w:pStyle w:val="Normal"/>
        <w:spacing w:lineRule="auto" w:line="240" w:before="0" w:after="0"/>
        <w:ind w:left="0" w:right="0" w:firstLine="709"/>
        <w:jc w:val="both"/>
        <w:rPr>
          <w:rFonts w:ascii="Arial" w:hAnsi="Arial" w:cs="Arial"/>
          <w:sz w:val="24"/>
          <w:szCs w:val="24"/>
        </w:rPr>
      </w:pPr>
      <w:r>
        <w:rPr>
          <w:rFonts w:cs="Arial" w:ascii="Arial" w:hAnsi="Arial"/>
          <w:sz w:val="24"/>
          <w:szCs w:val="24"/>
        </w:rPr>
        <w:t>* В скобках – при примыкании участков для стоянки к проезжей части улиц и проездов.</w:t>
      </w:r>
    </w:p>
    <w:p>
      <w:pPr>
        <w:pStyle w:val="NoSpacing"/>
        <w:numPr>
          <w:ilvl w:val="0"/>
          <w:numId w:val="0"/>
        </w:numPr>
        <w:ind w:left="0" w:hanging="0"/>
        <w:rPr>
          <w:rFonts w:ascii="Arial" w:hAnsi="Arial" w:cs="Arial"/>
          <w:b/>
          <w:b/>
          <w:i/>
          <w:i/>
          <w:sz w:val="24"/>
          <w:szCs w:val="24"/>
        </w:rPr>
      </w:pPr>
      <w:r>
        <w:rPr>
          <w:rFonts w:cs="Arial" w:ascii="Arial" w:hAnsi="Arial"/>
          <w:b/>
          <w:i/>
          <w:sz w:val="24"/>
          <w:szCs w:val="24"/>
        </w:rPr>
      </w:r>
    </w:p>
    <w:p>
      <w:pPr>
        <w:pStyle w:val="Style117"/>
        <w:rPr>
          <w:rFonts w:ascii="Arial" w:hAnsi="Arial" w:cs="Arial"/>
        </w:rPr>
      </w:pPr>
      <w:bookmarkStart w:id="33" w:name="__RefHeading___Toc494193926"/>
      <w:bookmarkEnd w:id="33"/>
      <w:r>
        <w:rPr>
          <w:rFonts w:cs="Arial" w:ascii="Arial" w:hAnsi="Arial"/>
        </w:rPr>
        <w:t>10. Расчетные показатели зоны рекреационного назначения</w:t>
      </w:r>
    </w:p>
    <w:p>
      <w:pPr>
        <w:pStyle w:val="NoSpacing"/>
        <w:ind w:left="0" w:right="0" w:firstLine="708"/>
        <w:jc w:val="both"/>
        <w:rPr>
          <w:rFonts w:ascii="Arial" w:hAnsi="Arial" w:cs="Arial"/>
          <w:sz w:val="24"/>
          <w:szCs w:val="24"/>
        </w:rPr>
      </w:pPr>
      <w:r>
        <w:rPr>
          <w:rFonts w:cs="Arial" w:ascii="Arial" w:hAnsi="Arial"/>
          <w:sz w:val="24"/>
          <w:szCs w:val="24"/>
        </w:rPr>
      </w:r>
    </w:p>
    <w:p>
      <w:pPr>
        <w:pStyle w:val="5551"/>
        <w:rPr/>
      </w:pPr>
      <w:bookmarkStart w:id="34" w:name="__RefHeading___Toc494193927"/>
      <w:r>
        <w:rPr>
          <w:rStyle w:val="55555"/>
          <w:rFonts w:eastAsia="Calibri" w:cs="Arial" w:ascii="Arial" w:hAnsi="Arial"/>
        </w:rPr>
        <w:t>10.1.</w:t>
        <w:tab/>
        <w:t>Минимальную площадь объектов рекреационного назначения, размещаемых на территориях общего пользования населенных пунктов</w:t>
      </w:r>
      <w:bookmarkEnd w:id="34"/>
      <w:r>
        <w:rPr>
          <w:rFonts w:cs="Arial" w:ascii="Arial" w:hAnsi="Arial"/>
          <w:lang w:eastAsia="ar-SA"/>
        </w:rPr>
        <w:t>, следует предусматривать, га, не менее:</w:t>
      </w:r>
    </w:p>
    <w:p>
      <w:pPr>
        <w:pStyle w:val="Normal"/>
        <w:widowControl w:val="false"/>
        <w:suppressAutoHyphens w:val="true"/>
        <w:spacing w:lineRule="auto" w:line="240" w:before="0" w:after="0"/>
        <w:ind w:left="720" w:right="0" w:hanging="11"/>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сельский  парк среднего и малого населенного пункта – 3-5;</w:t>
      </w:r>
    </w:p>
    <w:p>
      <w:pPr>
        <w:pStyle w:val="Normal"/>
        <w:widowControl w:val="false"/>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2) парков (садов) планировочных районов - 10; </w:t>
      </w:r>
    </w:p>
    <w:p>
      <w:pPr>
        <w:pStyle w:val="Normal"/>
        <w:widowControl w:val="false"/>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 садов микрорайонов (кварталов) - 3;</w:t>
      </w:r>
    </w:p>
    <w:p>
      <w:pPr>
        <w:pStyle w:val="Normal"/>
        <w:widowControl w:val="false"/>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 скверов - 0,5.</w:t>
      </w:r>
    </w:p>
    <w:p>
      <w:pPr>
        <w:pStyle w:val="Normal"/>
        <w:widowControl w:val="false"/>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Площадь парка (сада) сельского населенного пункта следует принимать не менее 1-2 га.</w:t>
      </w:r>
    </w:p>
    <w:p>
      <w:pPr>
        <w:pStyle w:val="5551"/>
        <w:rPr/>
      </w:pPr>
      <w:bookmarkStart w:id="35" w:name="__RefHeading___Toc494193928"/>
      <w:r>
        <w:rPr>
          <w:rStyle w:val="55555"/>
          <w:rFonts w:eastAsia="Calibri" w:cs="Arial" w:ascii="Arial" w:hAnsi="Arial"/>
        </w:rPr>
        <w:t>10.2.</w:t>
        <w:tab/>
        <w:t>Минимальные расчетные показатели численности единовременных посетителей парков, зон отдыха, лесопарков, лесов</w:t>
      </w:r>
      <w:bookmarkEnd w:id="35"/>
      <w:r>
        <w:rPr>
          <w:rFonts w:cs="Arial" w:ascii="Arial" w:hAnsi="Arial"/>
          <w:b/>
          <w:i/>
          <w:lang w:eastAsia="ar-SA"/>
        </w:rPr>
        <w:t xml:space="preserve"> </w:t>
      </w:r>
      <w:r>
        <w:rPr>
          <w:rFonts w:eastAsia="Times New Roman" w:cs="Arial" w:ascii="Arial" w:hAnsi="Arial"/>
          <w:iCs w:val="false"/>
          <w:lang w:eastAsia="ar-SA"/>
        </w:rPr>
        <w:t xml:space="preserve">следует </w:t>
      </w:r>
      <w:r>
        <w:rPr>
          <w:rFonts w:cs="Arial" w:ascii="Arial" w:hAnsi="Arial"/>
          <w:lang w:eastAsia="ar-SA"/>
        </w:rPr>
        <w:t xml:space="preserve">принимать, чел/га, для: </w:t>
      </w:r>
    </w:p>
    <w:p>
      <w:pPr>
        <w:pStyle w:val="Normal"/>
        <w:widowControl w:val="false"/>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сельских парков, парков планировочных районов 100;</w:t>
      </w:r>
    </w:p>
    <w:p>
      <w:pPr>
        <w:pStyle w:val="Normal"/>
        <w:widowControl w:val="false"/>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 парков курортных зон 50;</w:t>
      </w:r>
    </w:p>
    <w:p>
      <w:pPr>
        <w:pStyle w:val="Normal"/>
        <w:widowControl w:val="false"/>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 зон отдыха 70;</w:t>
      </w:r>
    </w:p>
    <w:p>
      <w:pPr>
        <w:pStyle w:val="Normal"/>
        <w:widowControl w:val="false"/>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4) лесопарков 10 - 20;  </w:t>
      </w:r>
    </w:p>
    <w:p>
      <w:pPr>
        <w:pStyle w:val="Normal"/>
        <w:widowControl w:val="false"/>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 лесов 1- 3.</w:t>
      </w:r>
    </w:p>
    <w:p>
      <w:pPr>
        <w:pStyle w:val="5551"/>
        <w:rPr/>
      </w:pPr>
      <w:r>
        <w:rPr>
          <w:rFonts w:cs="Arial" w:ascii="Arial" w:hAnsi="Arial"/>
          <w:lang w:eastAsia="ar-SA"/>
        </w:rPr>
        <w:t>10.3.</w:t>
        <w:tab/>
      </w:r>
      <w:r>
        <w:rPr>
          <w:rFonts w:cs="Arial" w:ascii="Arial" w:hAnsi="Arial"/>
        </w:rPr>
        <w:t>Площадь озелененных территорий общего пользования - парков, садов, скверов, бульваров, размещаемых на территории сельских поселений, следует принимать не менее 12 кв. на 1 человека.</w:t>
      </w:r>
    </w:p>
    <w:p>
      <w:pPr>
        <w:pStyle w:val="5551"/>
        <w:rPr>
          <w:rFonts w:ascii="Arial" w:hAnsi="Arial" w:cs="Arial"/>
          <w:lang w:eastAsia="ar-SA"/>
        </w:rPr>
      </w:pPr>
      <w:r>
        <w:rPr>
          <w:rFonts w:cs="Arial" w:ascii="Arial" w:hAnsi="Arial"/>
          <w:lang w:eastAsia="ar-SA"/>
        </w:rPr>
      </w:r>
    </w:p>
    <w:p>
      <w:pPr>
        <w:pStyle w:val="5551"/>
        <w:rPr/>
      </w:pPr>
      <w:bookmarkStart w:id="36" w:name="__RefHeading___Toc494193929"/>
      <w:r>
        <w:rPr>
          <w:rStyle w:val="55555"/>
          <w:rFonts w:eastAsia="Calibri" w:cs="Arial" w:ascii="Arial" w:hAnsi="Arial"/>
        </w:rPr>
        <w:t>10.4. Минимальные показатели доступности от жилых зон до объектов рекреационного назначения</w:t>
      </w:r>
      <w:bookmarkEnd w:id="36"/>
      <w:r>
        <w:rPr>
          <w:rFonts w:cs="Arial" w:ascii="Arial" w:hAnsi="Arial"/>
          <w:lang w:eastAsia="ar-SA"/>
        </w:rPr>
        <w:t xml:space="preserve"> следует принимать в соответствии с таблицей 10.1.</w:t>
      </w:r>
    </w:p>
    <w:p>
      <w:pPr>
        <w:pStyle w:val="Normal"/>
        <w:widowControl w:val="false"/>
        <w:suppressAutoHyphens w:val="tru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widowControl w:val="false"/>
        <w:suppressAutoHyphens w:val="true"/>
        <w:spacing w:lineRule="auto" w:line="240" w:before="0" w:after="0"/>
        <w:ind w:left="0" w:right="0" w:firstLine="709"/>
        <w:jc w:val="right"/>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Таблица 10.1</w:t>
      </w:r>
    </w:p>
    <w:tbl>
      <w:tblPr>
        <w:tblW w:w="9764" w:type="dxa"/>
        <w:jc w:val="left"/>
        <w:tblInd w:w="103"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3265"/>
        <w:gridCol w:w="3375"/>
        <w:gridCol w:w="3124"/>
      </w:tblGrid>
      <w:tr>
        <w:trPr>
          <w:trHeight w:val="1116" w:hRule="atLeast"/>
        </w:trPr>
        <w:tc>
          <w:tcPr>
            <w:tcW w:w="3265"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Объекты рекреационного назначения</w:t>
            </w:r>
          </w:p>
        </w:tc>
        <w:tc>
          <w:tcPr>
            <w:tcW w:w="3375"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Минимальный радиус доступности до объектов рекреационного назначения, метров</w:t>
            </w:r>
          </w:p>
        </w:tc>
        <w:tc>
          <w:tcPr>
            <w:tcW w:w="312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Минимальный показатель доступности от жилых зон до объектов рекреационного назначения</w:t>
            </w:r>
          </w:p>
        </w:tc>
      </w:tr>
      <w:tr>
        <w:trPr>
          <w:trHeight w:val="573" w:hRule="atLeast"/>
        </w:trPr>
        <w:tc>
          <w:tcPr>
            <w:tcW w:w="326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Сельский парк</w:t>
            </w:r>
          </w:p>
        </w:tc>
        <w:tc>
          <w:tcPr>
            <w:tcW w:w="337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6000-7000</w:t>
            </w:r>
          </w:p>
        </w:tc>
        <w:tc>
          <w:tcPr>
            <w:tcW w:w="312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 минут на транспорте</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rHeight w:val="559" w:hRule="atLeast"/>
        </w:trPr>
        <w:tc>
          <w:tcPr>
            <w:tcW w:w="326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Парк (сад) планировочного района</w:t>
            </w:r>
          </w:p>
        </w:tc>
        <w:tc>
          <w:tcPr>
            <w:tcW w:w="337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1500-2000</w:t>
            </w:r>
          </w:p>
        </w:tc>
        <w:tc>
          <w:tcPr>
            <w:tcW w:w="312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 минут на транспорте</w:t>
            </w:r>
          </w:p>
        </w:tc>
      </w:tr>
      <w:tr>
        <w:trPr>
          <w:trHeight w:val="280" w:hRule="atLeast"/>
        </w:trPr>
        <w:tc>
          <w:tcPr>
            <w:tcW w:w="326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Сад микрорайона</w:t>
            </w:r>
          </w:p>
        </w:tc>
        <w:tc>
          <w:tcPr>
            <w:tcW w:w="337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1000</w:t>
            </w:r>
          </w:p>
        </w:tc>
        <w:tc>
          <w:tcPr>
            <w:tcW w:w="312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 минут пешком</w:t>
            </w:r>
          </w:p>
          <w:p>
            <w:pPr>
              <w:pStyle w:val="Normal"/>
              <w:suppressAutoHyphens w:val="true"/>
              <w:spacing w:lineRule="auto" w:line="240" w:before="0" w:after="0"/>
              <w:jc w:val="center"/>
              <w:rPr>
                <w:rFonts w:ascii="Arial" w:hAnsi="Arial" w:eastAsia="Times New Roman" w:cs="Arial"/>
                <w:color w:val="000000"/>
                <w:sz w:val="24"/>
                <w:szCs w:val="24"/>
                <w:lang w:val="en-US" w:eastAsia="ar-SA"/>
              </w:rPr>
            </w:pPr>
            <w:r>
              <w:rPr>
                <w:rFonts w:eastAsia="Times New Roman" w:cs="Arial" w:ascii="Arial" w:hAnsi="Arial"/>
                <w:color w:val="000000"/>
                <w:sz w:val="24"/>
                <w:szCs w:val="24"/>
                <w:lang w:val="en-US" w:eastAsia="ar-SA"/>
              </w:rPr>
            </w:r>
          </w:p>
        </w:tc>
      </w:tr>
      <w:tr>
        <w:trPr>
          <w:trHeight w:val="573" w:hRule="atLeast"/>
        </w:trPr>
        <w:tc>
          <w:tcPr>
            <w:tcW w:w="326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Сад квартала</w:t>
            </w:r>
          </w:p>
        </w:tc>
        <w:tc>
          <w:tcPr>
            <w:tcW w:w="337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500</w:t>
            </w:r>
          </w:p>
        </w:tc>
        <w:tc>
          <w:tcPr>
            <w:tcW w:w="312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 минут пешком</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rHeight w:val="573" w:hRule="atLeast"/>
        </w:trPr>
        <w:tc>
          <w:tcPr>
            <w:tcW w:w="326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Зона массового кратковременного отдыха</w:t>
            </w:r>
          </w:p>
        </w:tc>
        <w:tc>
          <w:tcPr>
            <w:tcW w:w="337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w:t>
            </w:r>
          </w:p>
        </w:tc>
        <w:tc>
          <w:tcPr>
            <w:tcW w:w="312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1,5 часа на транспорте</w:t>
            </w:r>
          </w:p>
        </w:tc>
      </w:tr>
    </w:tbl>
    <w:p>
      <w:pPr>
        <w:pStyle w:val="ConsPlusNormal1"/>
        <w:ind w:left="0" w:right="0" w:hanging="0"/>
        <w:rPr>
          <w:rFonts w:cs="Arial"/>
          <w:iCs/>
          <w:color w:val="000000"/>
          <w:sz w:val="24"/>
          <w:szCs w:val="24"/>
        </w:rPr>
      </w:pPr>
      <w:r>
        <w:rPr>
          <w:rFonts w:cs="Arial"/>
          <w:iCs/>
          <w:color w:val="000000"/>
          <w:sz w:val="24"/>
          <w:szCs w:val="24"/>
        </w:rPr>
      </w:r>
    </w:p>
    <w:p>
      <w:pPr>
        <w:pStyle w:val="Style117"/>
        <w:rPr>
          <w:rFonts w:ascii="Arial" w:hAnsi="Arial" w:cs="Arial"/>
        </w:rPr>
      </w:pPr>
      <w:bookmarkStart w:id="37" w:name="__RefHeading___Toc494193930"/>
      <w:bookmarkEnd w:id="37"/>
      <w:r>
        <w:rPr>
          <w:rFonts w:cs="Arial" w:ascii="Arial" w:hAnsi="Arial"/>
        </w:rPr>
        <w:t>11. Расчетные показатели зоны специального назначения</w:t>
      </w:r>
    </w:p>
    <w:p>
      <w:pPr>
        <w:pStyle w:val="5551"/>
        <w:rPr>
          <w:rFonts w:ascii="Arial" w:hAnsi="Arial" w:cs="Arial"/>
        </w:rPr>
      </w:pPr>
      <w:r>
        <w:rPr>
          <w:rFonts w:cs="Arial" w:ascii="Arial" w:hAnsi="Arial"/>
        </w:rPr>
        <w:t>11.1.</w:t>
        <w:tab/>
        <w:t>В состав территорий специального назначения могут включаться зоны, занятые кладбищами, крематориями, скотомогильниками, объектами размещения отходов производства и потребления и иными объектами, размещение которых может быть обеспечено только путем выделения указанных зон и недопустимо в других территориальных зонах.</w:t>
      </w:r>
    </w:p>
    <w:p>
      <w:pPr>
        <w:pStyle w:val="5551"/>
        <w:rPr>
          <w:rFonts w:ascii="Arial" w:hAnsi="Arial" w:cs="Arial"/>
        </w:rPr>
      </w:pPr>
      <w:r>
        <w:rPr>
          <w:rFonts w:cs="Arial" w:ascii="Arial" w:hAnsi="Arial"/>
        </w:rPr>
        <w:t>11.2.</w:t>
        <w:tab/>
        <w:t>Для предприятий, производств и объектов, расположенных на территориях специального назначения, в зависимости от мощности, характера и количества выделяемых в окружающую среду загрязняющих веществ и других вредных физических факторов на основании санитарной классификации устанавливаются санитарно-защитные зоны.</w:t>
      </w:r>
    </w:p>
    <w:p>
      <w:pPr>
        <w:pStyle w:val="5551"/>
        <w:rPr>
          <w:rFonts w:ascii="Arial" w:hAnsi="Arial" w:cs="Arial"/>
        </w:rPr>
      </w:pPr>
      <w:r>
        <w:rPr>
          <w:rFonts w:cs="Arial" w:ascii="Arial" w:hAnsi="Arial"/>
        </w:rPr>
        <w:t>11.3.</w:t>
        <w:tab/>
        <w:t>Санитарно-защитные зоны отделяют зоны территорий специального назначения с обязательным обозначением границ информационными знаками.</w:t>
      </w:r>
    </w:p>
    <w:p>
      <w:pPr>
        <w:pStyle w:val="ConsPlusNormal3"/>
        <w:ind w:left="0" w:right="0" w:firstLine="540"/>
        <w:jc w:val="both"/>
        <w:rPr>
          <w:rFonts w:cs="Arial"/>
          <w:sz w:val="24"/>
          <w:szCs w:val="24"/>
        </w:rPr>
      </w:pPr>
      <w:r>
        <w:rPr>
          <w:rFonts w:cs="Arial"/>
          <w:sz w:val="24"/>
          <w:szCs w:val="24"/>
        </w:rPr>
      </w:r>
    </w:p>
    <w:p>
      <w:pPr>
        <w:pStyle w:val="5551"/>
        <w:rPr>
          <w:rFonts w:ascii="Arial" w:hAnsi="Arial" w:cs="Arial"/>
          <w:i/>
          <w:i/>
        </w:rPr>
      </w:pPr>
      <w:r>
        <w:rPr>
          <w:rFonts w:cs="Arial" w:ascii="Arial" w:hAnsi="Arial"/>
          <w:i/>
        </w:rPr>
        <w:t>11.4.</w:t>
        <w:tab/>
        <w:t>Зоны размещения кладбищ</w:t>
      </w:r>
    </w:p>
    <w:p>
      <w:pPr>
        <w:pStyle w:val="5551"/>
        <w:rPr/>
      </w:pPr>
      <w:bookmarkStart w:id="38" w:name="__RefHeading___Toc494193931"/>
      <w:r>
        <w:rPr>
          <w:rStyle w:val="55555"/>
          <w:rFonts w:eastAsia="Calibri" w:cs="Arial" w:ascii="Arial" w:hAnsi="Arial"/>
        </w:rPr>
        <w:t>11.4.1.</w:t>
        <w:tab/>
        <w:t>Размер земельного участка для кладбища</w:t>
      </w:r>
      <w:bookmarkEnd w:id="38"/>
      <w:r>
        <w:rPr>
          <w:rFonts w:cs="Arial" w:ascii="Arial" w:hAnsi="Arial"/>
        </w:rPr>
        <w:t xml:space="preserve"> определяется с учетом количества жителей конкретного населенного пункта, но не может превышать 20 гектаров. При этом также учитываются перспективный рост численности населения, коэффициент смертности, наличие действующих объектов похоронного обслуживания, принятая схема и способы захоронения, вероисповедание, нормы земельного участка на одно захоронение. </w:t>
      </w:r>
      <w:r>
        <w:rPr>
          <w:rFonts w:eastAsia="Times New Roman" w:cs="Arial" w:ascii="Arial" w:hAnsi="Arial"/>
          <w:lang w:eastAsia="ar-SA"/>
        </w:rPr>
        <w:t>Обеспеченность объектами ритуальных услуг принимается равной:</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кладбищ смешанного и традиционного захоронения - не менее 0,24 га на 1000 человек населения;</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кладбищ для погребения после кремации - не менее 0,02 га на 1000 человек.</w:t>
      </w:r>
    </w:p>
    <w:p>
      <w:pPr>
        <w:pStyle w:val="5551"/>
        <w:rPr>
          <w:rFonts w:ascii="Arial" w:hAnsi="Arial" w:cs="Arial"/>
        </w:rPr>
      </w:pPr>
      <w:r>
        <w:rPr>
          <w:rFonts w:cs="Arial" w:ascii="Arial" w:hAnsi="Arial"/>
        </w:rPr>
        <w:t>11.4.2.</w:t>
        <w:tab/>
        <w:t>Размер участка земли на территориях кладбищ для погребения умершего устанавливается органом местного самоуправления таким образом, чтобы гарантировать погребение на этом же участке земли умершего супруга или близкого родственника.</w:t>
      </w:r>
    </w:p>
    <w:p>
      <w:pPr>
        <w:pStyle w:val="5551"/>
        <w:rPr>
          <w:rFonts w:ascii="Arial" w:hAnsi="Arial" w:cs="Arial"/>
        </w:rPr>
      </w:pPr>
      <w:r>
        <w:rPr>
          <w:rFonts w:cs="Arial" w:ascii="Arial" w:hAnsi="Arial"/>
        </w:rPr>
        <w:t>11.4.3.</w:t>
        <w:tab/>
        <w:t>Вновь создаваемые места погребения должны размещаться на расстоянии не менее 100 м от границ селитебной территории.</w:t>
      </w:r>
    </w:p>
    <w:p>
      <w:pPr>
        <w:pStyle w:val="5551"/>
        <w:rPr>
          <w:rFonts w:ascii="Arial" w:hAnsi="Arial" w:cs="Arial"/>
        </w:rPr>
      </w:pPr>
      <w:r>
        <w:rPr>
          <w:rFonts w:cs="Arial" w:ascii="Arial" w:hAnsi="Arial"/>
        </w:rPr>
        <w:t>11.4.4.</w:t>
        <w:tab/>
        <w:t>Кладбища с погребением путем предания тела (останков) умершего земле (захоронение в могилу, склеп) размещают на расстоянии:</w:t>
      </w:r>
    </w:p>
    <w:p>
      <w:pPr>
        <w:pStyle w:val="ConsPlusNormal3"/>
        <w:ind w:left="0" w:right="0" w:firstLine="540"/>
        <w:jc w:val="both"/>
        <w:rPr>
          <w:rFonts w:cs="Arial"/>
          <w:sz w:val="24"/>
          <w:szCs w:val="24"/>
        </w:rPr>
      </w:pPr>
      <w:r>
        <w:rPr>
          <w:rFonts w:cs="Arial"/>
          <w:sz w:val="24"/>
          <w:szCs w:val="24"/>
        </w:rPr>
        <w:t>- от жилых, общественных зданий, спортивно-оздоровительных и санаторно-курортных зон:</w:t>
      </w:r>
    </w:p>
    <w:p>
      <w:pPr>
        <w:pStyle w:val="ConsPlusNormal3"/>
        <w:ind w:left="0" w:right="0" w:firstLine="540"/>
        <w:jc w:val="both"/>
        <w:rPr>
          <w:rFonts w:cs="Arial"/>
          <w:sz w:val="24"/>
          <w:szCs w:val="24"/>
        </w:rPr>
      </w:pPr>
      <w:r>
        <w:rPr>
          <w:rFonts w:cs="Arial"/>
          <w:sz w:val="24"/>
          <w:szCs w:val="24"/>
        </w:rPr>
        <w:t>- 300 м - при площади кладбища до 20 га;</w:t>
      </w:r>
    </w:p>
    <w:p>
      <w:pPr>
        <w:pStyle w:val="ConsPlusNormal3"/>
        <w:ind w:left="0" w:right="0" w:firstLine="540"/>
        <w:jc w:val="both"/>
        <w:rPr>
          <w:rFonts w:cs="Arial"/>
          <w:sz w:val="24"/>
          <w:szCs w:val="24"/>
        </w:rPr>
      </w:pPr>
      <w:r>
        <w:rPr>
          <w:rFonts w:cs="Arial"/>
          <w:sz w:val="24"/>
          <w:szCs w:val="24"/>
        </w:rPr>
        <w:t>- 50 м - для сельских, закрытых кладбищ и мемориальных комплексов;</w:t>
      </w:r>
    </w:p>
    <w:p>
      <w:pPr>
        <w:pStyle w:val="ConsPlusNormal3"/>
        <w:ind w:left="0" w:right="0" w:firstLine="540"/>
        <w:jc w:val="both"/>
        <w:rPr>
          <w:rFonts w:cs="Arial"/>
          <w:sz w:val="24"/>
          <w:szCs w:val="24"/>
        </w:rPr>
      </w:pPr>
      <w:r>
        <w:rPr>
          <w:rFonts w:cs="Arial"/>
          <w:sz w:val="24"/>
          <w:szCs w:val="24"/>
        </w:rPr>
        <w:t>- от водозаборных сооружений централизованного источника водоснабжения населения не менее 1000 м с подтверждением достаточности расстояния расчетами поясов зон санитарной охраны водоисточника и времени фильтрации;</w:t>
      </w:r>
    </w:p>
    <w:p>
      <w:pPr>
        <w:pStyle w:val="ConsPlusNormal3"/>
        <w:ind w:left="0" w:right="0" w:firstLine="540"/>
        <w:jc w:val="both"/>
        <w:rPr>
          <w:rFonts w:cs="Arial"/>
          <w:sz w:val="24"/>
          <w:szCs w:val="24"/>
        </w:rPr>
      </w:pPr>
      <w:r>
        <w:rPr>
          <w:rFonts w:cs="Arial"/>
          <w:sz w:val="24"/>
          <w:szCs w:val="24"/>
        </w:rPr>
        <w:t>- в сельских населенных пунктах, в которых используются колодцы, каптажи, родники и другие природные источники водоснабжения, при размещении кладбищ выше по потоку грунтовых вод санитарно-защитная зона между кладбищем и населенным пунктом обеспечивается в соответствии с результатами расчетов очистки грунтовых вод и данными лабораторных исследований.</w:t>
      </w:r>
    </w:p>
    <w:p>
      <w:pPr>
        <w:pStyle w:val="ConsPlusNormal3"/>
        <w:ind w:left="0" w:right="0" w:firstLine="540"/>
        <w:jc w:val="both"/>
        <w:rPr>
          <w:rFonts w:cs="Arial"/>
          <w:sz w:val="24"/>
          <w:szCs w:val="24"/>
        </w:rPr>
      </w:pPr>
      <w:r>
        <w:rPr>
          <w:rFonts w:cs="Arial"/>
          <w:sz w:val="24"/>
          <w:szCs w:val="24"/>
        </w:rPr>
        <w:t>Примечания.</w:t>
      </w:r>
    </w:p>
    <w:p>
      <w:pPr>
        <w:pStyle w:val="ConsPlusNormal3"/>
        <w:ind w:left="0" w:right="0" w:firstLine="540"/>
        <w:jc w:val="both"/>
        <w:rPr>
          <w:rFonts w:cs="Arial"/>
          <w:sz w:val="24"/>
          <w:szCs w:val="24"/>
        </w:rPr>
      </w:pPr>
      <w:r>
        <w:rPr>
          <w:rFonts w:cs="Arial"/>
          <w:sz w:val="24"/>
          <w:szCs w:val="24"/>
        </w:rPr>
        <w:t>1. После закрытия кладбища по истечении 25 лет после последнего захоронения расстояние до жилой застройки может быть сокращено до 50 м.</w:t>
      </w:r>
    </w:p>
    <w:p>
      <w:pPr>
        <w:pStyle w:val="ConsPlusNormal3"/>
        <w:ind w:left="0" w:right="0" w:firstLine="540"/>
        <w:jc w:val="both"/>
        <w:rPr>
          <w:rFonts w:cs="Arial"/>
          <w:sz w:val="24"/>
          <w:szCs w:val="24"/>
        </w:rPr>
      </w:pPr>
      <w:r>
        <w:rPr>
          <w:rFonts w:cs="Arial"/>
          <w:sz w:val="24"/>
          <w:szCs w:val="24"/>
        </w:rPr>
        <w:t>2. В сельских населенных пунктах, подлежащих реконструкции, расстояние от кладбищ до стен жилых домов, зданий детских и лечебных учреждений допускается уменьшать по согласованию с местными органами санитарного надзора, но не менее чем до 50 м.</w:t>
      </w:r>
    </w:p>
    <w:p>
      <w:pPr>
        <w:pStyle w:val="5551"/>
        <w:rPr/>
      </w:pPr>
      <w:bookmarkStart w:id="39" w:name="__RefHeading___Toc494193932"/>
      <w:r>
        <w:rPr>
          <w:rStyle w:val="55555"/>
          <w:rFonts w:eastAsia="Calibri" w:cs="Arial" w:ascii="Arial" w:hAnsi="Arial"/>
        </w:rPr>
        <w:t>11.4.5.</w:t>
        <w:tab/>
        <w:t>Расчетные показатели максимального уровня территориальной доступности объектов ритуальных услуг</w:t>
      </w:r>
      <w:bookmarkEnd w:id="39"/>
      <w:r>
        <w:rPr>
          <w:rFonts w:cs="Arial" w:ascii="Arial" w:hAnsi="Arial"/>
          <w:lang w:eastAsia="ar-SA"/>
        </w:rPr>
        <w:t>.</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объектов ритуальных услуг принимается транспортная доступность – не более 35 минут.</w:t>
      </w:r>
    </w:p>
    <w:p>
      <w:pPr>
        <w:pStyle w:val="5551"/>
        <w:rPr>
          <w:rFonts w:ascii="Arial" w:hAnsi="Arial" w:cs="Arial"/>
        </w:rPr>
      </w:pPr>
      <w:r>
        <w:rPr>
          <w:rFonts w:cs="Arial" w:ascii="Arial" w:hAnsi="Arial"/>
        </w:rPr>
      </w:r>
    </w:p>
    <w:p>
      <w:pPr>
        <w:pStyle w:val="Normal"/>
        <w:shd w:fill="FFFFFF" w:val="clear"/>
        <w:suppressAutoHyphens w:val="true"/>
        <w:spacing w:lineRule="auto" w:line="240" w:before="0" w:after="0"/>
        <w:ind w:left="0" w:right="0" w:firstLine="709"/>
        <w:jc w:val="both"/>
        <w:rPr>
          <w:rFonts w:ascii="Arial" w:hAnsi="Arial" w:eastAsia="Times New Roman" w:cs="Arial"/>
          <w:i/>
          <w:i/>
          <w:color w:val="000000"/>
          <w:sz w:val="24"/>
          <w:szCs w:val="24"/>
          <w:lang w:eastAsia="ar-SA"/>
        </w:rPr>
      </w:pPr>
      <w:r>
        <w:rPr>
          <w:rFonts w:eastAsia="Times New Roman" w:cs="Arial" w:ascii="Arial" w:hAnsi="Arial"/>
          <w:i/>
          <w:color w:val="000000"/>
          <w:sz w:val="24"/>
          <w:szCs w:val="24"/>
          <w:lang w:eastAsia="ar-SA"/>
        </w:rPr>
        <w:t>11.5. Зоны размещения скотомогильников.</w:t>
      </w:r>
    </w:p>
    <w:p>
      <w:pPr>
        <w:pStyle w:val="5551"/>
        <w:rPr>
          <w:rFonts w:ascii="Arial" w:hAnsi="Arial" w:cs="Arial"/>
          <w:lang w:eastAsia="ar-SA"/>
        </w:rPr>
      </w:pPr>
      <w:r>
        <w:rPr>
          <w:rFonts w:cs="Arial" w:ascii="Arial" w:hAnsi="Arial"/>
          <w:lang w:eastAsia="ar-SA"/>
        </w:rPr>
        <w:t>11.5.1.</w:t>
        <w:tab/>
        <w:t>Скотомогильники (биотермические ямы) предназначены для обеззараживания, уничтожения сжиганием или захоронения биологических отходов (трупов животных и птиц; ветеринарных конфискатов, выявленных на убойных пунктах, хладобойнях, в мясоперерабатывающих организациях, рынках, организациях торговли и других организациях; других отходов, получаемых при переработке пищевого и непищевого сырья животного происхождения).</w:t>
      </w:r>
    </w:p>
    <w:p>
      <w:pPr>
        <w:pStyle w:val="5551"/>
        <w:rPr>
          <w:rFonts w:ascii="Arial" w:hAnsi="Arial" w:cs="Arial"/>
          <w:lang w:eastAsia="ar-SA"/>
        </w:rPr>
      </w:pPr>
      <w:r>
        <w:rPr>
          <w:rFonts w:cs="Arial" w:ascii="Arial" w:hAnsi="Arial"/>
          <w:lang w:eastAsia="ar-SA"/>
        </w:rPr>
        <w:t>11.5.2.</w:t>
        <w:tab/>
        <w:t xml:space="preserve"> Выбор и отвод земельного участка для строительства скотомогильника или отдельно стоящей биотермической ямы проводят органы местного самоуправления по представлению организации государственной ветеринарной службы при наличии санитарно-эпидемиологического заключения о соответствии предполагаемого использования земельного участка санитарным правилам.</w:t>
      </w:r>
    </w:p>
    <w:p>
      <w:pPr>
        <w:pStyle w:val="5551"/>
        <w:rPr>
          <w:rFonts w:ascii="Arial" w:hAnsi="Arial" w:cs="Arial"/>
          <w:lang w:eastAsia="ar-SA"/>
        </w:rPr>
      </w:pPr>
      <w:r>
        <w:rPr>
          <w:rFonts w:cs="Arial" w:ascii="Arial" w:hAnsi="Arial"/>
          <w:lang w:eastAsia="ar-SA"/>
        </w:rPr>
        <w:t>11.5.3.</w:t>
        <w:tab/>
        <w:t xml:space="preserve"> Скотомогильники (биотермические ямы) размещают на сухом возвышенном участке земли площадью не менее 600 кв.м. Уровень стояния грунтовых вод должен быть не менее 2 м от поверхности земли.</w:t>
      </w:r>
    </w:p>
    <w:p>
      <w:pPr>
        <w:pStyle w:val="5551"/>
        <w:rPr>
          <w:rFonts w:ascii="Arial" w:hAnsi="Arial" w:cs="Arial"/>
          <w:lang w:eastAsia="ar-SA"/>
        </w:rPr>
      </w:pPr>
      <w:r>
        <w:rPr>
          <w:rFonts w:cs="Arial" w:ascii="Arial" w:hAnsi="Arial"/>
          <w:lang w:eastAsia="ar-SA"/>
        </w:rPr>
        <w:t>11.5.4.</w:t>
        <w:tab/>
        <w:t>Ширина санитарно-защитной зоны от скотомогильника (биотермической ямы) до:</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жилых, общественных зданий, животноводческих ферм (комплексов) - 1000 м;</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скотопрогонов и пастбищ - 200 м;</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автомобильных, железных дорог в зависимости от их категории - 60 - 300 м.</w:t>
      </w:r>
    </w:p>
    <w:p>
      <w:pPr>
        <w:pStyle w:val="5551"/>
        <w:rPr>
          <w:rFonts w:ascii="Arial" w:hAnsi="Arial" w:cs="Arial"/>
          <w:lang w:eastAsia="ar-SA"/>
        </w:rPr>
      </w:pPr>
      <w:r>
        <w:rPr>
          <w:rFonts w:cs="Arial" w:ascii="Arial" w:hAnsi="Arial"/>
          <w:lang w:eastAsia="ar-SA"/>
        </w:rPr>
        <w:t>11.5.5.</w:t>
        <w:tab/>
        <w:t>Биотермические ямы, расположенные на территории государственных ветеринарных организаций, входят в состав вспомогательных сооружений. Расстояние между ямой и производственными зданиями ветеринарных организаций, находящимися на этой территории, не регламентируется.</w:t>
      </w:r>
    </w:p>
    <w:p>
      <w:pPr>
        <w:pStyle w:val="5551"/>
        <w:rPr>
          <w:rFonts w:ascii="Arial" w:hAnsi="Arial" w:cs="Arial"/>
          <w:lang w:eastAsia="ar-SA"/>
        </w:rPr>
      </w:pPr>
      <w:r>
        <w:rPr>
          <w:rFonts w:cs="Arial" w:ascii="Arial" w:hAnsi="Arial"/>
          <w:lang w:eastAsia="ar-SA"/>
        </w:rPr>
        <w:t>11.5.6.</w:t>
        <w:tab/>
        <w:t>Размещение скотомогильников (биотермических ям) в водоохранной, лесопарковой и заповедной зонах категорически запрещается.</w:t>
      </w:r>
    </w:p>
    <w:p>
      <w:pPr>
        <w:pStyle w:val="5551"/>
        <w:rPr>
          <w:rFonts w:ascii="Arial" w:hAnsi="Arial" w:cs="Arial"/>
          <w:lang w:eastAsia="ar-SA"/>
        </w:rPr>
      </w:pPr>
      <w:r>
        <w:rPr>
          <w:rFonts w:cs="Arial" w:ascii="Arial" w:hAnsi="Arial"/>
          <w:lang w:eastAsia="ar-SA"/>
        </w:rPr>
        <w:t>11.5.7.</w:t>
        <w:tab/>
        <w:t xml:space="preserve"> В исключительных случаях с разрешения главного государственного ветеринарного инспектора Нижегородской области допускается использование территории скотомогильника для промышленного строительства, если с момента последнего захоронения:</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в биотермическую яму прошло не менее 2 лет;</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в земляную яму - не менее 25 лет.</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Промышленный объект не должен быть связан с приемом, производством и переработкой продуктов питания и кормов.</w:t>
      </w:r>
    </w:p>
    <w:p>
      <w:pPr>
        <w:pStyle w:val="Normal"/>
        <w:shd w:fill="FFFFFF" w:val="clear"/>
        <w:suppressAutoHyphens w:val="true"/>
        <w:spacing w:lineRule="auto" w:line="240" w:before="0" w:after="0"/>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5551"/>
        <w:rPr/>
      </w:pPr>
      <w:bookmarkStart w:id="40" w:name="__RefHeading___Toc494193933"/>
      <w:r>
        <w:rPr>
          <w:rStyle w:val="55555"/>
          <w:rFonts w:eastAsia="Calibri" w:cs="Arial" w:ascii="Arial" w:hAnsi="Arial"/>
        </w:rPr>
        <w:t>11.6. Расчетные показатели минимального уровня обеспеченности объектами утилизации и переработки коммунальных и промышленных отходов</w:t>
      </w:r>
      <w:bookmarkEnd w:id="40"/>
      <w:r>
        <w:rPr>
          <w:rFonts w:cs="Arial" w:ascii="Arial" w:hAnsi="Arial"/>
          <w:i/>
          <w:lang w:eastAsia="ar-SA"/>
        </w:rPr>
        <w:t>.</w:t>
      </w:r>
    </w:p>
    <w:p>
      <w:pPr>
        <w:pStyle w:val="5551"/>
        <w:rPr>
          <w:rFonts w:ascii="Arial" w:hAnsi="Arial" w:cs="Arial"/>
        </w:rPr>
      </w:pPr>
      <w:r>
        <w:rPr>
          <w:rFonts w:cs="Arial" w:ascii="Arial" w:hAnsi="Arial"/>
        </w:rPr>
        <w:t>11.6.1.</w:t>
        <w:tab/>
        <w:t>Полигоны твердых бытовых отходов (далее - ТБО) являются специальными сооружениями, предназначенными для изоляции и обезвреживания ТБО, и должны гарантировать санитарно-эпидемиологическую безопасность населения.</w:t>
      </w:r>
    </w:p>
    <w:p>
      <w:pPr>
        <w:pStyle w:val="ConsPlusNormal3"/>
        <w:ind w:left="0" w:right="0" w:firstLine="540"/>
        <w:jc w:val="both"/>
        <w:rPr>
          <w:rFonts w:cs="Arial"/>
          <w:sz w:val="24"/>
          <w:szCs w:val="24"/>
        </w:rPr>
      </w:pPr>
      <w:r>
        <w:rPr>
          <w:rFonts w:cs="Arial"/>
          <w:sz w:val="24"/>
          <w:szCs w:val="24"/>
        </w:rPr>
        <w:t>Полигоны могут быть организованы для любых по величине населенных пунктов. Рекомендуется проектирование централизованных полигонов для групп населенных пунктов.</w:t>
      </w:r>
    </w:p>
    <w:p>
      <w:pPr>
        <w:pStyle w:val="5551"/>
        <w:rPr>
          <w:rFonts w:ascii="Arial" w:hAnsi="Arial" w:cs="Arial"/>
        </w:rPr>
      </w:pPr>
      <w:r>
        <w:rPr>
          <w:rFonts w:cs="Arial" w:ascii="Arial" w:hAnsi="Arial"/>
        </w:rPr>
        <w:t>11.6.2.</w:t>
        <w:tab/>
        <w:t>Полигоны ТБО размещаются за пределами жилой зоны, на обособленных территориях с обеспечением нормативных санитарно-защитных зон.</w:t>
      </w:r>
    </w:p>
    <w:p>
      <w:pPr>
        <w:pStyle w:val="5551"/>
        <w:rPr>
          <w:rFonts w:ascii="Arial" w:hAnsi="Arial" w:cs="Arial"/>
          <w:lang w:eastAsia="ar-SA"/>
        </w:rPr>
      </w:pPr>
      <w:r>
        <w:rPr>
          <w:rFonts w:cs="Arial" w:ascii="Arial" w:hAnsi="Arial"/>
          <w:lang w:eastAsia="ar-SA"/>
        </w:rPr>
        <w:t>11.6.3.</w:t>
        <w:tab/>
        <w:t>Нормативы сбора, вывоза и утилизации отходов производства и потребления определены:</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 законом РФ «Об охране окружающей природной среды» от 10 января 2002 г. № 7-ФЗ; </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законом РФ «Об отходах производства и потребления» от 24 июня 1998 г. № 89-ФЗ;</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 законом РФ «О санитарно-эпидемиологическом благополучии населения» от 19 января 1999 г; </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другими нормативными правовыми актами.</w:t>
      </w:r>
    </w:p>
    <w:p>
      <w:pPr>
        <w:pStyle w:val="5551"/>
        <w:rPr>
          <w:rFonts w:ascii="Arial" w:hAnsi="Arial" w:cs="Arial"/>
          <w:lang w:eastAsia="ar-SA"/>
        </w:rPr>
      </w:pPr>
      <w:r>
        <w:rPr>
          <w:rFonts w:cs="Arial" w:ascii="Arial" w:hAnsi="Arial"/>
          <w:lang w:eastAsia="ar-SA"/>
        </w:rPr>
        <w:t>11.6.4.</w:t>
        <w:tab/>
        <w:t>К твердым коммунальным отходам, входящим в норму накопления от населения и удаляемым транспортом спецавтохозяйств, относятся отходы, образующиеся в жилых зданиях, включая отходы от текущего ремонта квартир, от отопительных устройств местного отопления, смет, опавшие листья, собираемые с дворовых территорий, и крупные предметы домашнего обихода (при отсутствии системы специализированного сбора крупногабаритных отходов).</w:t>
      </w:r>
    </w:p>
    <w:p>
      <w:pPr>
        <w:pStyle w:val="5551"/>
        <w:rPr>
          <w:rFonts w:ascii="Arial" w:hAnsi="Arial" w:cs="Arial"/>
          <w:lang w:eastAsia="ar-SA"/>
        </w:rPr>
      </w:pPr>
      <w:r>
        <w:rPr>
          <w:rFonts w:cs="Arial" w:ascii="Arial" w:hAnsi="Arial"/>
          <w:lang w:eastAsia="ar-SA"/>
        </w:rPr>
        <w:t>11.6.5.</w:t>
        <w:tab/>
        <w:t>Нормы накопления устанавливаются для жилых зданий и для объектов общественного назначения (как встроенных в них, так и отдельно стоящих), имеющих основной удельный вес в общем балансе отходов и вывозимых спецавтохозяйствами.</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Нормы накопления отходов определяются: </w:t>
      </w:r>
    </w:p>
    <w:p>
      <w:pPr>
        <w:pStyle w:val="ListParagraph"/>
        <w:numPr>
          <w:ilvl w:val="0"/>
          <w:numId w:val="6"/>
        </w:numPr>
        <w:shd w:fill="FFFFFF" w:val="clear"/>
        <w:suppressAutoHyphens w:val="true"/>
        <w:spacing w:lineRule="auto" w:line="240" w:before="0" w:after="0"/>
        <w:contextualSpacing/>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по жилым домам - на одного человека; </w:t>
      </w:r>
    </w:p>
    <w:p>
      <w:pPr>
        <w:pStyle w:val="ListParagraph"/>
        <w:numPr>
          <w:ilvl w:val="0"/>
          <w:numId w:val="6"/>
        </w:numPr>
        <w:shd w:fill="FFFFFF" w:val="clear"/>
        <w:suppressAutoHyphens w:val="true"/>
        <w:spacing w:lineRule="auto" w:line="240" w:before="0" w:after="0"/>
        <w:contextualSpacing/>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по объектам культурно-бытового назначения (гостиницы, кинотеатры и т.д.) - на одно место;</w:t>
      </w:r>
    </w:p>
    <w:p>
      <w:pPr>
        <w:pStyle w:val="ListParagraph"/>
        <w:numPr>
          <w:ilvl w:val="0"/>
          <w:numId w:val="6"/>
        </w:numPr>
        <w:shd w:fill="FFFFFF" w:val="clear"/>
        <w:suppressAutoHyphens w:val="true"/>
        <w:spacing w:lineRule="auto" w:line="240" w:before="0" w:after="0"/>
        <w:contextualSpacing/>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по магазинам и складам - на 1 кв. м торговой площади в единицу времени (день, год). </w:t>
      </w:r>
    </w:p>
    <w:p>
      <w:pPr>
        <w:pStyle w:val="Normal"/>
        <w:shd w:fill="FFFFFF" w:val="clear"/>
        <w:suppressAutoHyphens w:val="true"/>
        <w:spacing w:lineRule="auto" w:line="240" w:before="0" w:after="0"/>
        <w:ind w:left="0" w:right="0" w:firstLine="709"/>
        <w:jc w:val="both"/>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Нормы накопления измеряются в единицах: кг, кубических метрах.</w:t>
      </w:r>
    </w:p>
    <w:p>
      <w:pPr>
        <w:pStyle w:val="5551"/>
        <w:rPr/>
      </w:pPr>
      <w:bookmarkStart w:id="41" w:name="__RefHeading___Toc494193934"/>
      <w:r>
        <w:rPr>
          <w:rStyle w:val="55555"/>
          <w:rFonts w:eastAsia="Calibri" w:cs="Arial" w:ascii="Arial" w:hAnsi="Arial"/>
        </w:rPr>
        <w:t>11.6.6.</w:t>
        <w:tab/>
        <w:t>Нормы накопления отходов</w:t>
      </w:r>
      <w:bookmarkEnd w:id="41"/>
      <w:r>
        <w:rPr>
          <w:rFonts w:cs="Arial" w:ascii="Arial" w:hAnsi="Arial"/>
          <w:lang w:eastAsia="ar-SA"/>
        </w:rPr>
        <w:t xml:space="preserve"> изменяются в зависимости от благоустройства зданий (система отопления, наличие квартирных плит, водопровода и канализации), наличия раздельного сбора отдельных составляющих отходов (пищевых отходов, макулатуры и т.д.) и местных условий в соответствии с таблицей 11.1.</w:t>
      </w:r>
    </w:p>
    <w:p>
      <w:pPr>
        <w:pStyle w:val="Normal"/>
        <w:shd w:fill="FFFFFF" w:val="clear"/>
        <w:suppressAutoHyphens w:val="true"/>
        <w:spacing w:lineRule="auto" w:line="240" w:before="0" w:after="0"/>
        <w:ind w:left="0" w:right="0" w:firstLine="709"/>
        <w:jc w:val="right"/>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Таблица 11.1</w:t>
      </w:r>
    </w:p>
    <w:tbl>
      <w:tblPr>
        <w:tblW w:w="10358" w:type="dxa"/>
        <w:jc w:val="left"/>
        <w:tblInd w:w="103" w:type="dxa"/>
        <w:tblBorders>
          <w:top w:val="single" w:sz="4" w:space="0" w:color="000001"/>
          <w:left w:val="single" w:sz="4" w:space="0" w:color="000001"/>
        </w:tblBorders>
        <w:tblCellMar>
          <w:top w:w="0" w:type="dxa"/>
          <w:left w:w="103" w:type="dxa"/>
          <w:bottom w:w="0" w:type="dxa"/>
          <w:right w:w="108" w:type="dxa"/>
        </w:tblCellMar>
      </w:tblPr>
      <w:tblGrid>
        <w:gridCol w:w="7512"/>
        <w:gridCol w:w="1276"/>
        <w:gridCol w:w="1570"/>
      </w:tblGrid>
      <w:tr>
        <w:trPr>
          <w:trHeight w:val="503" w:hRule="atLeast"/>
        </w:trPr>
        <w:tc>
          <w:tcPr>
            <w:tcW w:w="7512" w:type="dxa"/>
            <w:vMerge w:val="restart"/>
            <w:tcBorders>
              <w:top w:val="single" w:sz="4" w:space="0" w:color="000001"/>
              <w:left w:val="single" w:sz="4" w:space="0" w:color="000001"/>
            </w:tcBorders>
            <w:shd w:fill="EEECE1" w:val="clear"/>
            <w:tcMar>
              <w:left w:w="103" w:type="dxa"/>
            </w:tcMa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Бытовые отходы</w:t>
            </w:r>
          </w:p>
        </w:tc>
        <w:tc>
          <w:tcPr>
            <w:tcW w:w="2846" w:type="dxa"/>
            <w:gridSpan w:val="2"/>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Количество бытовых отходов, чел./год</w:t>
            </w:r>
          </w:p>
        </w:tc>
      </w:tr>
      <w:tr>
        <w:trPr>
          <w:trHeight w:val="343" w:hRule="atLeast"/>
        </w:trPr>
        <w:tc>
          <w:tcPr>
            <w:tcW w:w="7512" w:type="dxa"/>
            <w:vMerge w:val="continue"/>
            <w:tcBorders>
              <w:top w:val="single" w:sz="4" w:space="0" w:color="000001"/>
              <w:left w:val="single" w:sz="4" w:space="0" w:color="000001"/>
            </w:tcBorders>
            <w:shd w:fill="EEECE1" w:val="clear"/>
            <w:tcMar>
              <w:left w:w="103" w:type="dxa"/>
            </w:tcMar>
          </w:tcPr>
          <w:p>
            <w:pPr>
              <w:pStyle w:val="Normal"/>
              <w:suppressAutoHyphens w:val="true"/>
              <w:snapToGrid w:val="false"/>
              <w:spacing w:lineRule="auto" w:line="240" w:before="0" w:after="0"/>
              <w:rPr>
                <w:rFonts w:ascii="Arial" w:hAnsi="Arial" w:cs="Arial"/>
                <w:sz w:val="24"/>
                <w:szCs w:val="24"/>
              </w:rPr>
            </w:pPr>
            <w:r>
              <w:rPr>
                <w:rFonts w:cs="Arial" w:ascii="Arial" w:hAnsi="Arial"/>
                <w:sz w:val="24"/>
                <w:szCs w:val="24"/>
              </w:rPr>
            </w:r>
          </w:p>
        </w:tc>
        <w:tc>
          <w:tcPr>
            <w:tcW w:w="1276"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кг</w:t>
            </w:r>
          </w:p>
        </w:tc>
        <w:tc>
          <w:tcPr>
            <w:tcW w:w="157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л</w:t>
            </w:r>
          </w:p>
        </w:tc>
      </w:tr>
      <w:tr>
        <w:trPr>
          <w:trHeight w:val="307" w:hRule="atLeast"/>
        </w:trPr>
        <w:tc>
          <w:tcPr>
            <w:tcW w:w="75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Твердые:</w:t>
            </w:r>
          </w:p>
        </w:tc>
        <w:tc>
          <w:tcPr>
            <w:tcW w:w="1276"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57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rHeight w:val="559" w:hRule="atLeast"/>
        </w:trPr>
        <w:tc>
          <w:tcPr>
            <w:tcW w:w="75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от жилых зданий, оборудованных водопроводом, канализацией, центральным отоплением и газом</w:t>
            </w:r>
          </w:p>
        </w:tc>
        <w:tc>
          <w:tcPr>
            <w:tcW w:w="1276"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190</w:t>
            </w:r>
          </w:p>
        </w:tc>
        <w:tc>
          <w:tcPr>
            <w:tcW w:w="157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900</w:t>
            </w:r>
          </w:p>
        </w:tc>
      </w:tr>
      <w:tr>
        <w:trPr>
          <w:trHeight w:val="330" w:hRule="atLeast"/>
        </w:trPr>
        <w:tc>
          <w:tcPr>
            <w:tcW w:w="75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от прочих жилых зданий                        </w:t>
            </w:r>
          </w:p>
        </w:tc>
        <w:tc>
          <w:tcPr>
            <w:tcW w:w="1276"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300</w:t>
            </w:r>
          </w:p>
        </w:tc>
        <w:tc>
          <w:tcPr>
            <w:tcW w:w="157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1100</w:t>
            </w:r>
          </w:p>
        </w:tc>
      </w:tr>
      <w:tr>
        <w:trPr>
          <w:trHeight w:val="330" w:hRule="atLeast"/>
        </w:trPr>
        <w:tc>
          <w:tcPr>
            <w:tcW w:w="75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Общее количество по городу с учетом  общественных зданий                                     </w:t>
            </w:r>
          </w:p>
        </w:tc>
        <w:tc>
          <w:tcPr>
            <w:tcW w:w="1276"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280</w:t>
            </w:r>
          </w:p>
        </w:tc>
        <w:tc>
          <w:tcPr>
            <w:tcW w:w="157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1400</w:t>
            </w:r>
          </w:p>
        </w:tc>
      </w:tr>
      <w:tr>
        <w:trPr>
          <w:trHeight w:val="330" w:hRule="atLeast"/>
        </w:trPr>
        <w:tc>
          <w:tcPr>
            <w:tcW w:w="75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Жидкие из выгребов (при отсутствии канализации)</w:t>
            </w:r>
          </w:p>
        </w:tc>
        <w:tc>
          <w:tcPr>
            <w:tcW w:w="1276"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w:t>
            </w:r>
          </w:p>
        </w:tc>
        <w:tc>
          <w:tcPr>
            <w:tcW w:w="157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2000</w:t>
            </w:r>
          </w:p>
        </w:tc>
      </w:tr>
      <w:tr>
        <w:trPr>
          <w:trHeight w:val="330" w:hRule="atLeast"/>
        </w:trPr>
        <w:tc>
          <w:tcPr>
            <w:tcW w:w="75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Смет с 1 м2 твердых покрытий улиц, площадей  и парков                                       </w:t>
            </w:r>
          </w:p>
        </w:tc>
        <w:tc>
          <w:tcPr>
            <w:tcW w:w="1276"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w:t>
            </w:r>
          </w:p>
        </w:tc>
        <w:tc>
          <w:tcPr>
            <w:tcW w:w="157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8</w:t>
            </w:r>
          </w:p>
        </w:tc>
      </w:tr>
    </w:tbl>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Нормы  накопления крупногабаритных бытовых отходов следует принимать  в размере 5% в составе приведенныхзначений твердых бытовых отходов.                                                                 </w:t>
      </w:r>
    </w:p>
    <w:p>
      <w:pPr>
        <w:pStyle w:val="ConsPlusCell2"/>
        <w:jc w:val="both"/>
        <w:rPr>
          <w:rFonts w:ascii="Arial" w:hAnsi="Arial" w:eastAsia="Arial" w:cs="Arial"/>
          <w:sz w:val="24"/>
          <w:szCs w:val="24"/>
        </w:rPr>
      </w:pPr>
      <w:r>
        <w:rPr>
          <w:rFonts w:eastAsia="Arial" w:cs="Arial" w:ascii="Arial" w:hAnsi="Arial"/>
          <w:sz w:val="24"/>
          <w:szCs w:val="24"/>
        </w:rPr>
        <w:t xml:space="preserve">  </w:t>
      </w:r>
    </w:p>
    <w:p>
      <w:pPr>
        <w:pStyle w:val="5551"/>
        <w:rPr>
          <w:rFonts w:ascii="Arial" w:hAnsi="Arial" w:cs="Arial"/>
        </w:rPr>
      </w:pPr>
      <w:r>
        <w:rPr>
          <w:rFonts w:cs="Arial" w:ascii="Arial" w:hAnsi="Arial"/>
        </w:rPr>
        <w:t>11.6.7.</w:t>
        <w:tab/>
        <w:t xml:space="preserve"> Уровень территориальной доступности объектов утилизации и переработки бытовых и промышленных отходов устанавливается в соответствии с нормативными размерами санитарно-защитные зоны на основании СанПиН 2.2.1/2.1.1.1200-03 «Санитарно-защитные зоны и санитарная классификация предприятий, сооружений и иных объектов».</w:t>
      </w:r>
    </w:p>
    <w:p>
      <w:pPr>
        <w:pStyle w:val="NoSpacing"/>
        <w:numPr>
          <w:ilvl w:val="0"/>
          <w:numId w:val="0"/>
        </w:numPr>
        <w:ind w:left="0" w:right="0" w:firstLine="568"/>
        <w:jc w:val="center"/>
        <w:rPr>
          <w:rFonts w:ascii="Arial" w:hAnsi="Arial" w:cs="Arial"/>
          <w:b/>
          <w:b/>
          <w:i/>
          <w:i/>
          <w:sz w:val="24"/>
          <w:szCs w:val="24"/>
        </w:rPr>
      </w:pPr>
      <w:r>
        <w:rPr>
          <w:rFonts w:cs="Arial" w:ascii="Arial" w:hAnsi="Arial"/>
          <w:b/>
          <w:i/>
          <w:sz w:val="24"/>
          <w:szCs w:val="24"/>
        </w:rPr>
      </w:r>
    </w:p>
    <w:p>
      <w:pPr>
        <w:pStyle w:val="Style117"/>
        <w:rPr>
          <w:rFonts w:ascii="Arial" w:hAnsi="Arial" w:cs="Arial"/>
        </w:rPr>
      </w:pPr>
      <w:bookmarkStart w:id="42" w:name="__RefHeading___Toc494193935"/>
      <w:bookmarkEnd w:id="42"/>
      <w:r>
        <w:rPr>
          <w:rFonts w:cs="Arial" w:ascii="Arial" w:hAnsi="Arial"/>
        </w:rPr>
        <w:t>12. Расчетные показатели зоны сельскохозяйственного назначения</w:t>
      </w:r>
    </w:p>
    <w:p>
      <w:pPr>
        <w:pStyle w:val="NoSpacing"/>
        <w:ind w:left="0" w:right="0" w:firstLine="708"/>
        <w:jc w:val="both"/>
        <w:rPr>
          <w:rFonts w:ascii="Arial" w:hAnsi="Arial" w:cs="Arial"/>
          <w:sz w:val="24"/>
          <w:szCs w:val="24"/>
        </w:rPr>
      </w:pPr>
      <w:r>
        <w:rPr>
          <w:rFonts w:cs="Arial" w:ascii="Arial" w:hAnsi="Arial"/>
          <w:sz w:val="24"/>
          <w:szCs w:val="24"/>
        </w:rPr>
      </w:r>
    </w:p>
    <w:p>
      <w:pPr>
        <w:pStyle w:val="5551"/>
        <w:rPr>
          <w:rFonts w:ascii="Arial" w:hAnsi="Arial" w:cs="Arial"/>
          <w:lang w:eastAsia="ar-SA"/>
        </w:rPr>
      </w:pPr>
      <w:r>
        <w:rPr>
          <w:rFonts w:cs="Arial" w:ascii="Arial" w:hAnsi="Arial"/>
          <w:lang w:eastAsia="ar-SA"/>
        </w:rPr>
        <w:t>12.1.</w:t>
        <w:tab/>
        <w:t>В состав зон сельскохозяйственного использования могут включаться:</w:t>
      </w:r>
    </w:p>
    <w:p>
      <w:pPr>
        <w:pStyle w:val="NoSpacing"/>
        <w:numPr>
          <w:ilvl w:val="0"/>
          <w:numId w:val="7"/>
        </w:numPr>
        <w:jc w:val="both"/>
        <w:rPr>
          <w:rFonts w:ascii="Arial" w:hAnsi="Arial" w:cs="Arial"/>
          <w:sz w:val="24"/>
          <w:szCs w:val="24"/>
          <w:lang w:eastAsia="ar-SA"/>
        </w:rPr>
      </w:pPr>
      <w:r>
        <w:rPr>
          <w:rFonts w:cs="Arial" w:ascii="Arial" w:hAnsi="Arial"/>
          <w:sz w:val="24"/>
          <w:szCs w:val="24"/>
          <w:lang w:eastAsia="ar-SA"/>
        </w:rPr>
        <w:t>зоны сельскохозяйственных угодий - пашни, сенокосы, пастбища, залежи, земли, занятые многолетними насаждениями (садами, виноградниками и другими);</w:t>
      </w:r>
    </w:p>
    <w:p>
      <w:pPr>
        <w:pStyle w:val="NoSpacing"/>
        <w:numPr>
          <w:ilvl w:val="0"/>
          <w:numId w:val="7"/>
        </w:numPr>
        <w:jc w:val="both"/>
        <w:rPr>
          <w:rFonts w:ascii="Arial" w:hAnsi="Arial" w:cs="Arial"/>
          <w:sz w:val="24"/>
          <w:szCs w:val="24"/>
          <w:lang w:eastAsia="ar-SA"/>
        </w:rPr>
      </w:pPr>
      <w:r>
        <w:rPr>
          <w:rFonts w:cs="Arial" w:ascii="Arial" w:hAnsi="Arial"/>
          <w:sz w:val="24"/>
          <w:szCs w:val="24"/>
          <w:lang w:eastAsia="ar-SA"/>
        </w:rPr>
        <w:t>зоны, занятые объектами сельскохозяйственного назначения и предназначенные для ведения сельского хозяйства, садоводства, личного подсобного хозяйства, развития объектов сельскохозяйственного назначения.</w:t>
      </w:r>
    </w:p>
    <w:p>
      <w:pPr>
        <w:pStyle w:val="5551"/>
        <w:rPr>
          <w:rFonts w:ascii="Arial" w:hAnsi="Arial" w:cs="Arial"/>
          <w:lang w:eastAsia="ar-SA"/>
        </w:rPr>
      </w:pPr>
      <w:r>
        <w:rPr>
          <w:rFonts w:cs="Arial" w:ascii="Arial" w:hAnsi="Arial"/>
          <w:lang w:eastAsia="ar-SA"/>
        </w:rPr>
        <w:t>12.2.</w:t>
        <w:tab/>
        <w:t>В состав территориальных зон, устанавливаемых в границах черты населенного пункта, могут включаться зоны сельскохозяйственного использования (в том числе зоны сельскохозяйственных угодий), а также зоны, занятые объектами сельскохозяйственного назначения и предназначенные для ведения сельского хозяйства, садоводства, развития объектов сельскохозяйственного назначения.</w:t>
      </w:r>
    </w:p>
    <w:p>
      <w:pPr>
        <w:pStyle w:val="5551"/>
        <w:rPr>
          <w:rFonts w:ascii="Arial" w:hAnsi="Arial" w:cs="Arial"/>
          <w:lang w:eastAsia="ar-SA"/>
        </w:rPr>
      </w:pPr>
      <w:r>
        <w:rPr>
          <w:rFonts w:cs="Arial" w:ascii="Arial" w:hAnsi="Arial"/>
          <w:lang w:eastAsia="ar-SA"/>
        </w:rPr>
        <w:t>12.3.</w:t>
        <w:tab/>
        <w:t>В сельских населенных пунктах могут быть размещены животноводческие, птицеводческие и звероводческие производства, производства по хранению и переработке сельскохозяйственной продукции, ремонту, техническому обслуживанию и хранению сельскохозяйственных машин и автомобилей, по изготовлению строительных конструкций, изделий и деталей из местных материалов, машиноиспытательные станции, ветеринарные учреждения, теплицы и парники, промысловые цеха, материальные склады, транспортные, энергетические и другие объекты, связанные с проектируемыми производствами, а также коммуникации, обеспечивающие внутренние и внешние связи указанных объектов.</w:t>
      </w:r>
    </w:p>
    <w:p>
      <w:pPr>
        <w:pStyle w:val="5551"/>
        <w:rPr>
          <w:rFonts w:ascii="Arial" w:hAnsi="Arial" w:cs="Arial"/>
          <w:lang w:eastAsia="ar-SA"/>
        </w:rPr>
      </w:pPr>
      <w:r>
        <w:rPr>
          <w:rFonts w:cs="Arial" w:ascii="Arial" w:hAnsi="Arial"/>
          <w:lang w:eastAsia="ar-SA"/>
        </w:rPr>
        <w:t>12.4.</w:t>
        <w:tab/>
        <w:t>Не допускается размещение сельскохозяйственных предприятий, зданий, сооружений:</w:t>
      </w:r>
    </w:p>
    <w:p>
      <w:pPr>
        <w:pStyle w:val="5551"/>
        <w:ind w:left="0" w:right="0" w:hanging="0"/>
        <w:rPr>
          <w:rFonts w:ascii="Arial" w:hAnsi="Arial" w:cs="Arial"/>
          <w:lang w:eastAsia="ar-SA"/>
        </w:rPr>
      </w:pPr>
      <w:r>
        <w:rPr>
          <w:rFonts w:cs="Arial" w:ascii="Arial" w:hAnsi="Arial"/>
          <w:lang w:eastAsia="ar-SA"/>
        </w:rPr>
        <w:t>1) на площадках залегания полезных ископаемых без согласования с органами Госгортехнадзора;</w:t>
      </w:r>
    </w:p>
    <w:p>
      <w:pPr>
        <w:pStyle w:val="5551"/>
        <w:ind w:left="0" w:right="0" w:hanging="0"/>
        <w:rPr>
          <w:rFonts w:ascii="Arial" w:hAnsi="Arial" w:cs="Arial"/>
          <w:lang w:eastAsia="ar-SA"/>
        </w:rPr>
      </w:pPr>
      <w:r>
        <w:rPr>
          <w:rFonts w:cs="Arial" w:ascii="Arial" w:hAnsi="Arial"/>
          <w:lang w:eastAsia="ar-SA"/>
        </w:rPr>
        <w:t>2) в зонах оползней, которые могут угрожать застройке и эксплуатации предприятий, зданий и сооружений;</w:t>
      </w:r>
    </w:p>
    <w:p>
      <w:pPr>
        <w:pStyle w:val="5551"/>
        <w:ind w:left="0" w:right="0" w:hanging="0"/>
        <w:rPr>
          <w:rFonts w:ascii="Arial" w:hAnsi="Arial" w:cs="Arial"/>
          <w:lang w:eastAsia="ar-SA"/>
        </w:rPr>
      </w:pPr>
      <w:r>
        <w:rPr>
          <w:rFonts w:cs="Arial" w:ascii="Arial" w:hAnsi="Arial"/>
          <w:lang w:eastAsia="ar-SA"/>
        </w:rPr>
        <w:t>3) в первом поясе зоны санитарной охраны источников водоснабжения поселения;</w:t>
      </w:r>
    </w:p>
    <w:p>
      <w:pPr>
        <w:pStyle w:val="5551"/>
        <w:ind w:left="0" w:right="0" w:hanging="0"/>
        <w:rPr>
          <w:rFonts w:ascii="Arial" w:hAnsi="Arial" w:cs="Arial"/>
          <w:lang w:eastAsia="ar-SA"/>
        </w:rPr>
      </w:pPr>
      <w:r>
        <w:rPr>
          <w:rFonts w:cs="Arial" w:ascii="Arial" w:hAnsi="Arial"/>
          <w:lang w:eastAsia="ar-SA"/>
        </w:rPr>
        <w:t>4) на резервных территориях поселения, предназначенных под развитие населенных пунктов;</w:t>
      </w:r>
    </w:p>
    <w:p>
      <w:pPr>
        <w:pStyle w:val="5551"/>
        <w:ind w:left="0" w:right="0" w:hanging="0"/>
        <w:rPr>
          <w:rFonts w:ascii="Arial" w:hAnsi="Arial" w:cs="Arial"/>
          <w:lang w:eastAsia="ar-SA"/>
        </w:rPr>
      </w:pPr>
      <w:r>
        <w:rPr>
          <w:rFonts w:cs="Arial" w:ascii="Arial" w:hAnsi="Arial"/>
          <w:lang w:eastAsia="ar-SA"/>
        </w:rPr>
        <w:t>5) на земельных участках, загрязненных органическими и радиоактивными отбросами, до истечения сроков, установленных органами санитарно-эпидемиологического и ветеринарного надзора;</w:t>
      </w:r>
    </w:p>
    <w:p>
      <w:pPr>
        <w:pStyle w:val="5551"/>
        <w:ind w:left="0" w:right="0" w:hanging="0"/>
        <w:rPr>
          <w:rFonts w:ascii="Arial" w:hAnsi="Arial" w:cs="Arial"/>
          <w:lang w:eastAsia="ar-SA"/>
        </w:rPr>
      </w:pPr>
      <w:r>
        <w:rPr>
          <w:rFonts w:cs="Arial" w:ascii="Arial" w:hAnsi="Arial"/>
          <w:lang w:eastAsia="ar-SA"/>
        </w:rPr>
        <w:t>6) на землях особо охраняемых природных территорий.</w:t>
      </w:r>
    </w:p>
    <w:p>
      <w:pPr>
        <w:pStyle w:val="5551"/>
        <w:rPr>
          <w:rFonts w:ascii="Arial" w:hAnsi="Arial" w:cs="Arial"/>
          <w:lang w:eastAsia="ar-SA"/>
        </w:rPr>
      </w:pPr>
      <w:r>
        <w:rPr>
          <w:rFonts w:cs="Arial" w:ascii="Arial" w:hAnsi="Arial"/>
          <w:lang w:eastAsia="ar-SA"/>
        </w:rPr>
        <w:t>12.5.</w:t>
        <w:tab/>
        <w:t>Допускается размещение сельскохозяйственных предприятий, зданий и сооружений:</w:t>
      </w:r>
    </w:p>
    <w:p>
      <w:pPr>
        <w:pStyle w:val="NoSpacing"/>
        <w:jc w:val="both"/>
        <w:rPr>
          <w:rFonts w:ascii="Arial" w:hAnsi="Arial" w:cs="Arial"/>
          <w:sz w:val="24"/>
          <w:szCs w:val="24"/>
          <w:lang w:eastAsia="ar-SA"/>
        </w:rPr>
      </w:pPr>
      <w:r>
        <w:rPr>
          <w:rFonts w:cs="Arial" w:ascii="Arial" w:hAnsi="Arial"/>
          <w:sz w:val="24"/>
          <w:szCs w:val="24"/>
          <w:lang w:eastAsia="ar-SA"/>
        </w:rPr>
        <w:t>1) во втором поясе санитарной охраны источников водоснабжения поселения, кроме животноводческих и птицеводческих предприятий;</w:t>
      </w:r>
    </w:p>
    <w:p>
      <w:pPr>
        <w:pStyle w:val="NoSpacing"/>
        <w:jc w:val="both"/>
        <w:rPr>
          <w:rFonts w:ascii="Arial" w:hAnsi="Arial" w:cs="Arial"/>
          <w:sz w:val="24"/>
          <w:szCs w:val="24"/>
          <w:lang w:eastAsia="ar-SA"/>
        </w:rPr>
      </w:pPr>
      <w:r>
        <w:rPr>
          <w:rFonts w:cs="Arial" w:ascii="Arial" w:hAnsi="Arial"/>
          <w:sz w:val="24"/>
          <w:szCs w:val="24"/>
          <w:lang w:eastAsia="ar-SA"/>
        </w:rPr>
        <w:t>2) в охранных зонах особо охраняемых территорий, если это не оказывает негативное (вредное) воздействие на природные комплексы особо охраняемых природных территорий.</w:t>
      </w:r>
    </w:p>
    <w:p>
      <w:pPr>
        <w:pStyle w:val="5551"/>
        <w:rPr>
          <w:rFonts w:ascii="Arial" w:hAnsi="Arial" w:cs="Arial"/>
          <w:lang w:eastAsia="ar-SA"/>
        </w:rPr>
      </w:pPr>
      <w:r>
        <w:rPr>
          <w:rFonts w:cs="Arial" w:ascii="Arial" w:hAnsi="Arial"/>
          <w:lang w:eastAsia="ar-SA"/>
        </w:rPr>
        <w:t>12.6.</w:t>
        <w:tab/>
        <w:t>При размещении сельскохозяйственных предприятий, зданий и сооружений на прибрежных участках водоемов и при отсутствии непосредственной связи предприятий с ними следует предусматривать незастроенную прибрежную полосу шириной не менее 40 м.</w:t>
      </w:r>
    </w:p>
    <w:p>
      <w:pPr>
        <w:pStyle w:val="5551"/>
        <w:rPr>
          <w:rFonts w:ascii="Arial" w:hAnsi="Arial" w:cs="Arial"/>
          <w:lang w:eastAsia="ar-SA"/>
        </w:rPr>
      </w:pPr>
      <w:r>
        <w:rPr>
          <w:rFonts w:cs="Arial" w:ascii="Arial" w:hAnsi="Arial"/>
          <w:lang w:eastAsia="ar-SA"/>
        </w:rPr>
        <w:t>12.7.</w:t>
        <w:tab/>
        <w:t>При размещении сельскохозяйственных предприятий, зданий и сооружений в районе расположения радиостанций, складов взрывчатых веществ, сильно действующих ядовитых веществ и других предприятий и объектов специального назначения расстояние от проектируемых зон до указанных объектов следует принимать в соответствии с действующими нормами и правилами с соблюдением санитарно-защитных зон указанных объектов.</w:t>
      </w:r>
    </w:p>
    <w:p>
      <w:pPr>
        <w:pStyle w:val="5551"/>
        <w:rPr>
          <w:rFonts w:ascii="Arial" w:hAnsi="Arial" w:cs="Arial"/>
          <w:lang w:eastAsia="ar-SA"/>
        </w:rPr>
      </w:pPr>
      <w:r>
        <w:rPr>
          <w:rFonts w:cs="Arial" w:ascii="Arial" w:hAnsi="Arial"/>
          <w:lang w:eastAsia="ar-SA"/>
        </w:rPr>
        <w:t>12.8.</w:t>
        <w:tab/>
        <w:t>Сельскохозяйственные предприятия, осуществляющие выброс в атмосферу значительного количества дыма, пыли или неприятных запахов, не допускается располагать в замкнутых долинах, котлованах и на других территориях, не обеспеченных естественным проветриванием.</w:t>
      </w:r>
    </w:p>
    <w:p>
      <w:pPr>
        <w:pStyle w:val="5551"/>
        <w:rPr>
          <w:rFonts w:ascii="Arial" w:hAnsi="Arial" w:cs="Arial"/>
          <w:lang w:eastAsia="ar-SA"/>
        </w:rPr>
      </w:pPr>
      <w:r>
        <w:rPr>
          <w:rFonts w:cs="Arial" w:ascii="Arial" w:hAnsi="Arial"/>
          <w:lang w:eastAsia="ar-SA"/>
        </w:rPr>
        <w:t>12.9.</w:t>
        <w:tab/>
        <w:t>При размещении складов минеральных удобрений и химических средств защиты растений должны соблюдаться необходимые меры, исключающие попадание вредных веществ в водоемы.</w:t>
      </w:r>
    </w:p>
    <w:p>
      <w:pPr>
        <w:pStyle w:val="NoSpacing"/>
        <w:ind w:left="0" w:right="0" w:firstLine="708"/>
        <w:jc w:val="both"/>
        <w:rPr>
          <w:rFonts w:ascii="Arial" w:hAnsi="Arial" w:cs="Arial"/>
          <w:sz w:val="24"/>
          <w:szCs w:val="24"/>
          <w:lang w:eastAsia="ar-SA"/>
        </w:rPr>
      </w:pPr>
      <w:r>
        <w:rPr>
          <w:rFonts w:cs="Arial" w:ascii="Arial" w:hAnsi="Arial"/>
          <w:sz w:val="24"/>
          <w:szCs w:val="24"/>
          <w:lang w:eastAsia="ar-SA"/>
        </w:rPr>
        <w:t xml:space="preserve">Склады минеральных удобрений и химических средств защиты растений следует располагать на расстоянии не менее 2 км от рыбохозяйственных водоемов. </w:t>
      </w:r>
    </w:p>
    <w:p>
      <w:pPr>
        <w:pStyle w:val="5551"/>
        <w:rPr>
          <w:rFonts w:ascii="Arial" w:hAnsi="Arial" w:cs="Arial"/>
          <w:lang w:eastAsia="ar-SA"/>
        </w:rPr>
      </w:pPr>
      <w:r>
        <w:rPr>
          <w:rFonts w:cs="Arial" w:ascii="Arial" w:hAnsi="Arial"/>
          <w:lang w:eastAsia="ar-SA"/>
        </w:rPr>
        <w:t>12.10.</w:t>
        <w:tab/>
        <w:t>Территории зон, занятых объектами сельскохозяйственного назначения, не должны разделяться на обособленные участки железными или автомобильными дорогами общей сети, а также реками.</w:t>
      </w:r>
    </w:p>
    <w:p>
      <w:pPr>
        <w:pStyle w:val="5551"/>
        <w:rPr>
          <w:rFonts w:ascii="Arial" w:hAnsi="Arial" w:cs="Arial"/>
          <w:lang w:eastAsia="ar-SA"/>
        </w:rPr>
      </w:pPr>
      <w:r>
        <w:rPr>
          <w:rFonts w:cs="Arial" w:ascii="Arial" w:hAnsi="Arial"/>
          <w:lang w:eastAsia="ar-SA"/>
        </w:rPr>
        <w:t>12.11.</w:t>
        <w:tab/>
        <w:t>При планировке и застройке зон, занятых объектами сельскохозяйственного назначения, необходимо предусматривать:</w:t>
      </w:r>
    </w:p>
    <w:p>
      <w:pPr>
        <w:pStyle w:val="NoSpacing"/>
        <w:ind w:left="0" w:right="0" w:firstLine="708"/>
        <w:jc w:val="both"/>
        <w:rPr>
          <w:rFonts w:ascii="Arial" w:hAnsi="Arial" w:cs="Arial"/>
          <w:sz w:val="24"/>
          <w:szCs w:val="24"/>
          <w:lang w:eastAsia="ar-SA"/>
        </w:rPr>
      </w:pPr>
      <w:r>
        <w:rPr>
          <w:rFonts w:cs="Arial" w:ascii="Arial" w:hAnsi="Arial"/>
          <w:sz w:val="24"/>
          <w:szCs w:val="24"/>
          <w:lang w:eastAsia="ar-SA"/>
        </w:rPr>
        <w:t>- планировочную увязку с селитебной (жилой) зоной;</w:t>
      </w:r>
    </w:p>
    <w:p>
      <w:pPr>
        <w:pStyle w:val="NoSpacing"/>
        <w:ind w:left="0" w:right="0" w:firstLine="708"/>
        <w:jc w:val="both"/>
        <w:rPr>
          <w:rFonts w:ascii="Arial" w:hAnsi="Arial" w:cs="Arial"/>
          <w:sz w:val="24"/>
          <w:szCs w:val="24"/>
          <w:lang w:eastAsia="ar-SA"/>
        </w:rPr>
      </w:pPr>
      <w:r>
        <w:rPr>
          <w:rFonts w:cs="Arial" w:ascii="Arial" w:hAnsi="Arial"/>
          <w:sz w:val="24"/>
          <w:szCs w:val="24"/>
          <w:lang w:eastAsia="ar-SA"/>
        </w:rPr>
        <w:t>- экономически целесообразное кооперирование сельскохозяйственных и промышленных предприятий на одном земельном участке и организацию общих объектов подсобного и обслуживающего назначения;</w:t>
      </w:r>
    </w:p>
    <w:p>
      <w:pPr>
        <w:pStyle w:val="NoSpacing"/>
        <w:ind w:left="0" w:right="0" w:firstLine="708"/>
        <w:jc w:val="both"/>
        <w:rPr>
          <w:rFonts w:ascii="Arial" w:hAnsi="Arial" w:cs="Arial"/>
          <w:sz w:val="24"/>
          <w:szCs w:val="24"/>
          <w:lang w:eastAsia="ar-SA"/>
        </w:rPr>
      </w:pPr>
      <w:r>
        <w:rPr>
          <w:rFonts w:cs="Arial" w:ascii="Arial" w:hAnsi="Arial"/>
          <w:sz w:val="24"/>
          <w:szCs w:val="24"/>
          <w:lang w:eastAsia="ar-SA"/>
        </w:rPr>
        <w:t>- выполнение комплексных технологических и инженерно-технических требований и создание единого архитектурного ансамбля с учетом природно-климатических, геологических и других местных условий;</w:t>
      </w:r>
    </w:p>
    <w:p>
      <w:pPr>
        <w:pStyle w:val="NoSpacing"/>
        <w:ind w:left="0" w:right="0" w:firstLine="708"/>
        <w:jc w:val="both"/>
        <w:rPr>
          <w:rFonts w:ascii="Arial" w:hAnsi="Arial" w:cs="Arial"/>
          <w:sz w:val="24"/>
          <w:szCs w:val="24"/>
          <w:lang w:eastAsia="ar-SA"/>
        </w:rPr>
      </w:pPr>
      <w:r>
        <w:rPr>
          <w:rFonts w:cs="Arial" w:ascii="Arial" w:hAnsi="Arial"/>
          <w:sz w:val="24"/>
          <w:szCs w:val="24"/>
          <w:lang w:eastAsia="ar-SA"/>
        </w:rPr>
        <w:t>- мероприятия по охране окружающей среды от загрязнения производственными выбросами и стоками;</w:t>
      </w:r>
    </w:p>
    <w:p>
      <w:pPr>
        <w:pStyle w:val="NoSpacing"/>
        <w:ind w:left="0" w:right="0" w:firstLine="708"/>
        <w:jc w:val="both"/>
        <w:rPr>
          <w:rFonts w:ascii="Arial" w:hAnsi="Arial" w:cs="Arial"/>
          <w:sz w:val="24"/>
          <w:szCs w:val="24"/>
          <w:lang w:eastAsia="ar-SA"/>
        </w:rPr>
      </w:pPr>
      <w:r>
        <w:rPr>
          <w:rFonts w:cs="Arial" w:ascii="Arial" w:hAnsi="Arial"/>
          <w:sz w:val="24"/>
          <w:szCs w:val="24"/>
          <w:lang w:eastAsia="ar-SA"/>
        </w:rPr>
        <w:t>- возможность расширения производственной зоны сельскохозяйственных предприятий.</w:t>
      </w:r>
    </w:p>
    <w:p>
      <w:pPr>
        <w:pStyle w:val="5551"/>
        <w:rPr>
          <w:rFonts w:ascii="Arial" w:hAnsi="Arial" w:cs="Arial"/>
        </w:rPr>
      </w:pPr>
      <w:r>
        <w:rPr>
          <w:rFonts w:cs="Arial" w:ascii="Arial" w:hAnsi="Arial"/>
        </w:rPr>
        <w:t>12.12.</w:t>
        <w:tab/>
        <w:t>Животноводческие, птицеводческие и звероводческие фермы, ветеринарные учреждения и предприятия по производству молока, мяса и яиц на промышленной основе следует размещать с подветренной стороны по отношению к другим сельскохозяйственным объектам и селитебной территории.</w:t>
      </w:r>
    </w:p>
    <w:p>
      <w:pPr>
        <w:pStyle w:val="5551"/>
        <w:rPr>
          <w:rFonts w:ascii="Arial" w:hAnsi="Arial" w:cs="Arial"/>
        </w:rPr>
      </w:pPr>
      <w:r>
        <w:rPr>
          <w:rFonts w:cs="Arial" w:ascii="Arial" w:hAnsi="Arial"/>
        </w:rPr>
        <w:t>12.13.</w:t>
        <w:tab/>
        <w:t>Склады минеральных удобрений и химических средств защиты растений следует размещать с подветренной стороны по отношению к жилым, общественным и производственным зданиям.</w:t>
      </w:r>
    </w:p>
    <w:p>
      <w:pPr>
        <w:pStyle w:val="5551"/>
        <w:rPr>
          <w:rFonts w:ascii="Arial" w:hAnsi="Arial" w:cs="Arial"/>
        </w:rPr>
      </w:pPr>
      <w:r>
        <w:rPr>
          <w:rFonts w:cs="Arial" w:ascii="Arial" w:hAnsi="Arial"/>
        </w:rPr>
        <w:t>12.14.</w:t>
        <w:tab/>
        <w:t>Ветеринарные учреждения (за исключением ветсанпропускников), котельные, навозохранилища открытого типа следует размещать с подветренной стороны по отношению к животноводческим, птицеводческим и звероводческим зданиям и сооружениям.</w:t>
      </w:r>
    </w:p>
    <w:p>
      <w:pPr>
        <w:pStyle w:val="5551"/>
        <w:rPr>
          <w:rFonts w:ascii="Arial" w:hAnsi="Arial" w:cs="Arial"/>
        </w:rPr>
      </w:pPr>
      <w:r>
        <w:rPr>
          <w:rFonts w:cs="Arial" w:ascii="Arial" w:hAnsi="Arial"/>
        </w:rPr>
        <w:t>12.15.</w:t>
        <w:tab/>
        <w:t>Теплицы и парники следует проектировать на южных или юго-восточных склонах с наивысшим уровнем грунтовых вод не менее 1,5 м от поверхности земли.</w:t>
      </w:r>
    </w:p>
    <w:p>
      <w:pPr>
        <w:pStyle w:val="5551"/>
        <w:rPr>
          <w:rFonts w:ascii="Arial" w:hAnsi="Arial" w:cs="Arial"/>
        </w:rPr>
      </w:pPr>
      <w:r>
        <w:rPr>
          <w:rFonts w:cs="Arial" w:ascii="Arial" w:hAnsi="Arial"/>
        </w:rPr>
        <w:t>12.16.</w:t>
        <w:tab/>
        <w:t>Склады и хранилища сельскохозяйственной продукции следует размещать на хорошо проветриваемых земельных участках с наивысшим уровнем грунтовых вод не менее 1,5 м от поверхности земли с учетом санитарно-защитных зон.</w:t>
      </w:r>
    </w:p>
    <w:p>
      <w:pPr>
        <w:pStyle w:val="NoSpacing"/>
        <w:ind w:left="0" w:right="0" w:firstLine="708"/>
        <w:jc w:val="both"/>
        <w:rPr>
          <w:rFonts w:ascii="Arial" w:hAnsi="Arial" w:cs="Arial"/>
          <w:sz w:val="24"/>
          <w:szCs w:val="24"/>
        </w:rPr>
      </w:pPr>
      <w:r>
        <w:rPr>
          <w:rFonts w:cs="Arial" w:ascii="Arial" w:hAnsi="Arial"/>
          <w:sz w:val="24"/>
          <w:szCs w:val="24"/>
        </w:rPr>
        <w:t>Здания и помещения для хранения и переработки сельскохозяйственной продукции (овощей, картофеля, продукции плодоводства и виноградарства), для первичной переработки молока, скота и птицы, шерсти и меховых шкурок, масличных и лубяных культур проектируются в соответствии с требованиями СНиП 2.10.02-84.</w:t>
      </w:r>
    </w:p>
    <w:p>
      <w:pPr>
        <w:pStyle w:val="5551"/>
        <w:rPr>
          <w:rFonts w:ascii="Arial" w:hAnsi="Arial" w:cs="Arial"/>
        </w:rPr>
      </w:pPr>
      <w:r>
        <w:rPr>
          <w:rFonts w:cs="Arial" w:ascii="Arial" w:hAnsi="Arial"/>
        </w:rPr>
        <w:t>12.17.</w:t>
        <w:tab/>
        <w:t>Предприятия, здания и сооружения по хранению и переработке зерна проектируются в составе промышленных узлов с общими вспомогательными производствами и хозяйствами, инженерными сооружениями и коммуникациями</w:t>
      </w:r>
    </w:p>
    <w:p>
      <w:pPr>
        <w:pStyle w:val="5551"/>
        <w:rPr>
          <w:rFonts w:ascii="Arial" w:hAnsi="Arial" w:cs="Arial"/>
        </w:rPr>
      </w:pPr>
      <w:r>
        <w:rPr>
          <w:rFonts w:cs="Arial" w:ascii="Arial" w:hAnsi="Arial"/>
        </w:rPr>
        <w:t>12.18.</w:t>
        <w:tab/>
        <w:t>При реконструкции сельскохозяйственных предприятий, зданий, сооружений следует предусматривать:</w:t>
      </w:r>
    </w:p>
    <w:p>
      <w:pPr>
        <w:pStyle w:val="NoSpacing"/>
        <w:ind w:left="0" w:right="0" w:firstLine="708"/>
        <w:jc w:val="both"/>
        <w:rPr>
          <w:rFonts w:ascii="Arial" w:hAnsi="Arial" w:cs="Arial"/>
          <w:sz w:val="24"/>
          <w:szCs w:val="24"/>
        </w:rPr>
      </w:pPr>
      <w:r>
        <w:rPr>
          <w:rFonts w:cs="Arial" w:ascii="Arial" w:hAnsi="Arial"/>
          <w:sz w:val="24"/>
          <w:szCs w:val="24"/>
        </w:rPr>
        <w:t>концентрацию производственных объектов на одном земельном участке;</w:t>
      </w:r>
    </w:p>
    <w:p>
      <w:pPr>
        <w:pStyle w:val="NoSpacing"/>
        <w:ind w:left="0" w:right="0" w:firstLine="708"/>
        <w:jc w:val="both"/>
        <w:rPr>
          <w:rFonts w:ascii="Arial" w:hAnsi="Arial" w:cs="Arial"/>
          <w:sz w:val="24"/>
          <w:szCs w:val="24"/>
        </w:rPr>
      </w:pPr>
      <w:r>
        <w:rPr>
          <w:rFonts w:cs="Arial" w:ascii="Arial" w:hAnsi="Arial"/>
          <w:sz w:val="24"/>
          <w:szCs w:val="24"/>
        </w:rPr>
        <w:t>планировку и застройку сельскохозяйственных зон с выявлением земельных участков для расширения реконструируемых и размещения новых сельскохозяйственных предприятий;</w:t>
      </w:r>
    </w:p>
    <w:p>
      <w:pPr>
        <w:pStyle w:val="NoSpacing"/>
        <w:ind w:left="0" w:right="0" w:firstLine="708"/>
        <w:jc w:val="both"/>
        <w:rPr>
          <w:rFonts w:ascii="Arial" w:hAnsi="Arial" w:cs="Arial"/>
          <w:sz w:val="24"/>
          <w:szCs w:val="24"/>
        </w:rPr>
      </w:pPr>
      <w:r>
        <w:rPr>
          <w:rFonts w:cs="Arial" w:ascii="Arial" w:hAnsi="Arial"/>
          <w:sz w:val="24"/>
          <w:szCs w:val="24"/>
        </w:rPr>
        <w:t>ликвидацию малодеятельных подъездных путей и дорог;</w:t>
      </w:r>
    </w:p>
    <w:p>
      <w:pPr>
        <w:pStyle w:val="NoSpacing"/>
        <w:ind w:left="0" w:right="0" w:firstLine="708"/>
        <w:jc w:val="both"/>
        <w:rPr>
          <w:rFonts w:ascii="Arial" w:hAnsi="Arial" w:cs="Arial"/>
          <w:sz w:val="24"/>
          <w:szCs w:val="24"/>
        </w:rPr>
      </w:pPr>
      <w:r>
        <w:rPr>
          <w:rFonts w:cs="Arial" w:ascii="Arial" w:hAnsi="Arial"/>
          <w:sz w:val="24"/>
          <w:szCs w:val="24"/>
        </w:rPr>
        <w:t>ликвидацию мелких и устаревших предприятий и объектов, не имеющих земельных участков для дальнейшего развития, а также предприятий и объектов, оказывающих негативное влияние на селитебную зону, соседние предприятия и окружающую среду;</w:t>
      </w:r>
    </w:p>
    <w:p>
      <w:pPr>
        <w:pStyle w:val="NoSpacing"/>
        <w:ind w:left="0" w:right="0" w:firstLine="708"/>
        <w:jc w:val="both"/>
        <w:rPr>
          <w:rFonts w:ascii="Arial" w:hAnsi="Arial" w:cs="Arial"/>
          <w:sz w:val="24"/>
          <w:szCs w:val="24"/>
        </w:rPr>
      </w:pPr>
      <w:r>
        <w:rPr>
          <w:rFonts w:cs="Arial" w:ascii="Arial" w:hAnsi="Arial"/>
          <w:sz w:val="24"/>
          <w:szCs w:val="24"/>
        </w:rPr>
        <w:t>улучшение благоустройства производственных территорий и санитарно-защитных зон, повышение архитектурного уровня застройки;</w:t>
      </w:r>
    </w:p>
    <w:p>
      <w:pPr>
        <w:pStyle w:val="NoSpacing"/>
        <w:ind w:left="0" w:right="0" w:firstLine="708"/>
        <w:jc w:val="both"/>
        <w:rPr>
          <w:rFonts w:ascii="Arial" w:hAnsi="Arial" w:cs="Arial"/>
          <w:sz w:val="24"/>
          <w:szCs w:val="24"/>
        </w:rPr>
      </w:pPr>
      <w:r>
        <w:rPr>
          <w:rFonts w:cs="Arial" w:ascii="Arial" w:hAnsi="Arial"/>
          <w:sz w:val="24"/>
          <w:szCs w:val="24"/>
        </w:rPr>
        <w:t>организацию площадок для стоянки автомобильного транспорта.</w:t>
      </w:r>
    </w:p>
    <w:p>
      <w:pPr>
        <w:pStyle w:val="5551"/>
        <w:rPr>
          <w:rFonts w:ascii="Arial" w:hAnsi="Arial" w:cs="Arial"/>
        </w:rPr>
      </w:pPr>
      <w:r>
        <w:rPr>
          <w:rFonts w:cs="Arial" w:ascii="Arial" w:hAnsi="Arial"/>
        </w:rPr>
        <w:t>12.19.</w:t>
        <w:tab/>
        <w:t xml:space="preserve">Во всем ином, в том числе определении площадей по конкретные виды сельскохозяйственных нужд, а также сельскохозяйственных предприятий необходимо руководствоваться действующими на территории Российской Федерации и Нижегородской области,  Кушнурского сельсовета нормативными правовыми актами. </w:t>
      </w:r>
    </w:p>
    <w:p>
      <w:pPr>
        <w:pStyle w:val="5551"/>
        <w:rPr>
          <w:rFonts w:ascii="Arial" w:hAnsi="Arial" w:cs="Arial"/>
        </w:rPr>
      </w:pPr>
      <w:r>
        <w:rPr>
          <w:rFonts w:cs="Arial" w:ascii="Arial" w:hAnsi="Arial"/>
        </w:rPr>
        <w:t>12.20.</w:t>
        <w:tab/>
        <w:t>Предельные (минимальные и максимальные) размеры земельных участков, предоставляемых гражданам в собственность либо в аренду для ведения животноводства, садоводства, огородничества или дачного строительства устанавливаются Правилами землепользования и застройки  Кушнурского   сельсовета.</w:t>
      </w:r>
    </w:p>
    <w:p>
      <w:pPr>
        <w:pStyle w:val="NoSpacing"/>
        <w:jc w:val="both"/>
        <w:rPr>
          <w:rFonts w:ascii="Arial" w:hAnsi="Arial" w:cs="Arial"/>
          <w:sz w:val="24"/>
          <w:szCs w:val="24"/>
        </w:rPr>
      </w:pPr>
      <w:r>
        <w:rPr>
          <w:rFonts w:cs="Arial" w:ascii="Arial" w:hAnsi="Arial"/>
          <w:sz w:val="24"/>
          <w:szCs w:val="24"/>
        </w:rPr>
      </w:r>
    </w:p>
    <w:p>
      <w:pPr>
        <w:pStyle w:val="Style117"/>
        <w:rPr>
          <w:rFonts w:ascii="Arial" w:hAnsi="Arial" w:cs="Arial"/>
        </w:rPr>
      </w:pPr>
      <w:bookmarkStart w:id="43" w:name="__RefHeading___Toc494193936"/>
      <w:bookmarkEnd w:id="43"/>
      <w:r>
        <w:rPr>
          <w:rFonts w:cs="Arial" w:ascii="Arial" w:hAnsi="Arial"/>
        </w:rPr>
        <w:t>13. Расчетные показатели в области инженерной подготовки и защиты территории</w:t>
      </w:r>
    </w:p>
    <w:p>
      <w:pPr>
        <w:pStyle w:val="Style99"/>
        <w:rPr>
          <w:rFonts w:ascii="Arial" w:hAnsi="Arial" w:cs="Arial"/>
          <w:sz w:val="24"/>
          <w:szCs w:val="24"/>
        </w:rPr>
      </w:pPr>
      <w:r>
        <w:rPr>
          <w:rFonts w:cs="Arial" w:ascii="Arial" w:hAnsi="Arial"/>
          <w:sz w:val="24"/>
          <w:szCs w:val="24"/>
        </w:rPr>
      </w:r>
    </w:p>
    <w:p>
      <w:pPr>
        <w:pStyle w:val="5551"/>
        <w:rPr>
          <w:rFonts w:ascii="Arial" w:hAnsi="Arial" w:cs="Arial"/>
        </w:rPr>
      </w:pPr>
      <w:r>
        <w:rPr>
          <w:rFonts w:cs="Arial" w:ascii="Arial" w:hAnsi="Arial"/>
        </w:rPr>
        <w:t>13.1. Инженерная подготовка территории должна обеспечивать возможность градостроительного освоения районов, подлежащих застройке.</w:t>
      </w:r>
    </w:p>
    <w:p>
      <w:pPr>
        <w:pStyle w:val="ConsPlusNormal3"/>
        <w:ind w:left="0" w:right="0" w:firstLine="540"/>
        <w:jc w:val="both"/>
        <w:rPr>
          <w:rFonts w:cs="Arial"/>
          <w:sz w:val="24"/>
          <w:szCs w:val="24"/>
        </w:rPr>
      </w:pPr>
      <w:r>
        <w:rPr>
          <w:rFonts w:cs="Arial"/>
          <w:sz w:val="24"/>
          <w:szCs w:val="24"/>
        </w:rPr>
        <w:t>Инженерная подготовка и защита проводятся с целью создания благоприятных условий для рационального функционирования застройки, системы инженерной инфраструктуры, сохранности историко-культурных, архитектурно-ландшафтных и водных объектов, а также зеленых массивов.</w:t>
      </w:r>
    </w:p>
    <w:p>
      <w:pPr>
        <w:pStyle w:val="5551"/>
        <w:rPr>
          <w:rFonts w:ascii="Arial" w:hAnsi="Arial" w:cs="Arial"/>
        </w:rPr>
      </w:pPr>
      <w:r>
        <w:rPr>
          <w:rFonts w:cs="Arial" w:ascii="Arial" w:hAnsi="Arial"/>
        </w:rPr>
        <w:t>13.2.</w:t>
        <w:tab/>
        <w:t>При планировке и застройке территории залегания полезных ископаемых необходимо соблюдать требования законодательства о недрах.</w:t>
      </w:r>
    </w:p>
    <w:p>
      <w:pPr>
        <w:pStyle w:val="ConsPlusNormal3"/>
        <w:ind w:left="0" w:right="0" w:firstLine="540"/>
        <w:jc w:val="both"/>
        <w:rPr>
          <w:rFonts w:cs="Arial"/>
          <w:sz w:val="24"/>
          <w:szCs w:val="24"/>
        </w:rPr>
      </w:pPr>
      <w:r>
        <w:rPr>
          <w:rFonts w:cs="Arial"/>
          <w:sz w:val="24"/>
          <w:szCs w:val="24"/>
        </w:rPr>
        <w:t>Застройка территорий залегания полезных ископаемых (кроме общераспространенных) допускается по согласованию с органами государственного горного надзора. При этом должны быть предусмотрены и осуществлены мероприятия, обеспечивающие возможность извлечения из недр полезных ископаемых.</w:t>
      </w:r>
    </w:p>
    <w:p>
      <w:pPr>
        <w:pStyle w:val="5551"/>
        <w:rPr>
          <w:rFonts w:ascii="Arial" w:hAnsi="Arial" w:cs="Arial"/>
        </w:rPr>
      </w:pPr>
      <w:r>
        <w:rPr>
          <w:rFonts w:cs="Arial" w:ascii="Arial" w:hAnsi="Arial"/>
        </w:rPr>
        <w:t>13.3.</w:t>
        <w:tab/>
        <w:t>При разработке проектной документации в состав проектов планировки необходимо включать схемы горно-геологических ограничений с указанием категории территории по условиям строительства.</w:t>
      </w:r>
    </w:p>
    <w:p>
      <w:pPr>
        <w:pStyle w:val="5551"/>
        <w:rPr>
          <w:rFonts w:ascii="Arial" w:hAnsi="Arial" w:cs="Arial"/>
        </w:rPr>
      </w:pPr>
      <w:r>
        <w:rPr>
          <w:rFonts w:cs="Arial" w:ascii="Arial" w:hAnsi="Arial"/>
        </w:rPr>
        <w:t>13.4.</w:t>
        <w:tab/>
        <w:t>При разработке проектов планировки населенных пунктов следует предусматривать при необходимости инженерную защиту от опасных геологических процессов.</w:t>
      </w:r>
    </w:p>
    <w:p>
      <w:pPr>
        <w:pStyle w:val="ConsPlusNormal3"/>
        <w:ind w:left="0" w:right="0" w:firstLine="540"/>
        <w:jc w:val="both"/>
        <w:rPr>
          <w:rFonts w:cs="Arial"/>
          <w:sz w:val="24"/>
          <w:szCs w:val="24"/>
        </w:rPr>
      </w:pPr>
      <w:r>
        <w:rPr>
          <w:rFonts w:cs="Arial"/>
          <w:sz w:val="24"/>
          <w:szCs w:val="24"/>
        </w:rPr>
        <w:t>Необходимость инженерной защиты определяется:</w:t>
      </w:r>
    </w:p>
    <w:p>
      <w:pPr>
        <w:pStyle w:val="ConsPlusNormal3"/>
        <w:ind w:left="0" w:right="0" w:firstLine="540"/>
        <w:jc w:val="both"/>
        <w:rPr>
          <w:rFonts w:cs="Arial"/>
          <w:sz w:val="24"/>
          <w:szCs w:val="24"/>
        </w:rPr>
      </w:pPr>
      <w:r>
        <w:rPr>
          <w:rFonts w:cs="Arial"/>
          <w:sz w:val="24"/>
          <w:szCs w:val="24"/>
        </w:rPr>
        <w:t>- для вновь застраиваемых и реконструируемых территорий - в проекте генерального плана с учетом вариантности планировочных и технических решений;</w:t>
      </w:r>
    </w:p>
    <w:p>
      <w:pPr>
        <w:pStyle w:val="ConsPlusNormal3"/>
        <w:ind w:left="0" w:right="0" w:firstLine="540"/>
        <w:jc w:val="both"/>
        <w:rPr>
          <w:rFonts w:cs="Arial"/>
          <w:sz w:val="24"/>
          <w:szCs w:val="24"/>
        </w:rPr>
      </w:pPr>
      <w:r>
        <w:rPr>
          <w:rFonts w:cs="Arial"/>
          <w:sz w:val="24"/>
          <w:szCs w:val="24"/>
        </w:rPr>
        <w:t>- для застроенных территорий - в проектах строительства, реконструкции и капитального ремонта зданий и сооружений с учетом существующих планировочных решений и требований заказчика.</w:t>
      </w:r>
    </w:p>
    <w:p>
      <w:pPr>
        <w:pStyle w:val="ConsPlusNormal3"/>
        <w:ind w:left="0" w:right="0" w:firstLine="540"/>
        <w:jc w:val="both"/>
        <w:rPr>
          <w:rFonts w:cs="Arial"/>
          <w:sz w:val="24"/>
          <w:szCs w:val="24"/>
        </w:rPr>
      </w:pPr>
      <w:r>
        <w:rPr>
          <w:rFonts w:cs="Arial"/>
          <w:sz w:val="24"/>
          <w:szCs w:val="24"/>
        </w:rPr>
        <w:t>При проектировании инженерной защиты следует обеспечивать (предусматривать):</w:t>
      </w:r>
    </w:p>
    <w:p>
      <w:pPr>
        <w:pStyle w:val="ConsPlusNormal3"/>
        <w:ind w:left="0" w:right="0" w:firstLine="540"/>
        <w:jc w:val="both"/>
        <w:rPr>
          <w:rFonts w:cs="Arial"/>
          <w:sz w:val="24"/>
          <w:szCs w:val="24"/>
        </w:rPr>
      </w:pPr>
      <w:r>
        <w:rPr>
          <w:rFonts w:cs="Arial"/>
          <w:sz w:val="24"/>
          <w:szCs w:val="24"/>
        </w:rPr>
        <w:t>- предотвращение, устранение или снижение до допустимого уровня отрицательного воздействия на защищаемые территории, здания и сооружения действующих и связанных с ними возможных опасных процессов;</w:t>
      </w:r>
    </w:p>
    <w:p>
      <w:pPr>
        <w:pStyle w:val="ConsPlusNormal3"/>
        <w:ind w:left="0" w:right="0" w:firstLine="540"/>
        <w:jc w:val="both"/>
        <w:rPr>
          <w:rFonts w:cs="Arial"/>
          <w:sz w:val="24"/>
          <w:szCs w:val="24"/>
        </w:rPr>
      </w:pPr>
      <w:r>
        <w:rPr>
          <w:rFonts w:cs="Arial"/>
          <w:sz w:val="24"/>
          <w:szCs w:val="24"/>
        </w:rPr>
        <w:t>- наиболее полное использование местных строительных материалов и природных ресурсов;</w:t>
      </w:r>
    </w:p>
    <w:p>
      <w:pPr>
        <w:pStyle w:val="ConsPlusNormal3"/>
        <w:ind w:left="0" w:right="0" w:firstLine="540"/>
        <w:jc w:val="both"/>
        <w:rPr>
          <w:rFonts w:cs="Arial"/>
          <w:sz w:val="24"/>
          <w:szCs w:val="24"/>
        </w:rPr>
      </w:pPr>
      <w:r>
        <w:rPr>
          <w:rFonts w:cs="Arial"/>
          <w:sz w:val="24"/>
          <w:szCs w:val="24"/>
        </w:rPr>
        <w:t>- производство работ способами, не приводящими к появлению новых и (или) интенсификации действующих геологических процессов;</w:t>
      </w:r>
    </w:p>
    <w:p>
      <w:pPr>
        <w:pStyle w:val="ConsPlusNormal3"/>
        <w:ind w:left="0" w:right="0" w:firstLine="540"/>
        <w:jc w:val="both"/>
        <w:rPr>
          <w:rFonts w:cs="Arial"/>
          <w:sz w:val="24"/>
          <w:szCs w:val="24"/>
        </w:rPr>
      </w:pPr>
      <w:r>
        <w:rPr>
          <w:rFonts w:cs="Arial"/>
          <w:sz w:val="24"/>
          <w:szCs w:val="24"/>
        </w:rPr>
        <w:t>- сохранение заповедных зон, ландшафтов, исторических объектов и памятников и другого;</w:t>
      </w:r>
    </w:p>
    <w:p>
      <w:pPr>
        <w:pStyle w:val="ConsPlusNormal3"/>
        <w:ind w:left="0" w:right="0" w:firstLine="540"/>
        <w:jc w:val="both"/>
        <w:rPr>
          <w:rFonts w:cs="Arial"/>
          <w:sz w:val="24"/>
          <w:szCs w:val="24"/>
        </w:rPr>
      </w:pPr>
      <w:r>
        <w:rPr>
          <w:rFonts w:cs="Arial"/>
          <w:sz w:val="24"/>
          <w:szCs w:val="24"/>
        </w:rPr>
        <w:t>- надлежащее архитектурное оформление сооружений инженерной защиты;</w:t>
      </w:r>
    </w:p>
    <w:p>
      <w:pPr>
        <w:pStyle w:val="ConsPlusNormal3"/>
        <w:ind w:left="0" w:right="0" w:firstLine="540"/>
        <w:jc w:val="both"/>
        <w:rPr>
          <w:rFonts w:cs="Arial"/>
          <w:sz w:val="24"/>
          <w:szCs w:val="24"/>
        </w:rPr>
      </w:pPr>
      <w:r>
        <w:rPr>
          <w:rFonts w:cs="Arial"/>
          <w:sz w:val="24"/>
          <w:szCs w:val="24"/>
        </w:rPr>
        <w:t>- сочетание с мероприятиями по охране окружающей среды;</w:t>
      </w:r>
    </w:p>
    <w:p>
      <w:pPr>
        <w:pStyle w:val="ConsPlusNormal3"/>
        <w:ind w:left="0" w:right="0" w:firstLine="540"/>
        <w:jc w:val="both"/>
        <w:rPr>
          <w:rFonts w:cs="Arial"/>
          <w:sz w:val="24"/>
          <w:szCs w:val="24"/>
        </w:rPr>
      </w:pPr>
      <w:r>
        <w:rPr>
          <w:rFonts w:cs="Arial"/>
          <w:sz w:val="24"/>
          <w:szCs w:val="24"/>
        </w:rPr>
        <w:t>в необходимых случаях - систематические наблюдения за состоянием защищаемых территорий и объектов и за работой сооружений инженерной защиты в период строительства и эксплуатации (мониторинг).</w:t>
      </w:r>
    </w:p>
    <w:p>
      <w:pPr>
        <w:pStyle w:val="ConsPlusNormal3"/>
        <w:ind w:left="0" w:right="0" w:firstLine="540"/>
        <w:jc w:val="both"/>
        <w:rPr/>
      </w:pPr>
      <w:r>
        <w:rPr>
          <w:rFonts w:cs="Arial"/>
          <w:sz w:val="24"/>
          <w:szCs w:val="24"/>
        </w:rPr>
        <w:t xml:space="preserve">Сооружения и мероприятия по защите от опасных геологических процессов должны выполняться в соответствии с требованиями </w:t>
      </w:r>
      <w:hyperlink r:id="rId10">
        <w:r>
          <w:rPr>
            <w:rStyle w:val="Style9"/>
            <w:rFonts w:cs="Arial"/>
            <w:color w:val="0000FF"/>
            <w:sz w:val="24"/>
            <w:szCs w:val="24"/>
          </w:rPr>
          <w:t>СНиП 22-02-2003</w:t>
        </w:r>
      </w:hyperlink>
      <w:r>
        <w:rPr>
          <w:rFonts w:cs="Arial"/>
          <w:sz w:val="24"/>
          <w:szCs w:val="24"/>
        </w:rPr>
        <w:t>.</w:t>
      </w:r>
    </w:p>
    <w:p>
      <w:pPr>
        <w:pStyle w:val="5551"/>
        <w:rPr>
          <w:rFonts w:ascii="Arial" w:hAnsi="Arial" w:cs="Arial"/>
        </w:rPr>
      </w:pPr>
      <w:r>
        <w:rPr>
          <w:rFonts w:cs="Arial" w:ascii="Arial" w:hAnsi="Arial"/>
        </w:rPr>
        <w:t>13.5.</w:t>
        <w:tab/>
        <w:t>Проекты планировки населенных пунктов должны предусматривать максимальное сохранение естественных условий стока поверхностных вод.</w:t>
      </w:r>
    </w:p>
    <w:p>
      <w:pPr>
        <w:pStyle w:val="ConsPlusNormal3"/>
        <w:ind w:left="0" w:right="0" w:firstLine="540"/>
        <w:jc w:val="both"/>
        <w:rPr>
          <w:rFonts w:cs="Arial"/>
          <w:sz w:val="24"/>
          <w:szCs w:val="24"/>
        </w:rPr>
      </w:pPr>
      <w:r>
        <w:rPr>
          <w:rFonts w:cs="Arial"/>
          <w:sz w:val="24"/>
          <w:szCs w:val="24"/>
        </w:rPr>
        <w:t>Размещение зданий и сооружений, затрудняющих отвод поверхностных вод, не допускается.</w:t>
      </w:r>
    </w:p>
    <w:p>
      <w:pPr>
        <w:pStyle w:val="5551"/>
        <w:rPr>
          <w:rFonts w:ascii="Arial" w:hAnsi="Arial" w:cs="Arial"/>
        </w:rPr>
      </w:pPr>
      <w:r>
        <w:rPr>
          <w:rFonts w:cs="Arial" w:ascii="Arial" w:hAnsi="Arial"/>
        </w:rPr>
        <w:t>13.6.</w:t>
        <w:tab/>
        <w:t>Территории населенных пунктов, нарушенные карьерами и отвалами отходов производства, подлежат рекультивации для использования в основном в рекреационных целях.</w:t>
      </w:r>
    </w:p>
    <w:p>
      <w:pPr>
        <w:pStyle w:val="ConsPlusNormal3"/>
        <w:ind w:left="0" w:right="0" w:firstLine="540"/>
        <w:jc w:val="both"/>
        <w:rPr>
          <w:rFonts w:cs="Arial"/>
          <w:sz w:val="24"/>
          <w:szCs w:val="24"/>
        </w:rPr>
      </w:pPr>
      <w:r>
        <w:rPr>
          <w:rFonts w:cs="Arial"/>
          <w:sz w:val="24"/>
          <w:szCs w:val="24"/>
        </w:rPr>
        <w:t>Кроме того, территории оврагов могут быть использованы для размещения транспортных сооружений, гаражей, складов и коммунальных объектов.</w:t>
      </w:r>
    </w:p>
    <w:p>
      <w:pPr>
        <w:pStyle w:val="ConsPlusNormal3"/>
        <w:ind w:left="0" w:right="0" w:firstLine="540"/>
        <w:jc w:val="both"/>
        <w:rPr>
          <w:rFonts w:cs="Arial"/>
          <w:sz w:val="24"/>
          <w:szCs w:val="24"/>
        </w:rPr>
      </w:pPr>
      <w:r>
        <w:rPr>
          <w:rFonts w:cs="Arial"/>
          <w:sz w:val="24"/>
          <w:szCs w:val="24"/>
        </w:rPr>
        <w:t>При реабилитации ландшафтов и малых рек для организации рекреационных зон следует проводить противоэрозионные мероприятия, а также берегоукрепление и формирование пляжей.</w:t>
      </w:r>
    </w:p>
    <w:p>
      <w:pPr>
        <w:pStyle w:val="ConsPlusNormal3"/>
        <w:ind w:left="0" w:right="0" w:firstLine="540"/>
        <w:jc w:val="both"/>
        <w:rPr>
          <w:rFonts w:cs="Arial"/>
          <w:sz w:val="24"/>
          <w:szCs w:val="24"/>
        </w:rPr>
      </w:pPr>
      <w:r>
        <w:rPr>
          <w:rFonts w:cs="Arial"/>
          <w:sz w:val="24"/>
          <w:szCs w:val="24"/>
        </w:rPr>
      </w:r>
    </w:p>
    <w:p>
      <w:pPr>
        <w:pStyle w:val="5551"/>
        <w:rPr>
          <w:rFonts w:ascii="Arial" w:hAnsi="Arial" w:cs="Arial"/>
        </w:rPr>
      </w:pPr>
      <w:r>
        <w:rPr>
          <w:rFonts w:cs="Arial" w:ascii="Arial" w:hAnsi="Arial"/>
        </w:rPr>
        <w:t>13.7.</w:t>
        <w:tab/>
        <w:t>Сооружения и мероприятия для защиты от подтопления</w:t>
      </w:r>
    </w:p>
    <w:p>
      <w:pPr>
        <w:pStyle w:val="5551"/>
        <w:rPr>
          <w:rFonts w:ascii="Arial" w:hAnsi="Arial" w:cs="Arial"/>
        </w:rPr>
      </w:pPr>
      <w:r>
        <w:rPr>
          <w:rFonts w:cs="Arial" w:ascii="Arial" w:hAnsi="Arial"/>
        </w:rPr>
        <w:t>13.7.1.</w:t>
        <w:tab/>
        <w:t>При необходимости инженерной защиты от подтопления следует предусматривать комплекс мероприятий, обеспечивающих предотвращение подтопления территорий и отдельных объектов в зависимости от требований строительства, функционального использования и особенностей эксплуатации, охраны окружающей среды и (или) устранения отрицательных воздействий подтопления.</w:t>
      </w:r>
    </w:p>
    <w:p>
      <w:pPr>
        <w:pStyle w:val="5551"/>
        <w:rPr>
          <w:rFonts w:ascii="Arial" w:hAnsi="Arial" w:cs="Arial"/>
        </w:rPr>
      </w:pPr>
      <w:r>
        <w:rPr>
          <w:rFonts w:cs="Arial" w:ascii="Arial" w:hAnsi="Arial"/>
        </w:rPr>
        <w:t>13.7.2.</w:t>
        <w:tab/>
        <w:t>Защита от подтопления должна включать:</w:t>
      </w:r>
    </w:p>
    <w:p>
      <w:pPr>
        <w:pStyle w:val="ConsPlusNormal3"/>
        <w:ind w:left="0" w:right="0" w:firstLine="540"/>
        <w:jc w:val="both"/>
        <w:rPr>
          <w:rFonts w:cs="Arial"/>
          <w:sz w:val="24"/>
          <w:szCs w:val="24"/>
        </w:rPr>
      </w:pPr>
      <w:r>
        <w:rPr>
          <w:rFonts w:cs="Arial"/>
          <w:sz w:val="24"/>
          <w:szCs w:val="24"/>
        </w:rPr>
        <w:t>- локальную защиту зданий, сооружений, грунтов оснований и защиту застроенной территории в целом;</w:t>
      </w:r>
    </w:p>
    <w:p>
      <w:pPr>
        <w:pStyle w:val="ConsPlusNormal3"/>
        <w:ind w:left="0" w:right="0" w:firstLine="540"/>
        <w:jc w:val="both"/>
        <w:rPr>
          <w:rFonts w:cs="Arial"/>
          <w:sz w:val="24"/>
          <w:szCs w:val="24"/>
        </w:rPr>
      </w:pPr>
      <w:r>
        <w:rPr>
          <w:rFonts w:cs="Arial"/>
          <w:sz w:val="24"/>
          <w:szCs w:val="24"/>
        </w:rPr>
        <w:t>- водоотведение;</w:t>
      </w:r>
    </w:p>
    <w:p>
      <w:pPr>
        <w:pStyle w:val="ConsPlusNormal3"/>
        <w:ind w:left="0" w:right="0" w:firstLine="540"/>
        <w:jc w:val="both"/>
        <w:rPr>
          <w:rFonts w:cs="Arial"/>
          <w:sz w:val="24"/>
          <w:szCs w:val="24"/>
        </w:rPr>
      </w:pPr>
      <w:r>
        <w:rPr>
          <w:rFonts w:cs="Arial"/>
          <w:sz w:val="24"/>
          <w:szCs w:val="24"/>
        </w:rPr>
        <w:t>- утилизацию (при необходимости очистки) дренажных вод;</w:t>
      </w:r>
    </w:p>
    <w:p>
      <w:pPr>
        <w:pStyle w:val="ConsPlusNormal3"/>
        <w:ind w:left="0" w:right="0" w:firstLine="540"/>
        <w:jc w:val="both"/>
        <w:rPr>
          <w:rFonts w:cs="Arial"/>
          <w:sz w:val="24"/>
          <w:szCs w:val="24"/>
        </w:rPr>
      </w:pPr>
      <w:r>
        <w:rPr>
          <w:rFonts w:cs="Arial"/>
          <w:sz w:val="24"/>
          <w:szCs w:val="24"/>
        </w:rPr>
        <w:t>- систему мониторинга за режимом подземных и поверхностных вод, за расходами (утечками) и напорами в водонесущих коммуникациях, за деформациями оснований, зданий и сооружений, а также за работой сооружений инженерной защиты.</w:t>
      </w:r>
    </w:p>
    <w:p>
      <w:pPr>
        <w:pStyle w:val="5551"/>
        <w:rPr>
          <w:rFonts w:ascii="Arial" w:hAnsi="Arial" w:cs="Arial"/>
        </w:rPr>
      </w:pPr>
      <w:r>
        <w:rPr>
          <w:rFonts w:cs="Arial" w:ascii="Arial" w:hAnsi="Arial"/>
        </w:rPr>
        <w:t>13.7.3.</w:t>
        <w:tab/>
        <w:t>Локальная система инженерной защиты должна быть направлена на защиту отдельных зданий и сооружений. Она включает дренажи, противофильтрационные завесы и экраны.</w:t>
      </w:r>
    </w:p>
    <w:p>
      <w:pPr>
        <w:pStyle w:val="ConsPlusNormal3"/>
        <w:ind w:left="0" w:right="0" w:firstLine="540"/>
        <w:jc w:val="both"/>
        <w:rPr>
          <w:rFonts w:cs="Arial"/>
          <w:sz w:val="24"/>
          <w:szCs w:val="24"/>
        </w:rPr>
      </w:pPr>
      <w:r>
        <w:rPr>
          <w:rFonts w:cs="Arial"/>
          <w:sz w:val="24"/>
          <w:szCs w:val="24"/>
        </w:rPr>
        <w:t>Территориальная система должна обеспечивать общую защиту застроенной территории (участка). Она включает перехватывающие дренажи, противофильтрационные завесы, вертикальную планировку территории с организацией поверхностного стока, прочистку открытых водотоков и других элементов естественного дренирования, дождевую канализацию и регулирование режима водных объектов.</w:t>
      </w:r>
    </w:p>
    <w:p>
      <w:pPr>
        <w:pStyle w:val="5551"/>
        <w:rPr>
          <w:rFonts w:ascii="Arial" w:hAnsi="Arial" w:cs="Arial"/>
        </w:rPr>
      </w:pPr>
      <w:r>
        <w:rPr>
          <w:rFonts w:cs="Arial" w:ascii="Arial" w:hAnsi="Arial"/>
        </w:rPr>
        <w:t>13.7.4.</w:t>
        <w:tab/>
        <w:t>Система инженерной защиты от подтопления является территориально единой, объединяющей все локальные системы отдельных участков и объектов.</w:t>
      </w:r>
    </w:p>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r>
    </w:p>
    <w:p>
      <w:pPr>
        <w:pStyle w:val="5551"/>
        <w:rPr/>
      </w:pPr>
      <w:bookmarkStart w:id="44" w:name="__RefHeading___Toc494193937"/>
      <w:r>
        <w:rPr>
          <w:rStyle w:val="55555"/>
          <w:rFonts w:eastAsia="Calibri" w:cs="Arial" w:ascii="Arial" w:hAnsi="Arial"/>
        </w:rPr>
        <w:t>13.8.</w:t>
        <w:tab/>
        <w:t>Нормируемые показатели инженерной подготовки и защиты территории</w:t>
      </w:r>
      <w:bookmarkEnd w:id="44"/>
      <w:r>
        <w:rPr>
          <w:rFonts w:cs="Arial" w:ascii="Arial" w:hAnsi="Arial"/>
        </w:rPr>
        <w:t xml:space="preserve"> представлены в таблице 13.1.</w:t>
      </w:r>
    </w:p>
    <w:p>
      <w:pPr>
        <w:pStyle w:val="Normal"/>
        <w:spacing w:lineRule="auto" w:line="240" w:before="0" w:after="0"/>
        <w:ind w:left="0" w:right="0" w:firstLine="708"/>
        <w:jc w:val="right"/>
        <w:rPr>
          <w:rFonts w:ascii="Arial" w:hAnsi="Arial" w:cs="Arial"/>
          <w:sz w:val="24"/>
          <w:szCs w:val="24"/>
        </w:rPr>
      </w:pPr>
      <w:r>
        <w:rPr>
          <w:rFonts w:cs="Arial" w:ascii="Arial" w:hAnsi="Arial"/>
          <w:sz w:val="24"/>
          <w:szCs w:val="24"/>
        </w:rPr>
        <w:t>Таблица 13.1</w:t>
      </w:r>
    </w:p>
    <w:tbl>
      <w:tblPr>
        <w:tblW w:w="10374" w:type="dxa"/>
        <w:jc w:val="left"/>
        <w:tblInd w:w="86" w:type="dxa"/>
        <w:tblBorders>
          <w:top w:val="single" w:sz="4" w:space="0" w:color="00000A"/>
          <w:left w:val="single" w:sz="4" w:space="0" w:color="00000A"/>
          <w:bottom w:val="single" w:sz="4" w:space="0" w:color="00000A"/>
          <w:insideH w:val="single" w:sz="4" w:space="0" w:color="00000A"/>
        </w:tblBorders>
        <w:tblCellMar>
          <w:top w:w="0" w:type="dxa"/>
          <w:left w:w="103" w:type="dxa"/>
          <w:bottom w:w="0" w:type="dxa"/>
          <w:right w:w="108" w:type="dxa"/>
        </w:tblCellMar>
      </w:tblPr>
      <w:tblGrid>
        <w:gridCol w:w="552"/>
        <w:gridCol w:w="2016"/>
        <w:gridCol w:w="3544"/>
        <w:gridCol w:w="1"/>
        <w:gridCol w:w="1416"/>
        <w:gridCol w:w="1"/>
        <w:gridCol w:w="1491"/>
        <w:gridCol w:w="1"/>
        <w:gridCol w:w="1352"/>
      </w:tblGrid>
      <w:tr>
        <w:trPr>
          <w:tblHeader w:val="true"/>
          <w:trHeight w:val="276" w:hRule="atLeast"/>
          <w:cantSplit w:val="true"/>
        </w:trPr>
        <w:tc>
          <w:tcPr>
            <w:tcW w:w="552" w:type="dxa"/>
            <w:vMerge w:val="restart"/>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2"/>
              <w:rPr/>
            </w:pPr>
            <w:r>
              <w:rPr>
                <w:rFonts w:cs="Arial" w:ascii="Arial" w:hAnsi="Arial"/>
                <w:sz w:val="24"/>
                <w:szCs w:val="24"/>
              </w:rPr>
              <w:t>№</w:t>
            </w:r>
            <w:r>
              <w:rPr>
                <w:rFonts w:eastAsia="Arial" w:cs="Arial" w:ascii="Arial" w:hAnsi="Arial"/>
                <w:sz w:val="24"/>
                <w:szCs w:val="24"/>
              </w:rPr>
              <w:t xml:space="preserve"> </w:t>
            </w:r>
            <w:r>
              <w:rPr>
                <w:rFonts w:cs="Arial" w:ascii="Arial" w:hAnsi="Arial"/>
                <w:sz w:val="24"/>
                <w:szCs w:val="24"/>
              </w:rPr>
              <w:t>п.п</w:t>
            </w:r>
          </w:p>
        </w:tc>
        <w:tc>
          <w:tcPr>
            <w:tcW w:w="5561" w:type="dxa"/>
            <w:gridSpan w:val="3"/>
            <w:vMerge w:val="restart"/>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2"/>
              <w:rPr>
                <w:rFonts w:ascii="Arial" w:hAnsi="Arial" w:cs="Arial"/>
                <w:sz w:val="24"/>
                <w:szCs w:val="24"/>
              </w:rPr>
            </w:pPr>
            <w:r>
              <w:rPr>
                <w:rFonts w:cs="Arial" w:ascii="Arial" w:hAnsi="Arial"/>
                <w:sz w:val="24"/>
                <w:szCs w:val="24"/>
              </w:rPr>
              <w:t>Определяемый норматив</w:t>
            </w:r>
          </w:p>
        </w:tc>
        <w:tc>
          <w:tcPr>
            <w:tcW w:w="1417" w:type="dxa"/>
            <w:gridSpan w:val="2"/>
            <w:vMerge w:val="restart"/>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2"/>
              <w:rPr>
                <w:rFonts w:ascii="Arial" w:hAnsi="Arial" w:cs="Arial"/>
                <w:sz w:val="24"/>
                <w:szCs w:val="24"/>
              </w:rPr>
            </w:pPr>
            <w:r>
              <w:rPr>
                <w:rFonts w:cs="Arial" w:ascii="Arial" w:hAnsi="Arial"/>
                <w:sz w:val="24"/>
                <w:szCs w:val="24"/>
              </w:rPr>
              <w:t>ед. изм</w:t>
            </w:r>
          </w:p>
        </w:tc>
        <w:tc>
          <w:tcPr>
            <w:tcW w:w="1492" w:type="dxa"/>
            <w:gridSpan w:val="2"/>
            <w:vMerge w:val="restart"/>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2"/>
              <w:rPr>
                <w:rFonts w:ascii="Arial" w:hAnsi="Arial" w:cs="Arial"/>
                <w:sz w:val="24"/>
                <w:szCs w:val="24"/>
              </w:rPr>
            </w:pPr>
            <w:r>
              <w:rPr>
                <w:rFonts w:cs="Arial" w:ascii="Arial" w:hAnsi="Arial"/>
                <w:sz w:val="24"/>
                <w:szCs w:val="24"/>
              </w:rPr>
              <w:t>Нормативная ссылка</w:t>
            </w:r>
          </w:p>
        </w:tc>
        <w:tc>
          <w:tcPr>
            <w:tcW w:w="1352" w:type="dxa"/>
            <w:vMerge w:val="restart"/>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3" w:type="dxa"/>
            </w:tcMar>
            <w:vAlign w:val="center"/>
          </w:tcPr>
          <w:p>
            <w:pPr>
              <w:pStyle w:val="Style112"/>
              <w:rPr>
                <w:rFonts w:ascii="Arial" w:hAnsi="Arial" w:cs="Arial"/>
                <w:sz w:val="24"/>
                <w:szCs w:val="24"/>
              </w:rPr>
            </w:pPr>
            <w:r>
              <w:rPr>
                <w:rFonts w:cs="Arial" w:ascii="Arial" w:hAnsi="Arial"/>
                <w:sz w:val="24"/>
                <w:szCs w:val="24"/>
              </w:rPr>
              <w:t>Показатель</w:t>
            </w:r>
          </w:p>
        </w:tc>
      </w:tr>
      <w:tr>
        <w:trPr>
          <w:trHeight w:val="276" w:hRule="atLeast"/>
        </w:trPr>
        <w:tc>
          <w:tcPr>
            <w:tcW w:w="552" w:type="dxa"/>
            <w:vMerge w:val="continue"/>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5561" w:type="dxa"/>
            <w:gridSpan w:val="3"/>
            <w:vMerge w:val="continue"/>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417" w:type="dxa"/>
            <w:gridSpan w:val="2"/>
            <w:vMerge w:val="continue"/>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492" w:type="dxa"/>
            <w:gridSpan w:val="2"/>
            <w:vMerge w:val="continue"/>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352" w:type="dxa"/>
            <w:vMerge w:val="continue"/>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r>
      <w:tr>
        <w:trPr>
          <w:trHeight w:val="276" w:hRule="atLeast"/>
        </w:trPr>
        <w:tc>
          <w:tcPr>
            <w:tcW w:w="552" w:type="dxa"/>
            <w:vMerge w:val="continue"/>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5561" w:type="dxa"/>
            <w:gridSpan w:val="3"/>
            <w:vMerge w:val="continue"/>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417" w:type="dxa"/>
            <w:gridSpan w:val="2"/>
            <w:vMerge w:val="continue"/>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492" w:type="dxa"/>
            <w:gridSpan w:val="2"/>
            <w:vMerge w:val="continue"/>
            <w:tcBorders>
              <w:top w:val="single" w:sz="4" w:space="0" w:color="00000A"/>
              <w:left w:val="single" w:sz="4" w:space="0" w:color="00000A"/>
              <w:bottom w:val="single" w:sz="4" w:space="0" w:color="00000A"/>
              <w:insideH w:val="single" w:sz="4" w:space="0" w:color="00000A"/>
            </w:tcBorders>
            <w:shd w:fill="EEECE1"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352" w:type="dxa"/>
            <w:vMerge w:val="continue"/>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r>
      <w:tr>
        <w:trPr>
          <w:trHeight w:val="23" w:hRule="atLeast"/>
        </w:trPr>
        <w:tc>
          <w:tcPr>
            <w:tcW w:w="552" w:type="dxa"/>
            <w:vMerge w:val="restart"/>
            <w:tcBorders>
              <w:left w:val="single" w:sz="4" w:space="0" w:color="00000A"/>
              <w:bottom w:val="single" w:sz="4" w:space="0" w:color="00000A"/>
              <w:insideH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1</w:t>
            </w:r>
          </w:p>
        </w:tc>
        <w:tc>
          <w:tcPr>
            <w:tcW w:w="2016" w:type="dxa"/>
            <w:vMerge w:val="restart"/>
            <w:tcBorders>
              <w:left w:val="single" w:sz="4" w:space="0" w:color="00000A"/>
              <w:bottom w:val="single" w:sz="4" w:space="0" w:color="00000A"/>
              <w:insideH w:val="single" w:sz="4" w:space="0" w:color="00000A"/>
            </w:tcBorders>
            <w:shd w:fill="auto" w:val="clear"/>
            <w:tcMar>
              <w:left w:w="103" w:type="dxa"/>
            </w:tcMar>
            <w:vAlign w:val="center"/>
          </w:tcPr>
          <w:p>
            <w:pPr>
              <w:pStyle w:val="Style114"/>
              <w:rPr>
                <w:rFonts w:ascii="Arial" w:hAnsi="Arial" w:cs="Arial"/>
                <w:sz w:val="24"/>
                <w:szCs w:val="24"/>
              </w:rPr>
            </w:pPr>
            <w:r>
              <w:rPr>
                <w:rFonts w:cs="Arial" w:ascii="Arial" w:hAnsi="Arial"/>
                <w:sz w:val="24"/>
                <w:szCs w:val="24"/>
              </w:rPr>
              <w:t>Наименьшие уклоны лотков проезжей части, кюветов и водоотводных канав:</w:t>
            </w:r>
          </w:p>
        </w:tc>
        <w:tc>
          <w:tcPr>
            <w:tcW w:w="3544" w:type="dxa"/>
            <w:tcBorders>
              <w:top w:val="single" w:sz="4" w:space="0" w:color="00000A"/>
              <w:left w:val="single" w:sz="4" w:space="0" w:color="00000A"/>
              <w:bottom w:val="single" w:sz="4" w:space="0" w:color="00000A"/>
              <w:insideH w:val="single" w:sz="4" w:space="0" w:color="00000A"/>
            </w:tcBorders>
            <w:shd w:fill="FFFFFF" w:val="clear"/>
            <w:tcMar>
              <w:left w:w="103" w:type="dxa"/>
            </w:tcMar>
          </w:tcPr>
          <w:p>
            <w:pPr>
              <w:pStyle w:val="Style114"/>
              <w:rPr>
                <w:rFonts w:ascii="Arial" w:hAnsi="Arial" w:cs="Arial"/>
                <w:sz w:val="24"/>
                <w:szCs w:val="24"/>
              </w:rPr>
            </w:pPr>
            <w:r>
              <w:rPr>
                <w:rFonts w:cs="Arial" w:ascii="Arial" w:hAnsi="Arial"/>
                <w:sz w:val="24"/>
                <w:szCs w:val="24"/>
              </w:rPr>
              <w:t>лотков, покрытых асфальтобетоном</w:t>
            </w:r>
          </w:p>
        </w:tc>
        <w:tc>
          <w:tcPr>
            <w:tcW w:w="1417" w:type="dxa"/>
            <w:gridSpan w:val="2"/>
            <w:vMerge w:val="restart"/>
            <w:tcBorders>
              <w:left w:val="single" w:sz="4" w:space="0" w:color="00000A"/>
              <w:bottom w:val="single" w:sz="4" w:space="0" w:color="00000A"/>
              <w:insideH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доли единицы</w:t>
            </w:r>
          </w:p>
        </w:tc>
        <w:tc>
          <w:tcPr>
            <w:tcW w:w="1492" w:type="dxa"/>
            <w:gridSpan w:val="2"/>
            <w:vMerge w:val="restart"/>
            <w:tcBorders>
              <w:left w:val="single" w:sz="4" w:space="0" w:color="00000A"/>
              <w:bottom w:val="single" w:sz="4" w:space="0" w:color="00000A"/>
              <w:insideH w:val="single" w:sz="4" w:space="0" w:color="00000A"/>
            </w:tcBorders>
            <w:shd w:fill="auto" w:val="clear"/>
            <w:tcMar>
              <w:left w:w="103" w:type="dxa"/>
            </w:tcMar>
            <w:vAlign w:val="center"/>
          </w:tcPr>
          <w:p>
            <w:pPr>
              <w:pStyle w:val="Style114"/>
              <w:rPr>
                <w:rFonts w:ascii="Arial" w:hAnsi="Arial" w:cs="Arial"/>
                <w:sz w:val="24"/>
                <w:szCs w:val="24"/>
              </w:rPr>
            </w:pPr>
            <w:r>
              <w:rPr>
                <w:rFonts w:cs="Arial" w:ascii="Arial" w:hAnsi="Arial"/>
                <w:sz w:val="24"/>
                <w:szCs w:val="24"/>
              </w:rPr>
              <w:t>СНиП 2.04.03-85 п.2.42</w:t>
            </w:r>
          </w:p>
        </w:tc>
        <w:tc>
          <w:tcPr>
            <w:tcW w:w="1353" w:type="dxa"/>
            <w:gridSpan w:val="2"/>
            <w:tcBorders>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0,003</w:t>
            </w:r>
          </w:p>
        </w:tc>
      </w:tr>
      <w:tr>
        <w:trPr>
          <w:trHeight w:val="23" w:hRule="atLeast"/>
        </w:trPr>
        <w:tc>
          <w:tcPr>
            <w:tcW w:w="552" w:type="dxa"/>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3"/>
              <w:snapToGrid w:val="false"/>
              <w:rPr>
                <w:rFonts w:ascii="Arial" w:hAnsi="Arial" w:cs="Arial"/>
                <w:sz w:val="24"/>
                <w:szCs w:val="24"/>
              </w:rPr>
            </w:pPr>
            <w:r>
              <w:rPr>
                <w:rFonts w:cs="Arial" w:ascii="Arial" w:hAnsi="Arial"/>
                <w:sz w:val="24"/>
                <w:szCs w:val="24"/>
              </w:rPr>
            </w:r>
          </w:p>
        </w:tc>
        <w:tc>
          <w:tcPr>
            <w:tcW w:w="2016" w:type="dxa"/>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3544" w:type="dxa"/>
            <w:tcBorders>
              <w:top w:val="single" w:sz="4" w:space="0" w:color="00000A"/>
              <w:left w:val="single" w:sz="4" w:space="0" w:color="00000A"/>
              <w:bottom w:val="single" w:sz="4" w:space="0" w:color="00000A"/>
              <w:insideH w:val="single" w:sz="4" w:space="0" w:color="00000A"/>
            </w:tcBorders>
            <w:shd w:fill="FFFFFF" w:val="clear"/>
            <w:tcMar>
              <w:left w:w="103" w:type="dxa"/>
            </w:tcMar>
          </w:tcPr>
          <w:p>
            <w:pPr>
              <w:pStyle w:val="Style114"/>
              <w:rPr>
                <w:rFonts w:ascii="Arial" w:hAnsi="Arial" w:cs="Arial"/>
                <w:sz w:val="24"/>
                <w:szCs w:val="24"/>
              </w:rPr>
            </w:pPr>
            <w:r>
              <w:rPr>
                <w:rFonts w:cs="Arial" w:ascii="Arial" w:hAnsi="Arial"/>
                <w:sz w:val="24"/>
                <w:szCs w:val="24"/>
              </w:rPr>
              <w:t>лотков, покрытых брусчаткой или щебеночным покрытием</w:t>
            </w:r>
          </w:p>
        </w:tc>
        <w:tc>
          <w:tcPr>
            <w:tcW w:w="1417" w:type="dxa"/>
            <w:gridSpan w:val="2"/>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492" w:type="dxa"/>
            <w:gridSpan w:val="2"/>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353" w:type="dxa"/>
            <w:gridSpan w:val="2"/>
            <w:tcBorders>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0,004</w:t>
            </w:r>
          </w:p>
        </w:tc>
      </w:tr>
      <w:tr>
        <w:trPr>
          <w:trHeight w:val="23" w:hRule="atLeast"/>
        </w:trPr>
        <w:tc>
          <w:tcPr>
            <w:tcW w:w="552" w:type="dxa"/>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3"/>
              <w:snapToGrid w:val="false"/>
              <w:rPr>
                <w:rFonts w:ascii="Arial" w:hAnsi="Arial" w:cs="Arial"/>
                <w:sz w:val="24"/>
                <w:szCs w:val="24"/>
              </w:rPr>
            </w:pPr>
            <w:r>
              <w:rPr>
                <w:rFonts w:cs="Arial" w:ascii="Arial" w:hAnsi="Arial"/>
                <w:sz w:val="24"/>
                <w:szCs w:val="24"/>
              </w:rPr>
            </w:r>
          </w:p>
        </w:tc>
        <w:tc>
          <w:tcPr>
            <w:tcW w:w="2016" w:type="dxa"/>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3544" w:type="dxa"/>
            <w:tcBorders>
              <w:top w:val="single" w:sz="4" w:space="0" w:color="00000A"/>
              <w:left w:val="single" w:sz="4" w:space="0" w:color="00000A"/>
              <w:bottom w:val="single" w:sz="4" w:space="0" w:color="00000A"/>
              <w:insideH w:val="single" w:sz="4" w:space="0" w:color="00000A"/>
            </w:tcBorders>
            <w:shd w:fill="FFFFFF" w:val="clear"/>
            <w:tcMar>
              <w:left w:w="103" w:type="dxa"/>
            </w:tcMar>
          </w:tcPr>
          <w:p>
            <w:pPr>
              <w:pStyle w:val="Style114"/>
              <w:rPr>
                <w:rFonts w:ascii="Arial" w:hAnsi="Arial" w:cs="Arial"/>
                <w:sz w:val="24"/>
                <w:szCs w:val="24"/>
              </w:rPr>
            </w:pPr>
            <w:r>
              <w:rPr>
                <w:rFonts w:cs="Arial" w:ascii="Arial" w:hAnsi="Arial"/>
                <w:sz w:val="24"/>
                <w:szCs w:val="24"/>
              </w:rPr>
              <w:t>булыжной мостовой</w:t>
            </w:r>
          </w:p>
        </w:tc>
        <w:tc>
          <w:tcPr>
            <w:tcW w:w="1417" w:type="dxa"/>
            <w:gridSpan w:val="2"/>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492" w:type="dxa"/>
            <w:gridSpan w:val="2"/>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353" w:type="dxa"/>
            <w:gridSpan w:val="2"/>
            <w:tcBorders>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0,005</w:t>
            </w:r>
          </w:p>
        </w:tc>
      </w:tr>
      <w:tr>
        <w:trPr>
          <w:trHeight w:val="23" w:hRule="atLeast"/>
        </w:trPr>
        <w:tc>
          <w:tcPr>
            <w:tcW w:w="552" w:type="dxa"/>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3"/>
              <w:snapToGrid w:val="false"/>
              <w:rPr>
                <w:rFonts w:ascii="Arial" w:hAnsi="Arial" w:cs="Arial"/>
                <w:sz w:val="24"/>
                <w:szCs w:val="24"/>
              </w:rPr>
            </w:pPr>
            <w:r>
              <w:rPr>
                <w:rFonts w:cs="Arial" w:ascii="Arial" w:hAnsi="Arial"/>
                <w:sz w:val="24"/>
                <w:szCs w:val="24"/>
              </w:rPr>
            </w:r>
          </w:p>
        </w:tc>
        <w:tc>
          <w:tcPr>
            <w:tcW w:w="2016" w:type="dxa"/>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3544" w:type="dxa"/>
            <w:tcBorders>
              <w:top w:val="single" w:sz="4" w:space="0" w:color="00000A"/>
              <w:left w:val="single" w:sz="4" w:space="0" w:color="00000A"/>
              <w:bottom w:val="single" w:sz="4" w:space="0" w:color="00000A"/>
              <w:insideH w:val="single" w:sz="4" w:space="0" w:color="00000A"/>
            </w:tcBorders>
            <w:shd w:fill="FFFFFF" w:val="clear"/>
            <w:tcMar>
              <w:left w:w="103" w:type="dxa"/>
            </w:tcMar>
          </w:tcPr>
          <w:p>
            <w:pPr>
              <w:pStyle w:val="Style114"/>
              <w:rPr>
                <w:rFonts w:ascii="Arial" w:hAnsi="Arial" w:cs="Arial"/>
                <w:sz w:val="24"/>
                <w:szCs w:val="24"/>
              </w:rPr>
            </w:pPr>
            <w:r>
              <w:rPr>
                <w:rFonts w:cs="Arial" w:ascii="Arial" w:hAnsi="Arial"/>
                <w:sz w:val="24"/>
                <w:szCs w:val="24"/>
              </w:rPr>
              <w:t>отдельных лотков и кюветов</w:t>
            </w:r>
          </w:p>
        </w:tc>
        <w:tc>
          <w:tcPr>
            <w:tcW w:w="1417" w:type="dxa"/>
            <w:gridSpan w:val="2"/>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492" w:type="dxa"/>
            <w:gridSpan w:val="2"/>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353" w:type="dxa"/>
            <w:gridSpan w:val="2"/>
            <w:tcBorders>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0,006</w:t>
            </w:r>
          </w:p>
        </w:tc>
      </w:tr>
      <w:tr>
        <w:trPr>
          <w:trHeight w:val="23" w:hRule="atLeast"/>
        </w:trPr>
        <w:tc>
          <w:tcPr>
            <w:tcW w:w="552" w:type="dxa"/>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3"/>
              <w:snapToGrid w:val="false"/>
              <w:rPr>
                <w:rFonts w:ascii="Arial" w:hAnsi="Arial" w:cs="Arial"/>
                <w:sz w:val="24"/>
                <w:szCs w:val="24"/>
              </w:rPr>
            </w:pPr>
            <w:r>
              <w:rPr>
                <w:rFonts w:cs="Arial" w:ascii="Arial" w:hAnsi="Arial"/>
                <w:sz w:val="24"/>
                <w:szCs w:val="24"/>
              </w:rPr>
            </w:r>
          </w:p>
        </w:tc>
        <w:tc>
          <w:tcPr>
            <w:tcW w:w="2016" w:type="dxa"/>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3544" w:type="dxa"/>
            <w:tcBorders>
              <w:top w:val="single" w:sz="4" w:space="0" w:color="00000A"/>
              <w:left w:val="single" w:sz="4" w:space="0" w:color="00000A"/>
              <w:bottom w:val="single" w:sz="4" w:space="0" w:color="00000A"/>
              <w:insideH w:val="single" w:sz="4" w:space="0" w:color="00000A"/>
            </w:tcBorders>
            <w:shd w:fill="FFFFFF" w:val="clear"/>
            <w:tcMar>
              <w:left w:w="103" w:type="dxa"/>
            </w:tcMar>
          </w:tcPr>
          <w:p>
            <w:pPr>
              <w:pStyle w:val="Style114"/>
              <w:rPr>
                <w:rFonts w:ascii="Arial" w:hAnsi="Arial" w:cs="Arial"/>
                <w:sz w:val="24"/>
                <w:szCs w:val="24"/>
              </w:rPr>
            </w:pPr>
            <w:r>
              <w:rPr>
                <w:rFonts w:cs="Arial" w:ascii="Arial" w:hAnsi="Arial"/>
                <w:sz w:val="24"/>
                <w:szCs w:val="24"/>
              </w:rPr>
              <w:t>водоотводящих канав</w:t>
            </w:r>
          </w:p>
        </w:tc>
        <w:tc>
          <w:tcPr>
            <w:tcW w:w="1417" w:type="dxa"/>
            <w:gridSpan w:val="2"/>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492" w:type="dxa"/>
            <w:gridSpan w:val="2"/>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353" w:type="dxa"/>
            <w:gridSpan w:val="2"/>
            <w:tcBorders>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0,003</w:t>
            </w:r>
          </w:p>
        </w:tc>
      </w:tr>
      <w:tr>
        <w:trPr>
          <w:trHeight w:val="23" w:hRule="atLeast"/>
        </w:trPr>
        <w:tc>
          <w:tcPr>
            <w:tcW w:w="552" w:type="dxa"/>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3"/>
              <w:snapToGrid w:val="false"/>
              <w:rPr>
                <w:rFonts w:ascii="Arial" w:hAnsi="Arial" w:cs="Arial"/>
                <w:sz w:val="24"/>
                <w:szCs w:val="24"/>
              </w:rPr>
            </w:pPr>
            <w:r>
              <w:rPr>
                <w:rFonts w:cs="Arial" w:ascii="Arial" w:hAnsi="Arial"/>
                <w:sz w:val="24"/>
                <w:szCs w:val="24"/>
              </w:rPr>
            </w:r>
          </w:p>
        </w:tc>
        <w:tc>
          <w:tcPr>
            <w:tcW w:w="2016" w:type="dxa"/>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3544" w:type="dxa"/>
            <w:tcBorders>
              <w:top w:val="single" w:sz="4" w:space="0" w:color="00000A"/>
              <w:left w:val="single" w:sz="4" w:space="0" w:color="00000A"/>
              <w:bottom w:val="single" w:sz="4" w:space="0" w:color="00000A"/>
              <w:insideH w:val="single" w:sz="4" w:space="0" w:color="00000A"/>
            </w:tcBorders>
            <w:shd w:fill="FFFFFF" w:val="clear"/>
            <w:tcMar>
              <w:left w:w="103" w:type="dxa"/>
            </w:tcMar>
          </w:tcPr>
          <w:p>
            <w:pPr>
              <w:pStyle w:val="Style114"/>
              <w:rPr>
                <w:rFonts w:ascii="Arial" w:hAnsi="Arial" w:cs="Arial"/>
                <w:sz w:val="24"/>
                <w:szCs w:val="24"/>
              </w:rPr>
            </w:pPr>
            <w:r>
              <w:rPr>
                <w:rFonts w:cs="Arial" w:ascii="Arial" w:hAnsi="Arial"/>
                <w:sz w:val="24"/>
                <w:szCs w:val="24"/>
              </w:rPr>
              <w:t>полимерных, полимербетонных лотков</w:t>
            </w:r>
          </w:p>
        </w:tc>
        <w:tc>
          <w:tcPr>
            <w:tcW w:w="1417" w:type="dxa"/>
            <w:gridSpan w:val="2"/>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492" w:type="dxa"/>
            <w:gridSpan w:val="2"/>
            <w:vMerge w:val="continue"/>
            <w:tcBorders>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353" w:type="dxa"/>
            <w:gridSpan w:val="2"/>
            <w:tcBorders>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0,001-0,005</w:t>
            </w:r>
          </w:p>
        </w:tc>
      </w:tr>
      <w:tr>
        <w:trPr>
          <w:trHeight w:val="800" w:hRule="atLeast"/>
        </w:trPr>
        <w:tc>
          <w:tcPr>
            <w:tcW w:w="552" w:type="dxa"/>
            <w:vMerge w:val="restart"/>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2</w:t>
            </w:r>
          </w:p>
        </w:tc>
        <w:tc>
          <w:tcPr>
            <w:tcW w:w="2016" w:type="dxa"/>
            <w:vMerge w:val="restart"/>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4"/>
              <w:rPr>
                <w:rFonts w:ascii="Arial" w:hAnsi="Arial" w:cs="Arial"/>
                <w:sz w:val="24"/>
                <w:szCs w:val="24"/>
              </w:rPr>
            </w:pPr>
            <w:r>
              <w:rPr>
                <w:rFonts w:cs="Arial" w:ascii="Arial" w:hAnsi="Arial"/>
                <w:sz w:val="24"/>
                <w:szCs w:val="24"/>
              </w:rPr>
              <w:t>Нормы осушения (глубины понижения грунтовых вод, считая от проектной отметки территории) при проектировании защиты от подтопления</w:t>
            </w:r>
          </w:p>
        </w:tc>
        <w:tc>
          <w:tcPr>
            <w:tcW w:w="3544" w:type="dxa"/>
            <w:tcBorders>
              <w:top w:val="single" w:sz="4" w:space="0" w:color="00000A"/>
              <w:left w:val="single" w:sz="4" w:space="0" w:color="00000A"/>
              <w:bottom w:val="single" w:sz="4" w:space="0" w:color="00000A"/>
              <w:insideH w:val="single" w:sz="4" w:space="0" w:color="00000A"/>
            </w:tcBorders>
            <w:shd w:fill="auto" w:val="clear"/>
            <w:tcMar>
              <w:left w:w="103" w:type="dxa"/>
            </w:tcMar>
          </w:tcPr>
          <w:p>
            <w:pPr>
              <w:pStyle w:val="Style114"/>
              <w:rPr>
                <w:rFonts w:ascii="Arial" w:hAnsi="Arial" w:cs="Arial"/>
                <w:sz w:val="24"/>
                <w:szCs w:val="24"/>
              </w:rPr>
            </w:pPr>
            <w:r>
              <w:rPr>
                <w:rFonts w:cs="Arial" w:ascii="Arial" w:hAnsi="Arial"/>
                <w:sz w:val="24"/>
                <w:szCs w:val="24"/>
              </w:rPr>
              <w:t>селитебные территории сельских населенных пунктов</w:t>
            </w:r>
          </w:p>
        </w:tc>
        <w:tc>
          <w:tcPr>
            <w:tcW w:w="1417"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м</w:t>
            </w:r>
          </w:p>
        </w:tc>
        <w:tc>
          <w:tcPr>
            <w:tcW w:w="1492" w:type="dxa"/>
            <w:gridSpan w:val="2"/>
            <w:vMerge w:val="restart"/>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4"/>
              <w:rPr>
                <w:rFonts w:ascii="Arial" w:hAnsi="Arial" w:cs="Arial"/>
                <w:sz w:val="24"/>
                <w:szCs w:val="24"/>
              </w:rPr>
            </w:pPr>
            <w:r>
              <w:rPr>
                <w:rFonts w:cs="Arial" w:ascii="Arial" w:hAnsi="Arial"/>
                <w:sz w:val="24"/>
                <w:szCs w:val="24"/>
              </w:rPr>
              <w:t>СНиП 2.06.15-85 п.2.7</w:t>
            </w:r>
          </w:p>
        </w:tc>
        <w:tc>
          <w:tcPr>
            <w:tcW w:w="135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2</w:t>
            </w:r>
          </w:p>
        </w:tc>
      </w:tr>
      <w:tr>
        <w:trPr>
          <w:trHeight w:val="23" w:hRule="atLeast"/>
        </w:trPr>
        <w:tc>
          <w:tcPr>
            <w:tcW w:w="552" w:type="dxa"/>
            <w:vMerge w:val="continue"/>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3"/>
              <w:snapToGrid w:val="false"/>
              <w:rPr>
                <w:rFonts w:ascii="Arial" w:hAnsi="Arial" w:cs="Arial"/>
                <w:sz w:val="24"/>
                <w:szCs w:val="24"/>
              </w:rPr>
            </w:pPr>
            <w:r>
              <w:rPr>
                <w:rFonts w:cs="Arial" w:ascii="Arial" w:hAnsi="Arial"/>
                <w:sz w:val="24"/>
                <w:szCs w:val="24"/>
              </w:rPr>
            </w:r>
          </w:p>
        </w:tc>
        <w:tc>
          <w:tcPr>
            <w:tcW w:w="2016" w:type="dxa"/>
            <w:vMerge w:val="continue"/>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3544" w:type="dxa"/>
            <w:tcBorders>
              <w:top w:val="single" w:sz="4" w:space="0" w:color="00000A"/>
              <w:left w:val="single" w:sz="4" w:space="0" w:color="00000A"/>
              <w:bottom w:val="single" w:sz="4" w:space="0" w:color="00000A"/>
              <w:insideH w:val="single" w:sz="4" w:space="0" w:color="00000A"/>
            </w:tcBorders>
            <w:shd w:fill="auto" w:val="clear"/>
            <w:tcMar>
              <w:left w:w="103" w:type="dxa"/>
            </w:tcMar>
          </w:tcPr>
          <w:p>
            <w:pPr>
              <w:pStyle w:val="Style114"/>
              <w:rPr>
                <w:rFonts w:ascii="Arial" w:hAnsi="Arial" w:cs="Arial"/>
                <w:sz w:val="24"/>
                <w:szCs w:val="24"/>
              </w:rPr>
            </w:pPr>
            <w:r>
              <w:rPr>
                <w:rFonts w:cs="Arial" w:ascii="Arial" w:hAnsi="Arial"/>
                <w:sz w:val="24"/>
                <w:szCs w:val="24"/>
              </w:rPr>
              <w:t>территории спортивно-оздоровительных объектов и учреждений обслуживания зон отдыха</w:t>
            </w:r>
          </w:p>
        </w:tc>
        <w:tc>
          <w:tcPr>
            <w:tcW w:w="1417"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3"/>
              <w:snapToGrid w:val="false"/>
              <w:rPr>
                <w:rFonts w:ascii="Arial" w:hAnsi="Arial" w:cs="Arial"/>
                <w:sz w:val="24"/>
                <w:szCs w:val="24"/>
              </w:rPr>
            </w:pPr>
            <w:r>
              <w:rPr>
                <w:rFonts w:cs="Arial" w:ascii="Arial" w:hAnsi="Arial"/>
                <w:sz w:val="24"/>
                <w:szCs w:val="24"/>
              </w:rPr>
            </w:r>
          </w:p>
        </w:tc>
        <w:tc>
          <w:tcPr>
            <w:tcW w:w="1492"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35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1</w:t>
            </w:r>
          </w:p>
        </w:tc>
      </w:tr>
      <w:tr>
        <w:trPr>
          <w:trHeight w:val="23" w:hRule="atLeast"/>
        </w:trPr>
        <w:tc>
          <w:tcPr>
            <w:tcW w:w="552" w:type="dxa"/>
            <w:vMerge w:val="continue"/>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3"/>
              <w:snapToGrid w:val="false"/>
              <w:rPr>
                <w:rFonts w:ascii="Arial" w:hAnsi="Arial" w:cs="Arial"/>
                <w:sz w:val="24"/>
                <w:szCs w:val="24"/>
              </w:rPr>
            </w:pPr>
            <w:r>
              <w:rPr>
                <w:rFonts w:cs="Arial" w:ascii="Arial" w:hAnsi="Arial"/>
                <w:sz w:val="24"/>
                <w:szCs w:val="24"/>
              </w:rPr>
            </w:r>
          </w:p>
        </w:tc>
        <w:tc>
          <w:tcPr>
            <w:tcW w:w="2016" w:type="dxa"/>
            <w:vMerge w:val="continue"/>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3544" w:type="dxa"/>
            <w:tcBorders>
              <w:top w:val="single" w:sz="4" w:space="0" w:color="00000A"/>
              <w:left w:val="single" w:sz="4" w:space="0" w:color="00000A"/>
              <w:bottom w:val="single" w:sz="4" w:space="0" w:color="00000A"/>
              <w:insideH w:val="single" w:sz="4" w:space="0" w:color="00000A"/>
            </w:tcBorders>
            <w:shd w:fill="auto" w:val="clear"/>
            <w:tcMar>
              <w:left w:w="103" w:type="dxa"/>
            </w:tcMar>
          </w:tcPr>
          <w:p>
            <w:pPr>
              <w:pStyle w:val="Style114"/>
              <w:rPr>
                <w:rFonts w:ascii="Arial" w:hAnsi="Arial" w:cs="Arial"/>
                <w:sz w:val="24"/>
                <w:szCs w:val="24"/>
              </w:rPr>
            </w:pPr>
            <w:r>
              <w:rPr>
                <w:rFonts w:cs="Arial" w:ascii="Arial" w:hAnsi="Arial"/>
                <w:sz w:val="24"/>
                <w:szCs w:val="24"/>
              </w:rPr>
              <w:t>территории зон рекреационного и защитного назначения (зеленые насаждения общего пользования, парки, санитарно-защитные зоны)</w:t>
            </w:r>
          </w:p>
        </w:tc>
        <w:tc>
          <w:tcPr>
            <w:tcW w:w="1417"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3"/>
              <w:snapToGrid w:val="false"/>
              <w:rPr>
                <w:rFonts w:ascii="Arial" w:hAnsi="Arial" w:cs="Arial"/>
                <w:sz w:val="24"/>
                <w:szCs w:val="24"/>
              </w:rPr>
            </w:pPr>
            <w:r>
              <w:rPr>
                <w:rFonts w:cs="Arial" w:ascii="Arial" w:hAnsi="Arial"/>
                <w:sz w:val="24"/>
                <w:szCs w:val="24"/>
              </w:rPr>
            </w:r>
          </w:p>
        </w:tc>
        <w:tc>
          <w:tcPr>
            <w:tcW w:w="1492" w:type="dxa"/>
            <w:gridSpan w:val="2"/>
            <w:vMerge w:val="continue"/>
            <w:tcBorders>
              <w:top w:val="single" w:sz="4" w:space="0" w:color="00000A"/>
              <w:left w:val="single" w:sz="4" w:space="0" w:color="00000A"/>
              <w:bottom w:val="single" w:sz="4" w:space="0" w:color="00000A"/>
              <w:insideH w:val="single" w:sz="4" w:space="0" w:color="00000A"/>
            </w:tcBorders>
            <w:shd w:fill="auto" w:val="clear"/>
            <w:tcMar>
              <w:left w:w="103" w:type="dxa"/>
            </w:tcMar>
            <w:vAlign w:val="center"/>
          </w:tcPr>
          <w:p>
            <w:pPr>
              <w:pStyle w:val="Style114"/>
              <w:snapToGrid w:val="false"/>
              <w:rPr>
                <w:rFonts w:ascii="Arial" w:hAnsi="Arial" w:cs="Arial"/>
                <w:sz w:val="24"/>
                <w:szCs w:val="24"/>
              </w:rPr>
            </w:pPr>
            <w:r>
              <w:rPr>
                <w:rFonts w:cs="Arial" w:ascii="Arial" w:hAnsi="Arial"/>
                <w:sz w:val="24"/>
                <w:szCs w:val="24"/>
              </w:rPr>
            </w:r>
          </w:p>
        </w:tc>
        <w:tc>
          <w:tcPr>
            <w:tcW w:w="1353" w:type="dxa"/>
            <w:gridSpan w:val="2"/>
            <w:tcBorders>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1</w:t>
            </w:r>
          </w:p>
        </w:tc>
      </w:tr>
      <w:tr>
        <w:trPr>
          <w:trHeight w:val="23" w:hRule="atLeast"/>
        </w:trPr>
        <w:tc>
          <w:tcPr>
            <w:tcW w:w="552" w:type="dxa"/>
            <w:tcBorders>
              <w:left w:val="single" w:sz="4" w:space="0" w:color="00000A"/>
              <w:bottom w:val="single" w:sz="4" w:space="0" w:color="00000A"/>
              <w:insideH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3</w:t>
            </w:r>
          </w:p>
        </w:tc>
        <w:tc>
          <w:tcPr>
            <w:tcW w:w="5561" w:type="dxa"/>
            <w:gridSpan w:val="3"/>
            <w:tcBorders>
              <w:top w:val="single" w:sz="4" w:space="0" w:color="00000A"/>
              <w:left w:val="single" w:sz="4" w:space="0" w:color="00000A"/>
              <w:bottom w:val="single" w:sz="4" w:space="0" w:color="00000A"/>
              <w:insideH w:val="single" w:sz="4" w:space="0" w:color="00000A"/>
            </w:tcBorders>
            <w:shd w:fill="auto" w:val="clear"/>
            <w:tcMar>
              <w:left w:w="103" w:type="dxa"/>
            </w:tcMar>
            <w:vAlign w:val="bottom"/>
          </w:tcPr>
          <w:p>
            <w:pPr>
              <w:pStyle w:val="Style114"/>
              <w:rPr>
                <w:rFonts w:ascii="Arial" w:hAnsi="Arial" w:cs="Arial"/>
                <w:sz w:val="24"/>
                <w:szCs w:val="24"/>
              </w:rPr>
            </w:pPr>
            <w:r>
              <w:rPr>
                <w:rFonts w:cs="Arial" w:ascii="Arial" w:hAnsi="Arial"/>
                <w:sz w:val="24"/>
                <w:szCs w:val="24"/>
              </w:rPr>
              <w:t>Отметка бровки подсыпанной территории  выше расчетного горизонта высоких вод с учетом высоты волны при ветровом нагоне</w:t>
            </w:r>
          </w:p>
        </w:tc>
        <w:tc>
          <w:tcPr>
            <w:tcW w:w="1417" w:type="dxa"/>
            <w:gridSpan w:val="2"/>
            <w:tcBorders>
              <w:left w:val="single" w:sz="4" w:space="0" w:color="00000A"/>
              <w:bottom w:val="single" w:sz="4" w:space="0" w:color="00000A"/>
              <w:insideH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м</w:t>
            </w:r>
          </w:p>
        </w:tc>
        <w:tc>
          <w:tcPr>
            <w:tcW w:w="1492" w:type="dxa"/>
            <w:gridSpan w:val="2"/>
            <w:tcBorders>
              <w:left w:val="single" w:sz="4" w:space="0" w:color="00000A"/>
              <w:bottom w:val="single" w:sz="4" w:space="0" w:color="00000A"/>
              <w:insideH w:val="single" w:sz="4" w:space="0" w:color="00000A"/>
            </w:tcBorders>
            <w:shd w:fill="auto" w:val="clear"/>
            <w:tcMar>
              <w:left w:w="103" w:type="dxa"/>
            </w:tcMar>
            <w:vAlign w:val="center"/>
          </w:tcPr>
          <w:p>
            <w:pPr>
              <w:pStyle w:val="Style114"/>
              <w:rPr>
                <w:rFonts w:ascii="Arial" w:hAnsi="Arial" w:cs="Arial"/>
                <w:sz w:val="24"/>
                <w:szCs w:val="24"/>
              </w:rPr>
            </w:pPr>
            <w:r>
              <w:rPr>
                <w:rFonts w:cs="Arial" w:ascii="Arial" w:hAnsi="Arial"/>
                <w:sz w:val="24"/>
                <w:szCs w:val="24"/>
              </w:rPr>
              <w:t>СНиП 2.06.15-85 п.3.11</w:t>
            </w:r>
          </w:p>
        </w:tc>
        <w:tc>
          <w:tcPr>
            <w:tcW w:w="1352" w:type="dxa"/>
            <w:tcBorders>
              <w:left w:val="single" w:sz="4" w:space="0" w:color="00000A"/>
              <w:bottom w:val="single" w:sz="4" w:space="0" w:color="00000A"/>
              <w:right w:val="single" w:sz="4" w:space="0" w:color="00000A"/>
              <w:insideH w:val="single" w:sz="4" w:space="0" w:color="00000A"/>
              <w:insideV w:val="single" w:sz="4" w:space="0" w:color="00000A"/>
            </w:tcBorders>
            <w:shd w:fill="auto" w:val="clear"/>
            <w:tcMar>
              <w:left w:w="103" w:type="dxa"/>
            </w:tcMar>
            <w:vAlign w:val="center"/>
          </w:tcPr>
          <w:p>
            <w:pPr>
              <w:pStyle w:val="Style113"/>
              <w:rPr>
                <w:rFonts w:ascii="Arial" w:hAnsi="Arial" w:cs="Arial"/>
                <w:sz w:val="24"/>
                <w:szCs w:val="24"/>
              </w:rPr>
            </w:pPr>
            <w:r>
              <w:rPr>
                <w:rFonts w:cs="Arial" w:ascii="Arial" w:hAnsi="Arial"/>
                <w:sz w:val="24"/>
                <w:szCs w:val="24"/>
              </w:rPr>
              <w:t>0,5</w:t>
            </w:r>
          </w:p>
        </w:tc>
      </w:tr>
    </w:tbl>
    <w:p>
      <w:pPr>
        <w:pStyle w:val="Normal"/>
        <w:spacing w:lineRule="auto" w:line="240" w:before="0" w:after="0"/>
        <w:ind w:left="0" w:right="0" w:firstLine="708"/>
        <w:jc w:val="right"/>
        <w:rPr>
          <w:rFonts w:ascii="Arial" w:hAnsi="Arial" w:cs="Arial"/>
          <w:sz w:val="24"/>
          <w:szCs w:val="24"/>
        </w:rPr>
      </w:pPr>
      <w:r>
        <w:rPr>
          <w:rFonts w:cs="Arial" w:ascii="Arial" w:hAnsi="Arial"/>
          <w:sz w:val="24"/>
          <w:szCs w:val="24"/>
        </w:rPr>
      </w:r>
    </w:p>
    <w:p>
      <w:pPr>
        <w:pStyle w:val="555551"/>
        <w:rPr>
          <w:rFonts w:ascii="Arial" w:hAnsi="Arial" w:cs="Arial"/>
        </w:rPr>
      </w:pPr>
      <w:bookmarkStart w:id="45" w:name="__RefHeading___Toc494193938"/>
      <w:bookmarkEnd w:id="45"/>
      <w:r>
        <w:rPr>
          <w:rFonts w:cs="Arial" w:ascii="Arial" w:hAnsi="Arial"/>
        </w:rPr>
        <w:t>13.9.</w:t>
        <w:tab/>
        <w:t>Расчетные показатели в области гражданской обороны, инженерной подготовки и защиты территории</w:t>
      </w:r>
    </w:p>
    <w:p>
      <w:pPr>
        <w:pStyle w:val="5551"/>
        <w:rPr>
          <w:rFonts w:ascii="Arial" w:hAnsi="Arial" w:cs="Arial"/>
        </w:rPr>
      </w:pPr>
      <w:r>
        <w:rPr>
          <w:rFonts w:cs="Arial" w:ascii="Arial" w:hAnsi="Arial"/>
        </w:rPr>
        <w:t>13.9.1.  Органы местного самоуправления проводят мероприятия, направленные на решение вопросов местного значения в области обеспечения безопасности жизнедеятельности населения в пределах полномочий, установленных федеральным и региональным законодательствами.</w:t>
      </w:r>
    </w:p>
    <w:p>
      <w:pPr>
        <w:pStyle w:val="5551"/>
        <w:rPr>
          <w:rFonts w:ascii="Arial" w:hAnsi="Arial" w:cs="Arial"/>
        </w:rPr>
      </w:pPr>
      <w:r>
        <w:rPr>
          <w:rFonts w:cs="Arial" w:ascii="Arial" w:hAnsi="Arial"/>
        </w:rPr>
        <w:t>13.9.2.</w:t>
        <w:tab/>
        <w:t>Органы местного самоуправления в пределах своих полномочий принимают муниципальные правовые акты, регулирующие отношения, в области обеспечения безопасности жизнедеятельности населения, в соответствии с требованиями федеральных законов от 21 декабря 1994 года № 68-ФЗ «О защите населения и территорий от чрезвычайных ситуаций природного и техногенного характера», от 12 февраля 1998 года № 28-ФЗ «О гражданской обороне», от 6 октября 2003 г. № 131-ФЗ «Об общих принципах организации местного самоуправления в Российской Федерации» и иных нормативных правовых актов Российской Федерации.</w:t>
      </w:r>
    </w:p>
    <w:p>
      <w:pPr>
        <w:pStyle w:val="5551"/>
        <w:rPr>
          <w:rFonts w:ascii="Arial" w:hAnsi="Arial" w:cs="Arial"/>
        </w:rPr>
      </w:pPr>
      <w:r>
        <w:rPr>
          <w:rFonts w:cs="Arial" w:ascii="Arial" w:hAnsi="Arial"/>
        </w:rPr>
        <w:t>13.9.3.</w:t>
        <w:tab/>
        <w:t>Организационные мероприятия по мобилизационной подготовке муниципальных предприятий и учреждений Кушнурского сельсовета должны проходить в соответствии с требованиями Федеральных законов: от 26 февраля 1997 г. № 31-ФЗ «О мобилизационной подготовке и мобилизации в Российской Федерации» и от 6 октября 2003 г. № 131-ФЗ «Об общих принципах организации местного самоуправления в Российской Федерации».</w:t>
      </w:r>
    </w:p>
    <w:p>
      <w:pPr>
        <w:pStyle w:val="5551"/>
        <w:rPr>
          <w:rFonts w:ascii="Arial" w:hAnsi="Arial" w:cs="Arial"/>
        </w:rPr>
      </w:pPr>
      <w:r>
        <w:rPr>
          <w:rFonts w:cs="Arial" w:ascii="Arial" w:hAnsi="Arial"/>
        </w:rPr>
        <w:t>13.9.4.</w:t>
        <w:tab/>
        <w:t xml:space="preserve"> Должностные лица органов государственной власти, органов местного самоуправления и организаций несут персональную ответственность за исполнение возложенных на них обязанностей в области мобилизационной подготовки и мобилизации в соответствии с законодательством Российской Федерации, создают необходимые условия работникам мобилизационных органов для исполнения возложенных на них обязанностей.</w:t>
      </w:r>
    </w:p>
    <w:p>
      <w:pPr>
        <w:pStyle w:val="5551"/>
        <w:rPr>
          <w:rFonts w:ascii="Arial" w:hAnsi="Arial" w:cs="Arial"/>
        </w:rPr>
      </w:pPr>
      <w:r>
        <w:rPr>
          <w:rFonts w:cs="Arial" w:ascii="Arial" w:hAnsi="Arial"/>
        </w:rPr>
        <w:t>13.9.5.</w:t>
        <w:tab/>
        <w:t>Инженерно-технические мероприятия гражданской обороны и предупреждения чрезвычайных ситуаций (далее - ИТМ ГОЧС) должны предусматриваться при:</w:t>
      </w:r>
    </w:p>
    <w:p>
      <w:pPr>
        <w:pStyle w:val="NoSpacing"/>
        <w:ind w:left="0" w:right="0" w:firstLine="708"/>
        <w:jc w:val="both"/>
        <w:rPr>
          <w:rFonts w:ascii="Arial" w:hAnsi="Arial" w:cs="Arial"/>
          <w:sz w:val="24"/>
          <w:szCs w:val="24"/>
        </w:rPr>
      </w:pPr>
      <w:r>
        <w:rPr>
          <w:rFonts w:cs="Arial" w:ascii="Arial" w:hAnsi="Arial"/>
          <w:sz w:val="24"/>
          <w:szCs w:val="24"/>
        </w:rPr>
        <w:t>- подготовке документов территориального планирования  Кушнурского   сельсовета  (генерального плана поселения);</w:t>
      </w:r>
    </w:p>
    <w:p>
      <w:pPr>
        <w:pStyle w:val="NoSpacing"/>
        <w:ind w:left="0" w:right="0" w:firstLine="708"/>
        <w:jc w:val="both"/>
        <w:rPr>
          <w:rFonts w:ascii="Arial" w:hAnsi="Arial" w:cs="Arial"/>
          <w:sz w:val="24"/>
          <w:szCs w:val="24"/>
        </w:rPr>
      </w:pPr>
      <w:r>
        <w:rPr>
          <w:rFonts w:cs="Arial" w:ascii="Arial" w:hAnsi="Arial"/>
          <w:sz w:val="24"/>
          <w:szCs w:val="24"/>
        </w:rPr>
        <w:t>- разработке документации по планировке территории (проектов планировки, проектов межевания территории, градостроительных планов земельных участков);</w:t>
      </w:r>
    </w:p>
    <w:p>
      <w:pPr>
        <w:pStyle w:val="NoSpacing"/>
        <w:ind w:left="0" w:right="0" w:firstLine="708"/>
        <w:jc w:val="both"/>
        <w:rPr>
          <w:rFonts w:ascii="Arial" w:hAnsi="Arial" w:cs="Arial"/>
          <w:sz w:val="24"/>
          <w:szCs w:val="24"/>
        </w:rPr>
      </w:pPr>
      <w:r>
        <w:rPr>
          <w:rFonts w:cs="Arial" w:ascii="Arial" w:hAnsi="Arial"/>
          <w:sz w:val="24"/>
          <w:szCs w:val="24"/>
        </w:rPr>
        <w:t>- разработке материалов, обосновывающих строительство (технико-экономического обоснования, технико-экономических расчетов), а также проектной документации на строительство и реконструкцию объектов капитального строительства.</w:t>
      </w:r>
    </w:p>
    <w:p>
      <w:pPr>
        <w:pStyle w:val="5551"/>
        <w:rPr>
          <w:rFonts w:ascii="Arial" w:hAnsi="Arial" w:cs="Arial"/>
        </w:rPr>
      </w:pPr>
      <w:r>
        <w:rPr>
          <w:rFonts w:cs="Arial" w:ascii="Arial" w:hAnsi="Arial"/>
        </w:rPr>
        <w:t>13.9.6.</w:t>
        <w:tab/>
        <w:t>Проектирование инженерно-технических мероприятий гражданской обороны и предупреждения чрезвычайных ситуаций на действующих (законченным строительством) предприятиях должно осуществляться в соответствии с требованиями нормативных документов ИТМ ГОЧС.</w:t>
      </w:r>
    </w:p>
    <w:p>
      <w:pPr>
        <w:pStyle w:val="5551"/>
        <w:rPr>
          <w:rFonts w:ascii="Arial" w:hAnsi="Arial" w:cs="Arial"/>
        </w:rPr>
      </w:pPr>
      <w:r>
        <w:rPr>
          <w:rFonts w:cs="Arial" w:ascii="Arial" w:hAnsi="Arial"/>
        </w:rPr>
        <w:t>13.9.7.</w:t>
        <w:tab/>
        <w:t>Мероприятия по гражданской обороне разрабатываются органами местного самоуправления Кушнурского сельсовета в соответствии с требованиями Федерального закона  «О гражданской обороне».</w:t>
      </w:r>
    </w:p>
    <w:p>
      <w:pPr>
        <w:pStyle w:val="5551"/>
        <w:rPr>
          <w:rFonts w:ascii="Arial" w:hAnsi="Arial" w:cs="Arial"/>
        </w:rPr>
      </w:pPr>
      <w:r>
        <w:rPr>
          <w:rFonts w:cs="Arial" w:ascii="Arial" w:hAnsi="Arial"/>
        </w:rPr>
        <w:t>13.9.8.</w:t>
        <w:tab/>
        <w:t xml:space="preserve">Внесение изменений в генеральный план, а также развитие застроенных территорий в границах элемента планировочной структуры или его части (частей), в границах смежных элементов планировочной структуры или их частей с учетом реконструкции объектов инженерной, социальной и коммунально-бытовой инфраструктур, предназначенных для обеспечения застроенной территории, следует осуществлять в соответствии с требованиями СНиП 2.01.51-90, СП 11-112-2001, СП 11-107-98, СНиП II-11-77, ППБ 01-03 а также с требованиями настоящих местных нормативов. </w:t>
      </w:r>
    </w:p>
    <w:p>
      <w:pPr>
        <w:pStyle w:val="5551"/>
        <w:rPr>
          <w:rFonts w:ascii="Arial" w:hAnsi="Arial" w:cs="Arial"/>
        </w:rPr>
      </w:pPr>
      <w:r>
        <w:rPr>
          <w:rFonts w:cs="Arial" w:ascii="Arial" w:hAnsi="Arial"/>
        </w:rPr>
        <w:t>13.9.9.</w:t>
        <w:tab/>
        <w:t>Мероприятия по защите территорий от воздействия чрезвычайных ситуаций природного и техногенного характера разрабатываются органами местного самоуправления Кушнурского сельсовета в соответствии с требованиями Федерального закона «О защите населения и территорий от чрезвычайных ситуаций природного и техногенного характера» с учетом требований ГОСТ Р 22.0.07-95.</w:t>
      </w:r>
    </w:p>
    <w:p>
      <w:pPr>
        <w:pStyle w:val="5551"/>
        <w:rPr>
          <w:rFonts w:ascii="Arial" w:hAnsi="Arial" w:cs="Arial"/>
        </w:rPr>
      </w:pPr>
      <w:r>
        <w:rPr>
          <w:rFonts w:cs="Arial" w:ascii="Arial" w:hAnsi="Arial"/>
        </w:rPr>
        <w:t>13.9.10.</w:t>
        <w:tab/>
        <w:t>Улицы сельского поселения должны проектироваться с учетом обеспечения возможности выхода по ним транспорта из жилых и производственных зон на загородные дороги не менее чем по двум направлениям.</w:t>
      </w:r>
    </w:p>
    <w:p>
      <w:pPr>
        <w:pStyle w:val="5551"/>
        <w:rPr/>
      </w:pPr>
      <w:r>
        <w:rPr>
          <w:rFonts w:cs="Arial" w:ascii="Arial" w:hAnsi="Arial"/>
        </w:rPr>
        <w:t>13.9.11.</w:t>
        <w:tab/>
        <w:t xml:space="preserve">Проектирование транспортной сети </w:t>
      </w:r>
      <w:r>
        <w:rPr>
          <w:rFonts w:eastAsia="Times New Roman" w:cs="Arial" w:ascii="Arial" w:hAnsi="Arial"/>
          <w:lang w:eastAsia="ar-SA"/>
        </w:rPr>
        <w:t>сельского</w:t>
      </w:r>
      <w:r>
        <w:rPr>
          <w:rFonts w:cs="Arial" w:ascii="Arial" w:hAnsi="Arial"/>
        </w:rPr>
        <w:t xml:space="preserve"> поселения  должно обеспечивать надежное сообщение между отдельными жилыми и производственными зонами, свободный проход к магистралям устойчивого функционирования, ведущим за пределы </w:t>
      </w:r>
      <w:r>
        <w:rPr>
          <w:rFonts w:eastAsia="Times New Roman" w:cs="Arial" w:ascii="Arial" w:hAnsi="Arial"/>
          <w:lang w:eastAsia="ar-SA"/>
        </w:rPr>
        <w:t>сельского</w:t>
      </w:r>
      <w:r>
        <w:rPr>
          <w:rFonts w:cs="Arial" w:ascii="Arial" w:hAnsi="Arial"/>
        </w:rPr>
        <w:t xml:space="preserve"> поселения, а также наиболее короткую и удобную связь центра, жилых и производственных зон с железнодорожными и автобусными вокзалами, грузовыми станциями, речными портами и аэропортами.</w:t>
      </w:r>
    </w:p>
    <w:p>
      <w:pPr>
        <w:pStyle w:val="5551"/>
        <w:rPr/>
      </w:pPr>
      <w:r>
        <w:rPr>
          <w:rFonts w:cs="Arial" w:ascii="Arial" w:hAnsi="Arial"/>
        </w:rPr>
        <w:t>13.9.12.</w:t>
        <w:tab/>
        <w:t xml:space="preserve">Стоянки для автобусов, грузовых и легковых автомобилей, производственно-ремонтные базы уборочных машин, следует проектировать рассредоточено и преимущественно на окраинах </w:t>
      </w:r>
      <w:r>
        <w:rPr>
          <w:rFonts w:eastAsia="Times New Roman" w:cs="Arial" w:ascii="Arial" w:hAnsi="Arial"/>
          <w:lang w:eastAsia="ar-SA"/>
        </w:rPr>
        <w:t>сельского</w:t>
      </w:r>
      <w:r>
        <w:rPr>
          <w:rFonts w:cs="Arial" w:ascii="Arial" w:hAnsi="Arial"/>
        </w:rPr>
        <w:t xml:space="preserve"> поселения.</w:t>
      </w:r>
    </w:p>
    <w:p>
      <w:pPr>
        <w:pStyle w:val="5551"/>
        <w:rPr/>
      </w:pPr>
      <w:r>
        <w:rPr>
          <w:rFonts w:cs="Arial" w:ascii="Arial" w:hAnsi="Arial"/>
        </w:rPr>
        <w:t>13.9.13.</w:t>
        <w:tab/>
        <w:t xml:space="preserve">Развитие сети указанных хозяйств, учреждений и садоводческих товариществ в пригородной зоне должно осуществляться с учетом использования их в военное время для размещения населения, эвакуируемого из </w:t>
      </w:r>
      <w:r>
        <w:rPr>
          <w:rFonts w:eastAsia="Times New Roman" w:cs="Arial" w:ascii="Arial" w:hAnsi="Arial"/>
          <w:lang w:eastAsia="ar-SA"/>
        </w:rPr>
        <w:t>сельского</w:t>
      </w:r>
      <w:r>
        <w:rPr>
          <w:rFonts w:cs="Arial" w:ascii="Arial" w:hAnsi="Arial"/>
        </w:rPr>
        <w:t xml:space="preserve"> поселения, и развертывания лечебных учреждений.</w:t>
      </w:r>
    </w:p>
    <w:p>
      <w:pPr>
        <w:pStyle w:val="5551"/>
        <w:tabs>
          <w:tab w:val="left" w:pos="1418" w:leader="none"/>
        </w:tabs>
        <w:rPr>
          <w:rFonts w:ascii="Arial" w:hAnsi="Arial" w:cs="Arial"/>
        </w:rPr>
      </w:pPr>
      <w:r>
        <w:rPr>
          <w:rFonts w:cs="Arial" w:ascii="Arial" w:hAnsi="Arial"/>
        </w:rPr>
        <w:t>13.9.14.</w:t>
        <w:tab/>
        <w:t>Вновь проектируемые и реконструируемые системы водоснабжения должны базироваться не менее чем на двух независимых источниках водоснабжения, один из которых следует предусматривать подземным.</w:t>
      </w:r>
    </w:p>
    <w:p>
      <w:pPr>
        <w:pStyle w:val="5551"/>
        <w:rPr>
          <w:rFonts w:ascii="Arial" w:hAnsi="Arial" w:cs="Arial"/>
        </w:rPr>
      </w:pPr>
      <w:r>
        <w:rPr>
          <w:rFonts w:cs="Arial" w:ascii="Arial" w:hAnsi="Arial"/>
        </w:rPr>
        <w:t xml:space="preserve">При проектировании суммарную мощность головных сооружений следует рассчитывать по нормам мирного времени. </w:t>
      </w:r>
    </w:p>
    <w:p>
      <w:pPr>
        <w:pStyle w:val="5551"/>
        <w:rPr>
          <w:rFonts w:ascii="Arial" w:hAnsi="Arial" w:cs="Arial"/>
        </w:rPr>
      </w:pPr>
      <w:r>
        <w:rPr>
          <w:rFonts w:cs="Arial" w:ascii="Arial" w:hAnsi="Arial"/>
        </w:rPr>
        <w:t>13.9.15.</w:t>
        <w:tab/>
        <w:t>Для гарантированного обеспечения питьевой водой населения в случае выхода из строя всех головных сооружений или заражения источников водоснабжения следует проектировать резервуары в целях создания в них не менее 3-суточного запаса питьевой воды по норме не менее 10 л/сут. на одного человека.</w:t>
      </w:r>
    </w:p>
    <w:p>
      <w:pPr>
        <w:pStyle w:val="5551"/>
        <w:rPr/>
      </w:pPr>
      <w:r>
        <w:rPr>
          <w:rFonts w:cs="Arial" w:ascii="Arial" w:hAnsi="Arial"/>
        </w:rPr>
        <w:t>13.9.16.</w:t>
        <w:tab/>
        <w:t xml:space="preserve">В </w:t>
      </w:r>
      <w:r>
        <w:rPr>
          <w:rFonts w:eastAsia="Times New Roman" w:cs="Arial" w:ascii="Arial" w:hAnsi="Arial"/>
          <w:lang w:eastAsia="ar-SA"/>
        </w:rPr>
        <w:t xml:space="preserve">сельском </w:t>
      </w:r>
      <w:r>
        <w:rPr>
          <w:rFonts w:cs="Arial" w:ascii="Arial" w:hAnsi="Arial"/>
        </w:rPr>
        <w:t xml:space="preserve">поселении необходимо проектировать устройство искусственных водоемов с возможностью использования их для тушения пожаров. Эти водоемы следует проектировать с учетом имеющихся естественных водоемов и подъездов к ним. Общую вместимость водоемов необходимо принимать из расчета не менее 3000 куб. м воды на 1 кв. км территории </w:t>
      </w:r>
      <w:r>
        <w:rPr>
          <w:rFonts w:eastAsia="Times New Roman" w:cs="Arial" w:ascii="Arial" w:hAnsi="Arial"/>
          <w:lang w:eastAsia="ar-SA"/>
        </w:rPr>
        <w:t>сельского</w:t>
      </w:r>
      <w:r>
        <w:rPr>
          <w:rFonts w:cs="Arial" w:ascii="Arial" w:hAnsi="Arial"/>
        </w:rPr>
        <w:t xml:space="preserve"> поселения (объекта).</w:t>
      </w:r>
    </w:p>
    <w:p>
      <w:pPr>
        <w:pStyle w:val="5551"/>
        <w:rPr/>
      </w:pPr>
      <w:r>
        <w:rPr>
          <w:rFonts w:cs="Arial" w:ascii="Arial" w:hAnsi="Arial"/>
        </w:rPr>
        <w:t>13.9.17.</w:t>
        <w:tab/>
        <w:t xml:space="preserve">При проектировании газоснабжения от двух и более самостоятельных магистральных газопроводов подачу газа следует предусматривать через газораспределительные станции (ГРС), подключенные к этим газопроводам и размещенные за границами застройки </w:t>
      </w:r>
      <w:r>
        <w:rPr>
          <w:rFonts w:eastAsia="Times New Roman" w:cs="Arial" w:ascii="Arial" w:hAnsi="Arial"/>
          <w:lang w:eastAsia="ar-SA"/>
        </w:rPr>
        <w:t>сельского</w:t>
      </w:r>
      <w:r>
        <w:rPr>
          <w:rFonts w:cs="Arial" w:ascii="Arial" w:hAnsi="Arial"/>
        </w:rPr>
        <w:t xml:space="preserve"> поселения.</w:t>
      </w:r>
    </w:p>
    <w:p>
      <w:pPr>
        <w:pStyle w:val="5551"/>
        <w:rPr>
          <w:rFonts w:ascii="Arial" w:hAnsi="Arial" w:cs="Arial"/>
        </w:rPr>
      </w:pPr>
      <w:r>
        <w:rPr>
          <w:rFonts w:cs="Arial" w:ascii="Arial" w:hAnsi="Arial"/>
        </w:rPr>
        <w:t>13.9.18.</w:t>
        <w:tab/>
        <w:t>При проектировании новых и реконструкции действующих газовых сетей следует предусматривать возможность отключения населенных пунктов и его отдельных районов (участков) с помощью отключающих устройств, срабатывающих от давления (импульса) ударной волны, в соответствии с требованиями СНиП 2.01.51-90.</w:t>
      </w:r>
    </w:p>
    <w:p>
      <w:pPr>
        <w:pStyle w:val="5551"/>
        <w:rPr>
          <w:rFonts w:ascii="Arial" w:hAnsi="Arial" w:cs="Arial"/>
        </w:rPr>
      </w:pPr>
      <w:r>
        <w:rPr>
          <w:rFonts w:cs="Arial" w:ascii="Arial" w:hAnsi="Arial"/>
        </w:rPr>
        <w:t>13.9.19.</w:t>
        <w:tab/>
        <w:t>При проектировании систем электроснабжения необходимо предусматривать их электроснабжение от нескольких независимых и территориально разнесенных источников питания, часть из которых должна располагаться за пределами зон возможных разрушений. При этом указанные источники и их линии электропередачи должны находиться друг от друга на расстоянии, исключающем возможность их одновременного выхода из строя. Системы электроснабжения должны учитывать возможность обеспечения транзита электроэнергии в обход разрушенных объектов за счет сооружения коротких перемычек воздушными линиями электропередачи.</w:t>
      </w:r>
    </w:p>
    <w:p>
      <w:pPr>
        <w:pStyle w:val="5551"/>
        <w:rPr>
          <w:rFonts w:ascii="Arial" w:hAnsi="Arial" w:cs="Arial"/>
        </w:rPr>
      </w:pPr>
      <w:r>
        <w:rPr>
          <w:rFonts w:cs="Arial" w:ascii="Arial" w:hAnsi="Arial"/>
        </w:rPr>
        <w:t>13.9.20.</w:t>
        <w:tab/>
        <w:t>Электроснабжение проектируемых перекачивающих насосных и компрессорных станций магистральных трубопроводов (газопроводов, нефтепроводов, нефтепродуктопроводов) должно осуществляться от источников электроснабжения и электроподстанций, расположенных за пределами зон возможных сильных разрушений, с проектированием на них в необходимых случаях автономных резервных источников.</w:t>
      </w:r>
    </w:p>
    <w:p>
      <w:pPr>
        <w:pStyle w:val="5551"/>
        <w:rPr>
          <w:rFonts w:ascii="Arial" w:hAnsi="Arial" w:cs="Arial"/>
        </w:rPr>
      </w:pPr>
      <w:r>
        <w:rPr>
          <w:rFonts w:cs="Arial" w:ascii="Arial" w:hAnsi="Arial"/>
        </w:rPr>
        <w:t>13.9.21.</w:t>
        <w:tab/>
        <w:t>Проектирование теплоэлектроцентралей, подстанций, распределительных устройств и линий электропередачи следует осуществлять с учетом требований СНиП 2.01.51-90.</w:t>
      </w:r>
    </w:p>
    <w:p>
      <w:pPr>
        <w:pStyle w:val="5551"/>
        <w:rPr>
          <w:rFonts w:ascii="Arial" w:hAnsi="Arial" w:cs="Arial"/>
        </w:rPr>
      </w:pPr>
      <w:r>
        <w:rPr>
          <w:rFonts w:cs="Arial" w:ascii="Arial" w:hAnsi="Arial"/>
        </w:rPr>
        <w:t>13.9.22.</w:t>
        <w:tab/>
        <w:t>В процессе градостроительного проектирования должны предусматриваться мероприятия световой маскировки с учетом требований СП 264.1325800.2016 "СНиП 2.01.53-84 Световая маскировка населенных пунктов и объектов народного хозяйства" и других нормативных актов.</w:t>
      </w:r>
    </w:p>
    <w:p>
      <w:pPr>
        <w:pStyle w:val="5551"/>
        <w:rPr>
          <w:rFonts w:ascii="Arial" w:hAnsi="Arial" w:eastAsia="Times New Roman" w:cs="Arial"/>
          <w:b/>
          <w:b/>
          <w:i/>
          <w:i/>
          <w:iCs w:val="false"/>
          <w:lang w:eastAsia="ru-RU"/>
        </w:rPr>
      </w:pPr>
      <w:r>
        <w:rPr>
          <w:rFonts w:eastAsia="Times New Roman" w:cs="Arial" w:ascii="Arial" w:hAnsi="Arial"/>
          <w:b/>
          <w:i/>
          <w:iCs w:val="false"/>
          <w:lang w:eastAsia="ru-RU"/>
        </w:rPr>
      </w:r>
    </w:p>
    <w:p>
      <w:pPr>
        <w:pStyle w:val="Style117"/>
        <w:rPr>
          <w:rFonts w:ascii="Arial" w:hAnsi="Arial" w:cs="Arial"/>
        </w:rPr>
      </w:pPr>
      <w:bookmarkStart w:id="46" w:name="__RefHeading___Toc494193939"/>
      <w:bookmarkEnd w:id="46"/>
      <w:r>
        <w:rPr>
          <w:rFonts w:cs="Arial" w:ascii="Arial" w:hAnsi="Arial"/>
        </w:rPr>
        <w:t>14. Противопожарные требования</w:t>
      </w:r>
    </w:p>
    <w:p>
      <w:pPr>
        <w:pStyle w:val="5551"/>
        <w:rPr>
          <w:rFonts w:ascii="Arial" w:hAnsi="Arial" w:eastAsia="Times New Roman" w:cs="Arial"/>
          <w:b/>
          <w:b/>
          <w:i/>
          <w:i/>
          <w:iCs w:val="false"/>
          <w:lang w:eastAsia="ru-RU"/>
        </w:rPr>
      </w:pPr>
      <w:r>
        <w:rPr>
          <w:rFonts w:eastAsia="Times New Roman" w:cs="Arial" w:ascii="Arial" w:hAnsi="Arial"/>
          <w:b/>
          <w:i/>
          <w:iCs w:val="false"/>
          <w:lang w:eastAsia="ru-RU"/>
        </w:rPr>
      </w:r>
    </w:p>
    <w:p>
      <w:pPr>
        <w:pStyle w:val="5551"/>
        <w:rPr>
          <w:rFonts w:ascii="Arial" w:hAnsi="Arial" w:cs="Arial"/>
        </w:rPr>
      </w:pPr>
      <w:r>
        <w:rPr>
          <w:rFonts w:cs="Arial" w:ascii="Arial" w:hAnsi="Arial"/>
        </w:rPr>
        <w:t>14.1.</w:t>
        <w:tab/>
        <w:t>Общие требования</w:t>
      </w:r>
    </w:p>
    <w:p>
      <w:pPr>
        <w:pStyle w:val="5551"/>
        <w:rPr>
          <w:rFonts w:ascii="Arial" w:hAnsi="Arial" w:cs="Arial"/>
        </w:rPr>
      </w:pPr>
      <w:r>
        <w:rPr>
          <w:rFonts w:cs="Arial" w:ascii="Arial" w:hAnsi="Arial"/>
        </w:rPr>
        <w:t>14.1.1.</w:t>
        <w:tab/>
        <w:t>Планировка и застройка территорий поселений Шарангского муниципального района Нижегородской области должна осуществляться в соответствии с генеральными планами поселений, учитывающими требования пожарной безопасности, установленные Федеральным законом от 22 июля 2008 года N 123-ФЗ "Технический регламент о требованиях пожарной безопасности".</w:t>
      </w:r>
    </w:p>
    <w:p>
      <w:pPr>
        <w:pStyle w:val="5551"/>
        <w:rPr>
          <w:rFonts w:ascii="Arial" w:hAnsi="Arial" w:cs="Arial"/>
        </w:rPr>
      </w:pPr>
      <w:r>
        <w:rPr>
          <w:rFonts w:cs="Arial" w:ascii="Arial" w:hAnsi="Arial"/>
        </w:rPr>
        <w:t>Состав и функциональные характеристики систем обеспечения пожарной безопасности населенных пунктов должны входить в проектную документацию в виде раздела "Перечень мероприятий по обеспечению пожарной безопасности".</w:t>
      </w:r>
    </w:p>
    <w:p>
      <w:pPr>
        <w:pStyle w:val="5551"/>
        <w:rPr/>
      </w:pPr>
      <w:r>
        <w:rPr>
          <w:rFonts w:cs="Arial" w:ascii="Arial" w:hAnsi="Arial"/>
        </w:rPr>
        <w:t>14.1.2.</w:t>
        <w:tab/>
        <w:t xml:space="preserve">Размещение пожаровзрывоопасных объектов на территориях населенных пунктов должно осуществляться в соответствии с требованиями Федерального </w:t>
      </w:r>
      <w:hyperlink r:id="rId11">
        <w:r>
          <w:rPr>
            <w:rStyle w:val="Style9"/>
            <w:rFonts w:cs="Arial" w:ascii="Arial" w:hAnsi="Arial"/>
            <w:color w:val="0000FF"/>
          </w:rPr>
          <w:t>закона</w:t>
        </w:r>
      </w:hyperlink>
      <w:r>
        <w:rPr>
          <w:rFonts w:cs="Arial" w:ascii="Arial" w:hAnsi="Arial"/>
        </w:rPr>
        <w:t xml:space="preserve"> "Технический регламент о требованиях пожарной безопасности".</w:t>
      </w:r>
    </w:p>
    <w:p>
      <w:pPr>
        <w:pStyle w:val="5551"/>
        <w:rPr>
          <w:rFonts w:ascii="Arial" w:hAnsi="Arial" w:cs="Arial"/>
        </w:rPr>
      </w:pPr>
      <w:r>
        <w:rPr>
          <w:rFonts w:cs="Arial" w:ascii="Arial" w:hAnsi="Arial"/>
        </w:rPr>
        <w:t>14.1.3.</w:t>
        <w:tab/>
        <w:t>Опасные производственные объекты, на которых производятся, используются, перерабатываются, образуются, хранятся, транспортируются, уничтожаются пожаровзрывоопасные вещества и материалы и для которых обязательна разработка декларации о промышленной безопасности (далее - пожаровзрывоопасные объекты), должны размещаться за границами населенных пунктов, а если это невозможно или нецелесообразно, то должны быть разработаны меры по защите людей, зданий, сооружений и строений, находящихся за пределами территории пожаровзрывоопасного объекта, от воздействия опасных факторов пожара и (или) взрыва. Иные производственные объекты, на территориях которых расположены здания, сооружения и строения категорий А, Б и В по взрывопожарной и пожарной опасности, могут размещаться как на территориях, так и за границами населенных пунктов. При этом расчетное значение пожарного риска не должно превышать допустимое значение пожарного риска, установленное Федеральным законом "Технический регламент о требованиях пожарной безопасности". При размещении пожаровзрывоопасных объектов в границах населенных пунктов необходимо учитывать возможность воздействия опасных факторов пожара на соседние объекты, климатические и географические особенности, рельеф местности, направление течения рек и преобладающее направление ветра. При этом расстояние от границ земельного участка производственного объекта до зданий классов функциональной опасности Ф1 - Ф4, земельных участков детских дошкольных образовательных учреждений, общеобразовательных учреждений, учреждений здравоохранения и отдыха должно составлять не менее 50 метров.</w:t>
      </w:r>
    </w:p>
    <w:p>
      <w:pPr>
        <w:pStyle w:val="5551"/>
        <w:rPr>
          <w:rFonts w:ascii="Arial" w:hAnsi="Arial" w:cs="Arial"/>
        </w:rPr>
      </w:pPr>
      <w:r>
        <w:rPr>
          <w:rFonts w:cs="Arial" w:ascii="Arial" w:hAnsi="Arial"/>
        </w:rPr>
      </w:r>
    </w:p>
    <w:p>
      <w:pPr>
        <w:pStyle w:val="555551"/>
        <w:rPr/>
      </w:pPr>
      <w:bookmarkStart w:id="47" w:name="__RefHeading___Toc494193940"/>
      <w:r>
        <w:rPr>
          <w:rFonts w:cs="Arial" w:ascii="Arial" w:hAnsi="Arial"/>
        </w:rPr>
        <w:t>14.2.</w:t>
        <w:tab/>
        <w:t>Нормативные требования по противопожарным разрывам между зданиями и сооружениями</w:t>
      </w:r>
      <w:bookmarkEnd w:id="47"/>
      <w:r>
        <w:rPr>
          <w:rFonts w:cs="Arial" w:ascii="Arial" w:hAnsi="Arial"/>
        </w:rPr>
        <w:t xml:space="preserve"> </w:t>
      </w:r>
    </w:p>
    <w:p>
      <w:pPr>
        <w:pStyle w:val="5551"/>
        <w:rPr/>
      </w:pPr>
      <w:r>
        <w:rPr>
          <w:rFonts w:cs="Arial" w:ascii="Arial" w:hAnsi="Arial"/>
        </w:rPr>
        <w:t>14.2.1.</w:t>
        <w:tab/>
        <w:t xml:space="preserve">Противопожарные расстояния между жилыми, общественными и административными зданиями, зданиями, сооружениями и строениями промышленных организаций в зависимости от степени огнестойкости и класса их конструктивной пожарной опасности следует принимать в соответствии с </w:t>
      </w:r>
      <w:hyperlink w:anchor="P3074">
        <w:r>
          <w:rPr>
            <w:rStyle w:val="Style9"/>
            <w:rFonts w:cs="Arial" w:ascii="Arial" w:hAnsi="Arial"/>
          </w:rPr>
          <w:t>таблицей 14.1</w:t>
        </w:r>
      </w:hyperlink>
      <w:r>
        <w:rPr>
          <w:rFonts w:cs="Arial" w:ascii="Arial" w:hAnsi="Arial"/>
        </w:rPr>
        <w:t>, а также в соответствии с требованиями Федерального закона "Технический регламент о требованиях пожарной безопасности".</w:t>
      </w:r>
    </w:p>
    <w:p>
      <w:pPr>
        <w:pStyle w:val="ConsPlusNormal2"/>
        <w:jc w:val="both"/>
        <w:rPr>
          <w:rFonts w:cs="Arial"/>
          <w:sz w:val="24"/>
          <w:szCs w:val="24"/>
        </w:rPr>
      </w:pPr>
      <w:r>
        <w:rPr>
          <w:rFonts w:cs="Arial"/>
          <w:sz w:val="24"/>
          <w:szCs w:val="24"/>
        </w:rPr>
      </w:r>
    </w:p>
    <w:p>
      <w:pPr>
        <w:pStyle w:val="ConsPlusNormal2"/>
        <w:jc w:val="right"/>
        <w:rPr>
          <w:rFonts w:cs="Arial"/>
          <w:sz w:val="24"/>
          <w:szCs w:val="24"/>
        </w:rPr>
      </w:pPr>
      <w:bookmarkStart w:id="48" w:name="P3074"/>
      <w:bookmarkEnd w:id="48"/>
      <w:r>
        <w:rPr>
          <w:rFonts w:cs="Arial"/>
          <w:sz w:val="24"/>
          <w:szCs w:val="24"/>
        </w:rPr>
        <w:t>Таблица 14.1</w:t>
      </w:r>
    </w:p>
    <w:tbl>
      <w:tblPr>
        <w:tblW w:w="10446"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2472"/>
        <w:gridCol w:w="2693"/>
        <w:gridCol w:w="1758"/>
        <w:gridCol w:w="1757"/>
        <w:gridCol w:w="1766"/>
      </w:tblGrid>
      <w:tr>
        <w:trPr/>
        <w:tc>
          <w:tcPr>
            <w:tcW w:w="2472"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Степень огнестойкости здания</w:t>
            </w:r>
          </w:p>
        </w:tc>
        <w:tc>
          <w:tcPr>
            <w:tcW w:w="2693"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Класс конструктивной пожарной опасности</w:t>
            </w:r>
          </w:p>
        </w:tc>
        <w:tc>
          <w:tcPr>
            <w:tcW w:w="5281"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Минимальное расстояние при степени огнестойкости и классе конструктивной пожарной опасности здания, м</w:t>
            </w:r>
          </w:p>
        </w:tc>
      </w:tr>
      <w:tr>
        <w:trPr/>
        <w:tc>
          <w:tcPr>
            <w:tcW w:w="2472"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2693"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1758"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I, II, III С0</w:t>
            </w:r>
          </w:p>
        </w:tc>
        <w:tc>
          <w:tcPr>
            <w:tcW w:w="1757"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II, III, IV С1</w:t>
            </w:r>
          </w:p>
        </w:tc>
        <w:tc>
          <w:tcPr>
            <w:tcW w:w="17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sz w:val="24"/>
                <w:szCs w:val="24"/>
              </w:rPr>
            </w:pPr>
            <w:r>
              <w:rPr>
                <w:rFonts w:cs="Arial"/>
                <w:sz w:val="24"/>
                <w:szCs w:val="24"/>
              </w:rPr>
              <w:t>IV, V С2, С3</w:t>
            </w:r>
          </w:p>
        </w:tc>
      </w:tr>
      <w:tr>
        <w:trPr/>
        <w:tc>
          <w:tcPr>
            <w:tcW w:w="247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I, II, III</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С0</w:t>
            </w:r>
          </w:p>
        </w:tc>
        <w:tc>
          <w:tcPr>
            <w:tcW w:w="17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6</w:t>
            </w:r>
          </w:p>
        </w:tc>
        <w:tc>
          <w:tcPr>
            <w:tcW w:w="175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8</w:t>
            </w:r>
          </w:p>
        </w:tc>
        <w:tc>
          <w:tcPr>
            <w:tcW w:w="17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r>
      <w:tr>
        <w:trPr/>
        <w:tc>
          <w:tcPr>
            <w:tcW w:w="247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II, III, IV</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С1</w:t>
            </w:r>
          </w:p>
        </w:tc>
        <w:tc>
          <w:tcPr>
            <w:tcW w:w="17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8</w:t>
            </w:r>
          </w:p>
        </w:tc>
        <w:tc>
          <w:tcPr>
            <w:tcW w:w="175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c>
          <w:tcPr>
            <w:tcW w:w="17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12</w:t>
            </w:r>
          </w:p>
        </w:tc>
      </w:tr>
      <w:tr>
        <w:trPr/>
        <w:tc>
          <w:tcPr>
            <w:tcW w:w="247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IV, V</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С2, С3</w:t>
            </w:r>
          </w:p>
        </w:tc>
        <w:tc>
          <w:tcPr>
            <w:tcW w:w="17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c>
          <w:tcPr>
            <w:tcW w:w="175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12</w:t>
            </w:r>
          </w:p>
        </w:tc>
        <w:tc>
          <w:tcPr>
            <w:tcW w:w="176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r>
    </w:tbl>
    <w:p>
      <w:pPr>
        <w:pStyle w:val="ConsPlusNormal2"/>
        <w:ind w:left="0" w:right="0" w:firstLine="540"/>
        <w:jc w:val="both"/>
        <w:rPr>
          <w:rFonts w:cs="Arial"/>
          <w:sz w:val="24"/>
          <w:szCs w:val="24"/>
        </w:rPr>
      </w:pPr>
      <w:r>
        <w:rPr>
          <w:rFonts w:cs="Arial"/>
          <w:sz w:val="24"/>
          <w:szCs w:val="24"/>
        </w:rPr>
      </w:r>
    </w:p>
    <w:p>
      <w:pPr>
        <w:pStyle w:val="ConsPlusNormal2"/>
        <w:ind w:left="0" w:right="0" w:firstLine="540"/>
        <w:jc w:val="both"/>
        <w:rPr>
          <w:rFonts w:cs="Arial"/>
          <w:sz w:val="24"/>
          <w:szCs w:val="24"/>
        </w:rPr>
      </w:pPr>
      <w:r>
        <w:rPr>
          <w:rFonts w:cs="Arial"/>
          <w:sz w:val="24"/>
          <w:szCs w:val="24"/>
        </w:rPr>
        <w:t>Примечания.</w:t>
      </w:r>
    </w:p>
    <w:p>
      <w:pPr>
        <w:pStyle w:val="ConsPlusNormal2"/>
        <w:ind w:left="0" w:right="0" w:firstLine="540"/>
        <w:jc w:val="both"/>
        <w:rPr>
          <w:rFonts w:cs="Arial"/>
          <w:sz w:val="24"/>
          <w:szCs w:val="24"/>
        </w:rPr>
      </w:pPr>
      <w:r>
        <w:rPr>
          <w:rFonts w:cs="Arial"/>
          <w:sz w:val="24"/>
          <w:szCs w:val="24"/>
        </w:rPr>
        <w:t>1. Противопожарные расстояния между зданиями определяются как расстояние между наружными стенами или другими конструкциями зданий, сооружений и строений. При наличии выступающих более чем на 1 метр элементов конструкций, выполненных из горючих материалов, принимается расстояние между этими конструкциями.</w:t>
      </w:r>
    </w:p>
    <w:p>
      <w:pPr>
        <w:pStyle w:val="ConsPlusNormal2"/>
        <w:ind w:left="0" w:right="0" w:firstLine="540"/>
        <w:jc w:val="both"/>
        <w:rPr>
          <w:rFonts w:cs="Arial"/>
          <w:sz w:val="24"/>
          <w:szCs w:val="24"/>
        </w:rPr>
      </w:pPr>
      <w:r>
        <w:rPr>
          <w:rFonts w:cs="Arial"/>
          <w:sz w:val="24"/>
          <w:szCs w:val="24"/>
        </w:rPr>
        <w:t>2. Противопожарные расстояния между зданиями, сооружениями и строениями I и II степеней огнестойкости допускается уменьшать до 3,5 м при условии, если стена более высокого здания, расположенная напротив другого здания, сооружения и строения, является противопожарной 1-го типа.</w:t>
      </w:r>
    </w:p>
    <w:p>
      <w:pPr>
        <w:pStyle w:val="ConsPlusNormal2"/>
        <w:ind w:left="0" w:right="0" w:firstLine="540"/>
        <w:jc w:val="both"/>
        <w:rPr>
          <w:rFonts w:cs="Arial"/>
          <w:sz w:val="24"/>
          <w:szCs w:val="24"/>
        </w:rPr>
      </w:pPr>
      <w:r>
        <w:rPr>
          <w:rFonts w:cs="Arial"/>
          <w:sz w:val="24"/>
          <w:szCs w:val="24"/>
        </w:rPr>
        <w:t>3. Для двухэтажных зданий каркасной и щитовой конструкции V степени огнестойкости, а также зданий, сооружений и строений с кровлями из горючих материалов групп противопожарные расстояния следует увеличивать на 20 процентов.</w:t>
      </w:r>
    </w:p>
    <w:p>
      <w:pPr>
        <w:pStyle w:val="ConsPlusNormal2"/>
        <w:ind w:left="0" w:right="0" w:firstLine="540"/>
        <w:jc w:val="both"/>
        <w:rPr/>
      </w:pPr>
      <w:r>
        <w:rPr>
          <w:rFonts w:cs="Arial"/>
          <w:sz w:val="24"/>
          <w:szCs w:val="24"/>
        </w:rPr>
        <w:t xml:space="preserve">4. Противопожарные расстояния от одно-, двухквартирных жилых домов и хозяйственных построек (сараев, гаражей, бань) на приусадебном земельном участке до жилых домов и хозяйственных построек на соседних земельных участках принимать в соответствии с </w:t>
      </w:r>
      <w:hyperlink w:anchor="P3074">
        <w:r>
          <w:rPr>
            <w:rStyle w:val="Style9"/>
            <w:rFonts w:cs="Arial"/>
            <w:sz w:val="24"/>
            <w:szCs w:val="24"/>
          </w:rPr>
          <w:t>таблицей 14.1</w:t>
        </w:r>
      </w:hyperlink>
      <w:r>
        <w:rPr>
          <w:rFonts w:cs="Arial"/>
          <w:sz w:val="24"/>
          <w:szCs w:val="24"/>
        </w:rPr>
        <w:t>. Допускается уменьшать до 6 метров противопожарные расстояния между указанными типами зданий при условии, что стены зданий, обращенные друг к другу, не имеют оконных проемов, выполнены из негорючих материалов или подвергнуты огнезащите, а кровля и карнизы выполнены из негорючих материалов.</w:t>
      </w:r>
    </w:p>
    <w:p>
      <w:pPr>
        <w:pStyle w:val="ConsPlusNormal2"/>
        <w:ind w:left="0" w:right="0" w:firstLine="540"/>
        <w:jc w:val="both"/>
        <w:rPr>
          <w:rFonts w:cs="Arial"/>
          <w:sz w:val="24"/>
          <w:szCs w:val="24"/>
        </w:rPr>
      </w:pPr>
      <w:r>
        <w:rPr>
          <w:rFonts w:cs="Arial"/>
          <w:sz w:val="24"/>
          <w:szCs w:val="24"/>
        </w:rPr>
        <w:t>Противопожарные расстояния между жилым домом и хозяйственными постройками, а также между хозяйственными постройками в пределах одного садового, дачного или приусадебного земельного участка не нормируются.</w:t>
      </w:r>
    </w:p>
    <w:p>
      <w:pPr>
        <w:pStyle w:val="ConsPlusNormal2"/>
        <w:ind w:left="0" w:right="0" w:firstLine="540"/>
        <w:jc w:val="both"/>
        <w:rPr/>
      </w:pPr>
      <w:r>
        <w:rPr>
          <w:rFonts w:cs="Arial"/>
          <w:sz w:val="24"/>
          <w:szCs w:val="24"/>
        </w:rPr>
        <w:t xml:space="preserve">Допускается группировка и блокировка строений и сооружений на двух соседних участках при однорядной застройке и на четырех соседних участках при двухрядной застройке. При этом противопожарные расстояния между жилыми строениями или жилыми домами в каждой группе не нормируются, а минимальные расстояния между крайними жилыми строениями или жилыми домами групп домов принимаются по </w:t>
      </w:r>
      <w:hyperlink w:anchor="P3074">
        <w:r>
          <w:rPr>
            <w:rStyle w:val="Style9"/>
            <w:rFonts w:cs="Arial"/>
            <w:sz w:val="24"/>
            <w:szCs w:val="24"/>
          </w:rPr>
          <w:t>таблице 14.1</w:t>
        </w:r>
      </w:hyperlink>
      <w:r>
        <w:rPr>
          <w:rFonts w:cs="Arial"/>
          <w:sz w:val="24"/>
          <w:szCs w:val="24"/>
        </w:rPr>
        <w:t>.</w:t>
      </w:r>
    </w:p>
    <w:p>
      <w:pPr>
        <w:pStyle w:val="ConsPlusNormal2"/>
        <w:ind w:left="0" w:right="0" w:firstLine="540"/>
        <w:jc w:val="both"/>
        <w:rPr>
          <w:rFonts w:cs="Arial"/>
          <w:sz w:val="24"/>
          <w:szCs w:val="24"/>
        </w:rPr>
      </w:pPr>
      <w:r>
        <w:rPr>
          <w:rFonts w:cs="Arial"/>
          <w:sz w:val="24"/>
          <w:szCs w:val="24"/>
        </w:rPr>
      </w:r>
    </w:p>
    <w:p>
      <w:pPr>
        <w:pStyle w:val="5551"/>
        <w:rPr>
          <w:rFonts w:ascii="Arial" w:hAnsi="Arial" w:cs="Arial"/>
        </w:rPr>
      </w:pPr>
      <w:r>
        <w:rPr>
          <w:rFonts w:cs="Arial" w:ascii="Arial" w:hAnsi="Arial"/>
        </w:rPr>
        <w:t>14.2.2.</w:t>
        <w:tab/>
        <w:t>При размещении автозаправочных станций на территориях населенных пунктов противопожарные расстояния следует определять от стенок резервуаров (сосудов) для хранения топлива и аварийных резервуаров, наземного оборудования, в котором обращаются топливо и (или) его пары, от дыхательной арматуры подземных резервуаров для хранения топлива и аварийных резервуаров, корпуса топливораздаточной колонки и раздаточных колонок сжиженных углеводородных газов или сжатого природного газа, от границ площадок для автоцистерн и технологических колодцев, от стенок технологического оборудования очистных сооружений, от границ площадок для стоянки транспортных средств и от наружных стен и конструкций зданий, сооружений и строений автозаправочных станций с оборудованием, в котором присутствуют топливо или его пары:</w:t>
      </w:r>
    </w:p>
    <w:p>
      <w:pPr>
        <w:pStyle w:val="ConsPlusNormal2"/>
        <w:ind w:left="0" w:right="0" w:firstLine="540"/>
        <w:jc w:val="both"/>
        <w:rPr>
          <w:rFonts w:cs="Arial"/>
          <w:sz w:val="24"/>
          <w:szCs w:val="24"/>
        </w:rPr>
      </w:pPr>
      <w:r>
        <w:rPr>
          <w:rFonts w:cs="Arial"/>
          <w:sz w:val="24"/>
          <w:szCs w:val="24"/>
        </w:rPr>
        <w:t>1) до границ земельных участков детских дошкольных образовательных учреждений, общеобразовательных учреждений, общеобразовательных учреждений интернатного типа, лечебных учреждений стационарного типа, одноквартирных жилых зданий;</w:t>
      </w:r>
    </w:p>
    <w:p>
      <w:pPr>
        <w:pStyle w:val="ConsPlusNormal2"/>
        <w:ind w:left="0" w:right="0" w:firstLine="540"/>
        <w:jc w:val="both"/>
        <w:rPr>
          <w:rFonts w:cs="Arial"/>
          <w:sz w:val="24"/>
          <w:szCs w:val="24"/>
        </w:rPr>
      </w:pPr>
      <w:r>
        <w:rPr>
          <w:rFonts w:cs="Arial"/>
          <w:sz w:val="24"/>
          <w:szCs w:val="24"/>
        </w:rPr>
        <w:t>2) до окон или дверей (для жилых и общественных зданий).</w:t>
      </w:r>
    </w:p>
    <w:p>
      <w:pPr>
        <w:pStyle w:val="5551"/>
        <w:rPr/>
      </w:pPr>
      <w:r>
        <w:rPr>
          <w:rFonts w:cs="Arial" w:ascii="Arial" w:hAnsi="Arial"/>
        </w:rPr>
        <w:t>14.2.3.</w:t>
        <w:tab/>
        <w:t xml:space="preserve">Противопожарные расстояния от автозаправочных станций моторного топлива до соседних объектов должны соответствовать расстояниям, установленным в </w:t>
      </w:r>
      <w:hyperlink w:anchor="P3119">
        <w:r>
          <w:rPr>
            <w:rStyle w:val="Style9"/>
            <w:rFonts w:cs="Arial" w:ascii="Arial" w:hAnsi="Arial"/>
          </w:rPr>
          <w:t>таблице 14.2</w:t>
        </w:r>
      </w:hyperlink>
      <w:r>
        <w:rPr>
          <w:rFonts w:cs="Arial" w:ascii="Arial" w:hAnsi="Arial"/>
        </w:rPr>
        <w:t>. Общая вместимость надземных резервуаров автозаправочных станций, размещаемых на территориях населенных пунктов, не должна превышать 40 кубических метров.</w:t>
      </w:r>
    </w:p>
    <w:p>
      <w:pPr>
        <w:pStyle w:val="ConsPlusNormal2"/>
        <w:jc w:val="right"/>
        <w:rPr>
          <w:rFonts w:cs="Arial"/>
          <w:sz w:val="24"/>
          <w:szCs w:val="24"/>
        </w:rPr>
      </w:pPr>
      <w:bookmarkStart w:id="49" w:name="P3119"/>
      <w:bookmarkEnd w:id="49"/>
      <w:r>
        <w:rPr>
          <w:rFonts w:cs="Arial"/>
          <w:sz w:val="24"/>
          <w:szCs w:val="24"/>
        </w:rPr>
        <w:t>Таблица 14.2</w:t>
      </w:r>
    </w:p>
    <w:tbl>
      <w:tblPr>
        <w:tblW w:w="10419"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3890"/>
        <w:gridCol w:w="2693"/>
        <w:gridCol w:w="1924"/>
        <w:gridCol w:w="1912"/>
      </w:tblGrid>
      <w:tr>
        <w:trPr/>
        <w:tc>
          <w:tcPr>
            <w:tcW w:w="3890"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Наименование объектов, до которых определяются противопожарные расстояния</w:t>
            </w:r>
          </w:p>
        </w:tc>
        <w:tc>
          <w:tcPr>
            <w:tcW w:w="2693"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Противопожарные расстояния от автозаправочных станций с подземными резервуарами, метров</w:t>
            </w:r>
          </w:p>
        </w:tc>
        <w:tc>
          <w:tcPr>
            <w:tcW w:w="383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Противопожарные расстояния от автозаправочных станций с наземными резервуарами, метров</w:t>
            </w:r>
          </w:p>
        </w:tc>
      </w:tr>
      <w:tr>
        <w:trPr/>
        <w:tc>
          <w:tcPr>
            <w:tcW w:w="3890"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2693"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общей вместимостью более 20 кубических метров</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общей вместимостью не более 20 кубических метров</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3</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4</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Производственные, складские и административно-бытовые здания, сооружения и строения промышленных организаций</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r>
      <w:tr>
        <w:trPr>
          <w:trHeight w:val="265" w:hRule="atLeast"/>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Лесные массивы</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napToGrid w:val="false"/>
              <w:rPr>
                <w:rFonts w:cs="Arial"/>
                <w:sz w:val="24"/>
                <w:szCs w:val="24"/>
              </w:rPr>
            </w:pPr>
            <w:r>
              <w:rPr>
                <w:rFonts w:cs="Arial"/>
                <w:sz w:val="24"/>
                <w:szCs w:val="24"/>
              </w:rPr>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napToGrid w:val="false"/>
              <w:rPr>
                <w:rFonts w:cs="Arial"/>
                <w:sz w:val="24"/>
                <w:szCs w:val="24"/>
              </w:rPr>
            </w:pPr>
            <w:r>
              <w:rPr>
                <w:rFonts w:cs="Arial"/>
                <w:sz w:val="24"/>
                <w:szCs w:val="24"/>
              </w:rPr>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napToGrid w:val="false"/>
              <w:rPr>
                <w:rFonts w:cs="Arial"/>
                <w:sz w:val="24"/>
                <w:szCs w:val="24"/>
              </w:rPr>
            </w:pPr>
            <w:r>
              <w:rPr>
                <w:rFonts w:cs="Arial"/>
                <w:sz w:val="24"/>
                <w:szCs w:val="24"/>
              </w:rPr>
            </w:r>
          </w:p>
        </w:tc>
      </w:tr>
      <w:tr>
        <w:trPr>
          <w:trHeight w:val="202" w:hRule="atLeast"/>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хвойных и смешанных пород</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40</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30</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лиственных пород</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12</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Жилые и общественные здания</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40</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Места массового пребывания людей</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Индивидуальные гаражи и открытые стоянки для автомобилей</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18</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30</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Торговые киоски</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Автомобильные дороги общей сети</w:t>
            </w:r>
          </w:p>
          <w:p>
            <w:pPr>
              <w:pStyle w:val="ConsPlusNormal2"/>
              <w:jc w:val="both"/>
              <w:rPr>
                <w:rFonts w:cs="Arial"/>
                <w:sz w:val="24"/>
                <w:szCs w:val="24"/>
              </w:rPr>
            </w:pPr>
            <w:r>
              <w:rPr>
                <w:rFonts w:cs="Arial"/>
                <w:sz w:val="24"/>
                <w:szCs w:val="24"/>
              </w:rPr>
              <w:t>(край проезжей части)</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napToGrid w:val="false"/>
              <w:rPr>
                <w:rFonts w:cs="Arial"/>
                <w:sz w:val="24"/>
                <w:szCs w:val="24"/>
              </w:rPr>
            </w:pPr>
            <w:r>
              <w:rPr>
                <w:rFonts w:cs="Arial"/>
                <w:sz w:val="24"/>
                <w:szCs w:val="24"/>
              </w:rPr>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napToGrid w:val="false"/>
              <w:rPr>
                <w:rFonts w:cs="Arial"/>
                <w:sz w:val="24"/>
                <w:szCs w:val="24"/>
              </w:rPr>
            </w:pPr>
            <w:r>
              <w:rPr>
                <w:rFonts w:cs="Arial"/>
                <w:sz w:val="24"/>
                <w:szCs w:val="24"/>
              </w:rPr>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napToGrid w:val="false"/>
              <w:rPr>
                <w:rFonts w:cs="Arial"/>
                <w:sz w:val="24"/>
                <w:szCs w:val="24"/>
              </w:rPr>
            </w:pPr>
            <w:r>
              <w:rPr>
                <w:rFonts w:cs="Arial"/>
                <w:sz w:val="24"/>
                <w:szCs w:val="24"/>
              </w:rPr>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I, II и III категорий</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12</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IV и V категорий</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9</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12</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9</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Очистные канализационные сооружения и насосные станции, не относящиеся к автозаправочным станциям</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30</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Технологические установки категории АН, БН, ГН, здания и сооружения с наличием радиоактивных и вредных веществ I и II классов опасности</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100</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w:t>
            </w:r>
          </w:p>
        </w:tc>
      </w:tr>
      <w:tr>
        <w:trPr/>
        <w:tc>
          <w:tcPr>
            <w:tcW w:w="38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Склады лесных материалов, торфа, сена, волокнистых горючих веществ, соломы, а также участки открытого залегания торфа</w:t>
            </w:r>
          </w:p>
        </w:tc>
        <w:tc>
          <w:tcPr>
            <w:tcW w:w="269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c>
          <w:tcPr>
            <w:tcW w:w="192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40</w:t>
            </w:r>
          </w:p>
        </w:tc>
        <w:tc>
          <w:tcPr>
            <w:tcW w:w="191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30</w:t>
            </w:r>
          </w:p>
        </w:tc>
      </w:tr>
    </w:tbl>
    <w:p>
      <w:pPr>
        <w:pStyle w:val="ConsPlusNormal2"/>
        <w:ind w:left="0" w:right="0" w:firstLine="540"/>
        <w:jc w:val="both"/>
        <w:rPr>
          <w:rFonts w:cs="Arial"/>
          <w:sz w:val="24"/>
          <w:szCs w:val="24"/>
        </w:rPr>
      </w:pPr>
      <w:r>
        <w:rPr>
          <w:rFonts w:cs="Arial"/>
          <w:sz w:val="24"/>
          <w:szCs w:val="24"/>
        </w:rPr>
        <w:t>Примечания:</w:t>
      </w:r>
    </w:p>
    <w:p>
      <w:pPr>
        <w:pStyle w:val="ConsPlusNormal2"/>
        <w:ind w:left="0" w:right="0" w:firstLine="540"/>
        <w:jc w:val="both"/>
        <w:rPr>
          <w:rFonts w:cs="Arial"/>
          <w:sz w:val="24"/>
          <w:szCs w:val="24"/>
        </w:rPr>
      </w:pPr>
      <w:r>
        <w:rPr>
          <w:rFonts w:cs="Arial"/>
          <w:sz w:val="24"/>
          <w:szCs w:val="24"/>
        </w:rPr>
        <w:t>1. При размещении автозаправочных станций вблизи посадок сельскохозяйственных культур, по которым возможно распространение пламени, вдоль прилегающих к посадкам границ автозаправочных станций должны предусматриваться наземное покрытие, выполненное из материалов, не распространяющих пламя по своей поверхности, или вспаханная полоса земли шириной не менее 5 метров.</w:t>
      </w:r>
    </w:p>
    <w:p>
      <w:pPr>
        <w:pStyle w:val="ConsPlusNormal2"/>
        <w:ind w:left="0" w:right="0" w:firstLine="540"/>
        <w:jc w:val="both"/>
        <w:rPr>
          <w:rFonts w:cs="Arial"/>
          <w:sz w:val="24"/>
          <w:szCs w:val="24"/>
        </w:rPr>
      </w:pPr>
      <w:r>
        <w:rPr>
          <w:rFonts w:cs="Arial"/>
          <w:sz w:val="24"/>
          <w:szCs w:val="24"/>
        </w:rPr>
        <w:t>2. Противопожарные расстояния от автозаправочных станций с подземными резервуарами для хранения жидкого топлива до границ земельных участков детских дошкольных образовательных учреждений, общеобразовательных учреждений, образовательных учреждений интернатного типа, лечебных учреждений стационарного типа должны составлять не менее 50 метров.</w:t>
      </w:r>
    </w:p>
    <w:p>
      <w:pPr>
        <w:pStyle w:val="ConsPlusNormal2"/>
        <w:ind w:left="0" w:right="0" w:firstLine="540"/>
        <w:jc w:val="both"/>
        <w:rPr>
          <w:rFonts w:cs="Arial"/>
          <w:sz w:val="24"/>
          <w:szCs w:val="24"/>
        </w:rPr>
      </w:pPr>
      <w:r>
        <w:rPr>
          <w:rFonts w:cs="Arial"/>
          <w:sz w:val="24"/>
          <w:szCs w:val="24"/>
        </w:rPr>
      </w:r>
    </w:p>
    <w:p>
      <w:pPr>
        <w:pStyle w:val="5551"/>
        <w:rPr>
          <w:rFonts w:ascii="Arial" w:hAnsi="Arial" w:cs="Arial"/>
        </w:rPr>
      </w:pPr>
      <w:r>
        <w:rPr>
          <w:rFonts w:cs="Arial" w:ascii="Arial" w:hAnsi="Arial"/>
        </w:rPr>
        <w:t>14.2.4.</w:t>
        <w:tab/>
        <w:t xml:space="preserve">Противопожарные расстояния от жилых и общественных зданий до отдельно стоящих трансформаторных подстанций следует принимать в соответствии с правилами устройства электроустановок (далее - ПУЭ). </w:t>
      </w:r>
    </w:p>
    <w:p>
      <w:pPr>
        <w:pStyle w:val="5551"/>
        <w:rPr>
          <w:rFonts w:ascii="Arial" w:hAnsi="Arial" w:cs="Arial"/>
        </w:rPr>
      </w:pPr>
      <w:r>
        <w:rPr>
          <w:rFonts w:cs="Arial" w:ascii="Arial" w:hAnsi="Arial"/>
        </w:rPr>
        <w:t>14.2.5.</w:t>
        <w:tab/>
        <w:t>Противопожарные расстояния от коллективных наземных и наземно-подземных гаражей, открытых организованных автостоянок и станций технического обслуживания автомобилей до жилых домов и общественных зданий, сооружений и строений, а также до земельных участков детских дошкольных образовательных учреждений, общеобразовательных учреждений и лечебных учреждений стационарного типа должны составлять не менее расстояний, приведенных в таблице 14.3.</w:t>
      </w:r>
    </w:p>
    <w:p>
      <w:pPr>
        <w:pStyle w:val="ConsPlusNormal2"/>
        <w:jc w:val="right"/>
        <w:rPr>
          <w:rFonts w:cs="Arial"/>
          <w:sz w:val="24"/>
          <w:szCs w:val="24"/>
        </w:rPr>
      </w:pPr>
      <w:r>
        <w:rPr>
          <w:rFonts w:cs="Arial"/>
          <w:sz w:val="24"/>
          <w:szCs w:val="24"/>
        </w:rPr>
        <w:t>Таблица 14.3</w:t>
      </w:r>
    </w:p>
    <w:tbl>
      <w:tblPr>
        <w:tblW w:w="10419"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3322"/>
        <w:gridCol w:w="1175"/>
        <w:gridCol w:w="1191"/>
        <w:gridCol w:w="1190"/>
        <w:gridCol w:w="1176"/>
        <w:gridCol w:w="1191"/>
        <w:gridCol w:w="1174"/>
      </w:tblGrid>
      <w:tr>
        <w:trPr>
          <w:trHeight w:val="258" w:hRule="atLeast"/>
        </w:trPr>
        <w:tc>
          <w:tcPr>
            <w:tcW w:w="3322"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Здания, до которых определяются противопожарные расстояния</w:t>
            </w:r>
          </w:p>
        </w:tc>
        <w:tc>
          <w:tcPr>
            <w:tcW w:w="7097" w:type="dxa"/>
            <w:gridSpan w:val="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Противопожарные расстояния до соседних зданий, метров</w:t>
            </w:r>
          </w:p>
        </w:tc>
      </w:tr>
      <w:tr>
        <w:trPr>
          <w:trHeight w:val="1327" w:hRule="atLeast"/>
        </w:trPr>
        <w:tc>
          <w:tcPr>
            <w:tcW w:w="3322"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4732" w:type="dxa"/>
            <w:gridSpan w:val="4"/>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от коллективных гаражей и открытых автостоянок при числе легковых автомобилей</w:t>
            </w:r>
          </w:p>
        </w:tc>
        <w:tc>
          <w:tcPr>
            <w:tcW w:w="2365"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от станций технического обслуживания автомобилей при числе постов</w:t>
            </w:r>
          </w:p>
        </w:tc>
      </w:tr>
      <w:tr>
        <w:trPr/>
        <w:tc>
          <w:tcPr>
            <w:tcW w:w="3322"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1175"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10 и менее</w:t>
            </w:r>
          </w:p>
        </w:tc>
        <w:tc>
          <w:tcPr>
            <w:tcW w:w="1191"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11 - 50</w:t>
            </w:r>
          </w:p>
        </w:tc>
        <w:tc>
          <w:tcPr>
            <w:tcW w:w="1190"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51 - 100</w:t>
            </w:r>
          </w:p>
        </w:tc>
        <w:tc>
          <w:tcPr>
            <w:tcW w:w="1176"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101 - 300</w:t>
            </w:r>
          </w:p>
        </w:tc>
        <w:tc>
          <w:tcPr>
            <w:tcW w:w="1191"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10 и менее</w:t>
            </w:r>
          </w:p>
        </w:tc>
        <w:tc>
          <w:tcPr>
            <w:tcW w:w="117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sz w:val="24"/>
                <w:szCs w:val="24"/>
              </w:rPr>
            </w:pPr>
            <w:r>
              <w:rPr>
                <w:rFonts w:cs="Arial"/>
                <w:sz w:val="24"/>
                <w:szCs w:val="24"/>
              </w:rPr>
              <w:t>11 - 30</w:t>
            </w:r>
          </w:p>
        </w:tc>
      </w:tr>
      <w:tr>
        <w:trPr/>
        <w:tc>
          <w:tcPr>
            <w:tcW w:w="332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Общественные здания</w:t>
            </w:r>
          </w:p>
        </w:tc>
        <w:tc>
          <w:tcPr>
            <w:tcW w:w="117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 xml:space="preserve">10 (12) </w:t>
            </w:r>
            <w:hyperlink w:anchor="P3234">
              <w:r>
                <w:rPr>
                  <w:rStyle w:val="Style9"/>
                  <w:rFonts w:cs="Arial"/>
                  <w:color w:val="0000FF"/>
                  <w:sz w:val="24"/>
                  <w:szCs w:val="24"/>
                </w:rPr>
                <w:t>&lt;*&gt;</w:t>
              </w:r>
            </w:hyperlink>
          </w:p>
        </w:tc>
        <w:tc>
          <w:tcPr>
            <w:tcW w:w="119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10 (12)</w:t>
            </w:r>
          </w:p>
        </w:tc>
        <w:tc>
          <w:tcPr>
            <w:tcW w:w="11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c>
          <w:tcPr>
            <w:tcW w:w="1176"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c>
          <w:tcPr>
            <w:tcW w:w="119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c>
          <w:tcPr>
            <w:tcW w:w="117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r>
      <w:tr>
        <w:trPr>
          <w:trHeight w:val="762" w:hRule="atLeast"/>
        </w:trPr>
        <w:tc>
          <w:tcPr>
            <w:tcW w:w="332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Границы земельных участков общеобразовательных учреждений</w:t>
            </w:r>
          </w:p>
        </w:tc>
        <w:tc>
          <w:tcPr>
            <w:tcW w:w="117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c>
          <w:tcPr>
            <w:tcW w:w="119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c>
          <w:tcPr>
            <w:tcW w:w="11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c>
          <w:tcPr>
            <w:tcW w:w="1176"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c>
          <w:tcPr>
            <w:tcW w:w="119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c>
          <w:tcPr>
            <w:tcW w:w="117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r>
      <w:tr>
        <w:trPr/>
        <w:tc>
          <w:tcPr>
            <w:tcW w:w="332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Границы земельных участков лечебных учреждений стационарного типа</w:t>
            </w:r>
          </w:p>
        </w:tc>
        <w:tc>
          <w:tcPr>
            <w:tcW w:w="117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c>
          <w:tcPr>
            <w:tcW w:w="119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c>
          <w:tcPr>
            <w:tcW w:w="119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c>
          <w:tcPr>
            <w:tcW w:w="1176"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c>
          <w:tcPr>
            <w:tcW w:w="119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c>
          <w:tcPr>
            <w:tcW w:w="117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r>
    </w:tbl>
    <w:p>
      <w:pPr>
        <w:pStyle w:val="ConsPlusNormal2"/>
        <w:ind w:left="0" w:right="0" w:firstLine="540"/>
        <w:jc w:val="both"/>
        <w:rPr>
          <w:rFonts w:cs="Arial"/>
          <w:sz w:val="24"/>
          <w:szCs w:val="24"/>
        </w:rPr>
      </w:pPr>
      <w:bookmarkStart w:id="50" w:name="P3234"/>
      <w:bookmarkEnd w:id="50"/>
      <w:r>
        <w:rPr>
          <w:rFonts w:cs="Arial"/>
          <w:sz w:val="24"/>
          <w:szCs w:val="24"/>
        </w:rPr>
        <w:t>&lt;*&gt; В скобках указаны значения для гаражей III и IV степеней огнестойкости.</w:t>
      </w:r>
    </w:p>
    <w:p>
      <w:pPr>
        <w:pStyle w:val="ConsPlusNormal2"/>
        <w:ind w:left="0" w:right="0" w:firstLine="540"/>
        <w:jc w:val="both"/>
        <w:rPr>
          <w:rFonts w:cs="Arial"/>
          <w:sz w:val="24"/>
          <w:szCs w:val="24"/>
        </w:rPr>
      </w:pPr>
      <w:r>
        <w:rPr>
          <w:rFonts w:cs="Arial"/>
          <w:sz w:val="24"/>
          <w:szCs w:val="24"/>
        </w:rPr>
        <w:t>Примечания:</w:t>
      </w:r>
    </w:p>
    <w:p>
      <w:pPr>
        <w:pStyle w:val="ConsPlusNormal2"/>
        <w:ind w:left="0" w:right="0" w:firstLine="540"/>
        <w:jc w:val="both"/>
        <w:rPr>
          <w:rFonts w:cs="Arial"/>
          <w:sz w:val="24"/>
          <w:szCs w:val="24"/>
        </w:rPr>
      </w:pPr>
      <w:r>
        <w:rPr>
          <w:rFonts w:cs="Arial"/>
          <w:sz w:val="24"/>
          <w:szCs w:val="24"/>
        </w:rPr>
        <w:t>1. Противопожарные расстояния следует определять от окон жилых домов и общественных зданий, сооружений и строений и от границ земельных участков детских дошкольных образовательных учреждений, общеобразовательных учреждений и лечебных учреждений стационарного типа до стен гаража или границ открытой стоянки.</w:t>
      </w:r>
    </w:p>
    <w:p>
      <w:pPr>
        <w:pStyle w:val="ConsPlusNormal2"/>
        <w:ind w:left="0" w:right="0" w:firstLine="540"/>
        <w:jc w:val="both"/>
        <w:rPr>
          <w:rFonts w:cs="Arial"/>
          <w:sz w:val="24"/>
          <w:szCs w:val="24"/>
        </w:rPr>
      </w:pPr>
      <w:r>
        <w:rPr>
          <w:rFonts w:cs="Arial"/>
          <w:sz w:val="24"/>
          <w:szCs w:val="24"/>
        </w:rPr>
        <w:t>2. Противопожарные расстояния от секционных жилых домов до открытых площадок, размещаемых вдоль продольных фасадов, вместимостью 101 - 300 машин должны составлять не менее 50 метров.</w:t>
      </w:r>
    </w:p>
    <w:p>
      <w:pPr>
        <w:pStyle w:val="ConsPlusNormal2"/>
        <w:ind w:left="0" w:right="0" w:firstLine="540"/>
        <w:jc w:val="both"/>
        <w:rPr>
          <w:rFonts w:cs="Arial"/>
          <w:sz w:val="24"/>
          <w:szCs w:val="24"/>
        </w:rPr>
      </w:pPr>
      <w:r>
        <w:rPr>
          <w:rFonts w:cs="Arial"/>
          <w:sz w:val="24"/>
          <w:szCs w:val="24"/>
        </w:rPr>
        <w:t>3. Для гаражей I и II степеней огнестойкости указанные расстояния допускается уменьшать на 25 процентов при отсутствии в гаражах открывающихся окон, а также въездов, ориентированных в сторону жилых домов и общественных зданий.</w:t>
      </w:r>
    </w:p>
    <w:p>
      <w:pPr>
        <w:pStyle w:val="ConsPlusNormal2"/>
        <w:ind w:left="0" w:right="0" w:firstLine="540"/>
        <w:jc w:val="both"/>
        <w:rPr>
          <w:rFonts w:cs="Arial"/>
          <w:sz w:val="24"/>
          <w:szCs w:val="24"/>
        </w:rPr>
      </w:pPr>
      <w:r>
        <w:rPr>
          <w:rFonts w:cs="Arial"/>
          <w:sz w:val="24"/>
          <w:szCs w:val="24"/>
        </w:rPr>
      </w:r>
    </w:p>
    <w:p>
      <w:pPr>
        <w:pStyle w:val="555551"/>
        <w:rPr>
          <w:rFonts w:ascii="Arial" w:hAnsi="Arial" w:cs="Arial"/>
        </w:rPr>
      </w:pPr>
      <w:bookmarkStart w:id="51" w:name="__RefHeading___Toc494193941"/>
      <w:bookmarkEnd w:id="51"/>
      <w:r>
        <w:rPr>
          <w:rFonts w:cs="Arial" w:ascii="Arial" w:hAnsi="Arial"/>
        </w:rPr>
        <w:t>14.3. Нормативные требования к проездам пожарных машин к зданиям и сооружениям</w:t>
      </w:r>
    </w:p>
    <w:p>
      <w:pPr>
        <w:pStyle w:val="5551"/>
        <w:rPr>
          <w:rFonts w:ascii="Arial" w:hAnsi="Arial" w:cs="Arial"/>
        </w:rPr>
      </w:pPr>
      <w:r>
        <w:rPr>
          <w:rFonts w:cs="Arial" w:ascii="Arial" w:hAnsi="Arial"/>
        </w:rPr>
        <w:t>14.3.1.</w:t>
        <w:tab/>
        <w:t>При проектировании проездов и пешеходных путей необходимо обеспечивать возможность подъезда пожарных машин к жилым и общественным зданиям и доступа личного состава подразделений пожарной охраны в любое помещение.</w:t>
      </w:r>
    </w:p>
    <w:p>
      <w:pPr>
        <w:pStyle w:val="ConsPlusNormal2"/>
        <w:ind w:left="0" w:right="0" w:firstLine="540"/>
        <w:jc w:val="both"/>
        <w:rPr>
          <w:rFonts w:cs="Arial"/>
          <w:sz w:val="24"/>
          <w:szCs w:val="24"/>
        </w:rPr>
      </w:pPr>
      <w:r>
        <w:rPr>
          <w:rFonts w:cs="Arial"/>
          <w:sz w:val="24"/>
          <w:szCs w:val="24"/>
        </w:rPr>
        <w:t>Подъезд пожарных автомобилей должен быть обеспечен к общественным и жилым зданиям, сооружениям и строениям:</w:t>
      </w:r>
    </w:p>
    <w:p>
      <w:pPr>
        <w:pStyle w:val="ConsPlusNormal2"/>
        <w:ind w:left="0" w:right="0" w:firstLine="540"/>
        <w:jc w:val="both"/>
        <w:rPr>
          <w:rFonts w:cs="Arial"/>
          <w:sz w:val="24"/>
          <w:szCs w:val="24"/>
        </w:rPr>
      </w:pPr>
      <w:r>
        <w:rPr>
          <w:rFonts w:cs="Arial"/>
          <w:sz w:val="24"/>
          <w:szCs w:val="24"/>
        </w:rPr>
        <w:t>- со всех сторон - к односекционным зданиям многоквартирных жилых домов, общеобразовательных учреждений, детских дошкольных образовательных учреждений, лечебных учреждений со стационаром, научных и проектных организаций, органов управления учреждений.</w:t>
      </w:r>
    </w:p>
    <w:p>
      <w:pPr>
        <w:pStyle w:val="ConsPlusNormal2"/>
        <w:ind w:left="0" w:right="0" w:firstLine="540"/>
        <w:jc w:val="both"/>
        <w:rPr>
          <w:rFonts w:cs="Arial"/>
          <w:sz w:val="24"/>
          <w:szCs w:val="24"/>
        </w:rPr>
      </w:pPr>
      <w:r>
        <w:rPr>
          <w:rFonts w:cs="Arial"/>
          <w:sz w:val="24"/>
          <w:szCs w:val="24"/>
        </w:rPr>
        <w:t>К зданиям, сооружениям и строениям производственных объектов по всей их длине должен быть обеспечен подъезд пожарных автомобилей:</w:t>
      </w:r>
    </w:p>
    <w:p>
      <w:pPr>
        <w:pStyle w:val="ConsPlusNormal2"/>
        <w:ind w:left="0" w:right="0" w:firstLine="540"/>
        <w:jc w:val="both"/>
        <w:rPr>
          <w:rFonts w:cs="Arial"/>
          <w:sz w:val="24"/>
          <w:szCs w:val="24"/>
        </w:rPr>
      </w:pPr>
      <w:r>
        <w:rPr>
          <w:rFonts w:cs="Arial"/>
          <w:sz w:val="24"/>
          <w:szCs w:val="24"/>
        </w:rPr>
        <w:t>- с одной стороны - при ширине здания, сооружения или строения не более 18 метров;</w:t>
      </w:r>
    </w:p>
    <w:p>
      <w:pPr>
        <w:pStyle w:val="ConsPlusNormal2"/>
        <w:ind w:left="0" w:right="0" w:firstLine="540"/>
        <w:jc w:val="both"/>
        <w:rPr>
          <w:rFonts w:cs="Arial"/>
          <w:sz w:val="24"/>
          <w:szCs w:val="24"/>
        </w:rPr>
      </w:pPr>
      <w:r>
        <w:rPr>
          <w:rFonts w:cs="Arial"/>
          <w:sz w:val="24"/>
          <w:szCs w:val="24"/>
        </w:rPr>
        <w:t>- с двух сторон - при ширине здания, сооружения или строения более 18 метров, а также при устройстве замкнутых и полузамкнутых дворов.</w:t>
      </w:r>
    </w:p>
    <w:p>
      <w:pPr>
        <w:pStyle w:val="ConsPlusNormal2"/>
        <w:ind w:left="0" w:right="0" w:firstLine="540"/>
        <w:jc w:val="both"/>
        <w:rPr>
          <w:rFonts w:cs="Arial"/>
          <w:sz w:val="24"/>
          <w:szCs w:val="24"/>
        </w:rPr>
      </w:pPr>
      <w:r>
        <w:rPr>
          <w:rFonts w:cs="Arial"/>
          <w:sz w:val="24"/>
          <w:szCs w:val="24"/>
        </w:rPr>
        <w:t>Допускается предусматривать подъезд для пожарных машин только с одной стороны здания в случаях, если:</w:t>
      </w:r>
    </w:p>
    <w:p>
      <w:pPr>
        <w:pStyle w:val="ConsPlusNormal2"/>
        <w:ind w:left="0" w:right="0" w:firstLine="540"/>
        <w:jc w:val="both"/>
        <w:rPr>
          <w:rFonts w:cs="Arial"/>
          <w:sz w:val="24"/>
          <w:szCs w:val="24"/>
        </w:rPr>
      </w:pPr>
      <w:r>
        <w:rPr>
          <w:rFonts w:cs="Arial"/>
          <w:sz w:val="24"/>
          <w:szCs w:val="24"/>
        </w:rPr>
        <w:t>- пожарный подъезд предусматривается к многоквартирным жилым домам высотой менее 28 метров (менее 9 этажей), к иным зданиям для постоянного проживания и временного пребывания людей, зданиям зрелищных и культурно-просветительных учреждений, организаций по обслуживанию населения, общеобразовательных учреждений, лечебных учреждений стационарного типа, научных и проектных организаций, органов управления учреждений высотой менее 18 метров (менее 6 этажей);</w:t>
      </w:r>
    </w:p>
    <w:p>
      <w:pPr>
        <w:pStyle w:val="ConsPlusNormal2"/>
        <w:ind w:left="0" w:right="0" w:firstLine="540"/>
        <w:jc w:val="both"/>
        <w:rPr>
          <w:rFonts w:cs="Arial"/>
          <w:sz w:val="24"/>
          <w:szCs w:val="24"/>
        </w:rPr>
      </w:pPr>
      <w:r>
        <w:rPr>
          <w:rFonts w:cs="Arial"/>
          <w:sz w:val="24"/>
          <w:szCs w:val="24"/>
        </w:rPr>
        <w:t>- предусмотрена двусторонняя ориентация квартир или помещений здания;</w:t>
      </w:r>
    </w:p>
    <w:p>
      <w:pPr>
        <w:pStyle w:val="ConsPlusNormal2"/>
        <w:ind w:left="0" w:right="0" w:firstLine="540"/>
        <w:jc w:val="both"/>
        <w:rPr>
          <w:rFonts w:cs="Arial"/>
          <w:sz w:val="24"/>
          <w:szCs w:val="24"/>
        </w:rPr>
      </w:pPr>
      <w:r>
        <w:rPr>
          <w:rFonts w:cs="Arial"/>
          <w:sz w:val="24"/>
          <w:szCs w:val="24"/>
        </w:rPr>
        <w:t>- предусмотрено устройство наружных открытых лестниц, связывающих лоджии и балконы смежных этажей между собой, или лестниц 3-го типа при коридорной планировке здания.</w:t>
      </w:r>
    </w:p>
    <w:p>
      <w:pPr>
        <w:pStyle w:val="5551"/>
        <w:rPr>
          <w:rFonts w:ascii="Arial" w:hAnsi="Arial" w:cs="Arial"/>
        </w:rPr>
      </w:pPr>
      <w:r>
        <w:rPr>
          <w:rFonts w:cs="Arial" w:ascii="Arial" w:hAnsi="Arial"/>
        </w:rPr>
        <w:t>14.3.2.</w:t>
        <w:tab/>
        <w:t>Ширина проездов для пожарной техники должна составлять не менее 6 метров.</w:t>
      </w:r>
    </w:p>
    <w:p>
      <w:pPr>
        <w:pStyle w:val="ConsPlusNormal2"/>
        <w:ind w:left="0" w:right="0" w:firstLine="540"/>
        <w:jc w:val="both"/>
        <w:rPr>
          <w:rFonts w:cs="Arial"/>
          <w:sz w:val="24"/>
          <w:szCs w:val="24"/>
        </w:rPr>
      </w:pPr>
      <w:r>
        <w:rPr>
          <w:rFonts w:cs="Arial"/>
          <w:sz w:val="24"/>
          <w:szCs w:val="24"/>
        </w:rPr>
        <w:t>Конструкция дорожного покрытия проездов для пожарной техники должна проектироваться с учетом расчетной нагрузки от пожарных автомобилей.</w:t>
      </w:r>
    </w:p>
    <w:p>
      <w:pPr>
        <w:pStyle w:val="ConsPlusNormal2"/>
        <w:ind w:left="0" w:right="0" w:firstLine="540"/>
        <w:jc w:val="both"/>
        <w:rPr>
          <w:rFonts w:cs="Arial"/>
          <w:sz w:val="24"/>
          <w:szCs w:val="24"/>
        </w:rPr>
      </w:pPr>
      <w:r>
        <w:rPr>
          <w:rFonts w:cs="Arial"/>
          <w:sz w:val="24"/>
          <w:szCs w:val="24"/>
        </w:rPr>
        <w:t>В общую ширину противопожарного проезда, совмещенного с основным подъездом к зданию, допускается включать тротуар, примыкающий к проезду. В этом случае конструкция покрытия тротуара должна соответствовать конструкции дорожного покрытия противопожарного проезда.</w:t>
      </w:r>
    </w:p>
    <w:p>
      <w:pPr>
        <w:pStyle w:val="ConsPlusNormal2"/>
        <w:ind w:left="0" w:right="0" w:firstLine="540"/>
        <w:jc w:val="both"/>
        <w:rPr>
          <w:rFonts w:cs="Arial"/>
          <w:sz w:val="24"/>
          <w:szCs w:val="24"/>
        </w:rPr>
      </w:pPr>
      <w:r>
        <w:rPr>
          <w:rFonts w:cs="Arial"/>
          <w:sz w:val="24"/>
          <w:szCs w:val="24"/>
        </w:rPr>
        <w:t>Расстояние от внутреннего края подъезда до стены здания, сооружения и строения должно быть:</w:t>
      </w:r>
    </w:p>
    <w:p>
      <w:pPr>
        <w:pStyle w:val="ConsPlusNormal2"/>
        <w:ind w:left="0" w:right="0" w:firstLine="540"/>
        <w:jc w:val="both"/>
        <w:rPr>
          <w:rFonts w:cs="Arial"/>
          <w:sz w:val="24"/>
          <w:szCs w:val="24"/>
        </w:rPr>
      </w:pPr>
      <w:r>
        <w:rPr>
          <w:rFonts w:cs="Arial"/>
          <w:sz w:val="24"/>
          <w:szCs w:val="24"/>
        </w:rPr>
        <w:t>- для зданий высотой не более 28 м - не более 8 м.</w:t>
      </w:r>
    </w:p>
    <w:p>
      <w:pPr>
        <w:pStyle w:val="ConsPlusNormal2"/>
        <w:ind w:left="0" w:right="0" w:firstLine="540"/>
        <w:jc w:val="both"/>
        <w:rPr>
          <w:rFonts w:cs="Arial"/>
          <w:sz w:val="24"/>
          <w:szCs w:val="24"/>
        </w:rPr>
      </w:pPr>
      <w:r>
        <w:rPr>
          <w:rFonts w:cs="Arial"/>
          <w:sz w:val="24"/>
          <w:szCs w:val="24"/>
        </w:rPr>
        <w:t>В этой зоне не допускается размещать ограждения, воздушные линии электропередачи и осуществлять рядовую посадку деревьев (3 и более деревьев, посаженных в один ряд на расстоянии до 5 м между ними).</w:t>
      </w:r>
    </w:p>
    <w:p>
      <w:pPr>
        <w:pStyle w:val="ConsPlusNormal2"/>
        <w:ind w:left="0" w:right="0" w:firstLine="540"/>
        <w:jc w:val="both"/>
        <w:rPr>
          <w:rFonts w:cs="Arial"/>
          <w:sz w:val="24"/>
          <w:szCs w:val="24"/>
        </w:rPr>
      </w:pPr>
      <w:r>
        <w:rPr>
          <w:rFonts w:cs="Arial"/>
          <w:sz w:val="24"/>
          <w:szCs w:val="24"/>
        </w:rPr>
        <w:t>В замкнутых и полузамкнутых дворах необходимо предусматривать проезды для пожарных автомобилей.</w:t>
      </w:r>
    </w:p>
    <w:p>
      <w:pPr>
        <w:pStyle w:val="ConsPlusNormal2"/>
        <w:ind w:left="0" w:right="0" w:firstLine="540"/>
        <w:jc w:val="both"/>
        <w:rPr>
          <w:rFonts w:cs="Arial"/>
          <w:sz w:val="24"/>
          <w:szCs w:val="24"/>
        </w:rPr>
      </w:pPr>
      <w:r>
        <w:rPr>
          <w:rFonts w:cs="Arial"/>
          <w:sz w:val="24"/>
          <w:szCs w:val="24"/>
        </w:rPr>
        <w:t>Тупиковые проезды должны заканчиваться площадками для разворота пожарной техники размерами не менее чем 15 м x 15 м. Максимальная протяженность тупикового проезда не должна превышать 150 метров.</w:t>
      </w:r>
    </w:p>
    <w:p>
      <w:pPr>
        <w:pStyle w:val="ConsPlusNormal2"/>
        <w:ind w:left="0" w:right="0" w:firstLine="540"/>
        <w:jc w:val="both"/>
        <w:rPr>
          <w:rFonts w:cs="Arial"/>
          <w:sz w:val="24"/>
          <w:szCs w:val="24"/>
        </w:rPr>
      </w:pPr>
      <w:r>
        <w:rPr>
          <w:rFonts w:cs="Arial"/>
          <w:sz w:val="24"/>
          <w:szCs w:val="24"/>
        </w:rPr>
        <w:t>К рекам и водоемам должна быть предусмотрена возможность подъезда для забора воды пожарной техникой в соответствии с требованиями нормативных документов по пожарной безопасности.</w:t>
      </w:r>
    </w:p>
    <w:p>
      <w:pPr>
        <w:pStyle w:val="ConsPlusNormal2"/>
        <w:ind w:left="0" w:right="0" w:firstLine="540"/>
        <w:jc w:val="both"/>
        <w:rPr>
          <w:rFonts w:cs="Arial"/>
          <w:sz w:val="24"/>
          <w:szCs w:val="24"/>
        </w:rPr>
      </w:pPr>
      <w:r>
        <w:rPr>
          <w:rFonts w:cs="Arial"/>
          <w:sz w:val="24"/>
          <w:szCs w:val="24"/>
        </w:rPr>
        <w:t>Планировочное решение малоэтажной жилой застройки (до 3 этажей включительно) должно обеспечивать подъезд пожарной техники к зданиям, сооружениям и строениям на расстояние не более 50 метров.</w:t>
      </w:r>
    </w:p>
    <w:p>
      <w:pPr>
        <w:pStyle w:val="5551"/>
        <w:rPr>
          <w:rFonts w:ascii="Arial" w:hAnsi="Arial" w:cs="Arial"/>
        </w:rPr>
      </w:pPr>
      <w:r>
        <w:rPr>
          <w:rFonts w:cs="Arial" w:ascii="Arial" w:hAnsi="Arial"/>
        </w:rPr>
        <w:t>14.3.2.</w:t>
        <w:tab/>
        <w:t>В случае если по производственным условиям не требуется устройства дорог, подъезд пожарных автомобилей допускается предусматривать по спланированной поверхности, укрепленной по ширине 3,5 метра в местах проезда при глинистых и песчаных (пылеватых) грунтах различными местными материалами с созданием уклонов, обеспечивающих естественный отвод поверхностных вод.</w:t>
      </w:r>
    </w:p>
    <w:p>
      <w:pPr>
        <w:pStyle w:val="5551"/>
        <w:rPr>
          <w:rFonts w:ascii="Arial" w:hAnsi="Arial" w:cs="Arial"/>
        </w:rPr>
      </w:pPr>
      <w:r>
        <w:rPr>
          <w:rFonts w:cs="Arial" w:ascii="Arial" w:hAnsi="Arial"/>
        </w:rPr>
        <w:t>14.3.2.</w:t>
        <w:tab/>
        <w:t>Расстояние от края проезжей части или спланированной поверхности, обеспечивающей проезд пожарных машин, до стен зданий должно быть не более:</w:t>
      </w:r>
    </w:p>
    <w:p>
      <w:pPr>
        <w:pStyle w:val="ConsPlusNormal2"/>
        <w:ind w:left="0" w:right="0" w:firstLine="540"/>
        <w:jc w:val="both"/>
        <w:rPr>
          <w:rFonts w:cs="Arial"/>
          <w:sz w:val="24"/>
          <w:szCs w:val="24"/>
        </w:rPr>
      </w:pPr>
      <w:r>
        <w:rPr>
          <w:rFonts w:cs="Arial"/>
          <w:sz w:val="24"/>
          <w:szCs w:val="24"/>
        </w:rPr>
        <w:t>- 25 м - при высоте зданий до 12 м;</w:t>
      </w:r>
    </w:p>
    <w:p>
      <w:pPr>
        <w:pStyle w:val="ConsPlusNormal2"/>
        <w:ind w:left="0" w:right="0" w:firstLine="540"/>
        <w:jc w:val="both"/>
        <w:rPr>
          <w:rFonts w:cs="Arial"/>
          <w:sz w:val="24"/>
          <w:szCs w:val="24"/>
        </w:rPr>
      </w:pPr>
      <w:r>
        <w:rPr>
          <w:rFonts w:cs="Arial"/>
          <w:sz w:val="24"/>
          <w:szCs w:val="24"/>
        </w:rPr>
        <w:t>- 8 м - при высоте зданий от 12 м до 28 м;</w:t>
      </w:r>
    </w:p>
    <w:p>
      <w:pPr>
        <w:pStyle w:val="5551"/>
        <w:rPr>
          <w:rFonts w:ascii="Arial" w:hAnsi="Arial" w:cs="Arial"/>
        </w:rPr>
      </w:pPr>
      <w:r>
        <w:rPr>
          <w:rFonts w:cs="Arial" w:ascii="Arial" w:hAnsi="Arial"/>
        </w:rPr>
        <w:t>14.3.3.</w:t>
        <w:tab/>
        <w:t>К зданиям и сооружениям, материалы и конструкции которых, а также технологические процессы исключают возможность возгорания, подъезды для пожарных машин предусматривать не следует.</w:t>
      </w:r>
    </w:p>
    <w:p>
      <w:pPr>
        <w:pStyle w:val="5551"/>
        <w:rPr>
          <w:rFonts w:ascii="Arial" w:hAnsi="Arial" w:cs="Arial"/>
        </w:rPr>
      </w:pPr>
      <w:r>
        <w:rPr>
          <w:rFonts w:cs="Arial" w:ascii="Arial" w:hAnsi="Arial"/>
        </w:rPr>
      </w:r>
    </w:p>
    <w:p>
      <w:pPr>
        <w:pStyle w:val="555551"/>
        <w:rPr>
          <w:rFonts w:ascii="Arial" w:hAnsi="Arial" w:cs="Arial"/>
        </w:rPr>
      </w:pPr>
      <w:bookmarkStart w:id="52" w:name="__RefHeading___Toc494193942"/>
      <w:bookmarkEnd w:id="52"/>
      <w:r>
        <w:rPr>
          <w:rFonts w:cs="Arial" w:ascii="Arial" w:hAnsi="Arial"/>
        </w:rPr>
        <w:t>14.4. Нормативные требования к размещению пожарных водоемов и гидрантов</w:t>
      </w:r>
    </w:p>
    <w:p>
      <w:pPr>
        <w:pStyle w:val="5551"/>
        <w:rPr>
          <w:rFonts w:ascii="Arial" w:hAnsi="Arial" w:cs="Arial"/>
        </w:rPr>
      </w:pPr>
      <w:r>
        <w:rPr>
          <w:rFonts w:cs="Arial" w:ascii="Arial" w:hAnsi="Arial"/>
        </w:rPr>
        <w:t>14.4.1.</w:t>
        <w:tab/>
        <w:t>К водоемам, которые могут быть использованы для тушения пожара, надлежит предусматривать подъезды с площадками для разворота пожарных автомобилей, их установки и забора воды. Размер таких площадок должен быть не менее 12x12 метров.</w:t>
      </w:r>
    </w:p>
    <w:p>
      <w:pPr>
        <w:pStyle w:val="5551"/>
        <w:rPr>
          <w:rFonts w:ascii="Arial" w:hAnsi="Arial" w:cs="Arial"/>
        </w:rPr>
      </w:pPr>
      <w:r>
        <w:rPr>
          <w:rFonts w:cs="Arial" w:ascii="Arial" w:hAnsi="Arial"/>
        </w:rPr>
        <w:t>14.4.2.</w:t>
        <w:tab/>
        <w:t>Пожарные гидранты должны располагаться вдоль автомобильных дорог на расстоянии не более 2,5 м от края проезжей части, но не ближе 5 м от стен здания, при технико-экономическом обосновании допускается располагать гидранты на проезжей части.</w:t>
      </w:r>
    </w:p>
    <w:p>
      <w:pPr>
        <w:pStyle w:val="5551"/>
        <w:rPr>
          <w:rFonts w:ascii="Arial" w:hAnsi="Arial" w:cs="Arial"/>
        </w:rPr>
      </w:pPr>
      <w:r>
        <w:rPr>
          <w:rFonts w:cs="Arial" w:ascii="Arial" w:hAnsi="Arial"/>
        </w:rPr>
        <w:t>14.4.3.</w:t>
        <w:tab/>
        <w:t>Противопожарные водоемы (резервуары) должны быть оборудованы площадками для установки пожарной техники, иметь возможность забора воды насосами, подъезда не менее двух пожарных автомобилей.</w:t>
      </w:r>
    </w:p>
    <w:p>
      <w:pPr>
        <w:pStyle w:val="5551"/>
        <w:rPr>
          <w:rFonts w:ascii="Arial" w:hAnsi="Arial" w:cs="Arial"/>
        </w:rPr>
      </w:pPr>
      <w:r>
        <w:rPr>
          <w:rFonts w:cs="Arial" w:ascii="Arial" w:hAnsi="Arial"/>
        </w:rPr>
      </w:r>
    </w:p>
    <w:p>
      <w:pPr>
        <w:pStyle w:val="555551"/>
        <w:rPr>
          <w:rFonts w:ascii="Arial" w:hAnsi="Arial" w:cs="Arial"/>
        </w:rPr>
      </w:pPr>
      <w:bookmarkStart w:id="53" w:name="__RefHeading___Toc494193943"/>
      <w:bookmarkEnd w:id="53"/>
      <w:r>
        <w:rPr>
          <w:rFonts w:cs="Arial" w:ascii="Arial" w:hAnsi="Arial"/>
        </w:rPr>
        <w:t>14.5.</w:t>
        <w:tab/>
        <w:t>Требования к размещению пожарных депо</w:t>
      </w:r>
    </w:p>
    <w:p>
      <w:pPr>
        <w:pStyle w:val="5551"/>
        <w:rPr>
          <w:rFonts w:ascii="Arial" w:hAnsi="Arial" w:cs="Arial"/>
        </w:rPr>
      </w:pPr>
      <w:r>
        <w:rPr>
          <w:rFonts w:cs="Arial" w:ascii="Arial" w:hAnsi="Arial"/>
        </w:rPr>
        <w:t>14.5.1.</w:t>
        <w:tab/>
        <w:t>Пожарные депо следует размещать на земельных участках, имеющих выезды на дороги общепоселкового значения.</w:t>
      </w:r>
    </w:p>
    <w:p>
      <w:pPr>
        <w:pStyle w:val="ConsPlusNormal2"/>
        <w:ind w:left="0" w:right="0" w:firstLine="540"/>
        <w:jc w:val="both"/>
        <w:rPr>
          <w:rFonts w:cs="Arial"/>
          <w:sz w:val="24"/>
          <w:szCs w:val="24"/>
        </w:rPr>
      </w:pPr>
      <w:r>
        <w:rPr>
          <w:rFonts w:cs="Arial"/>
          <w:sz w:val="24"/>
          <w:szCs w:val="24"/>
        </w:rPr>
        <w:t>Пожарные депо необходимо располагать на участке с отступом от красной линии до фронта выезда пожарных автомобилей не менее чем 15 м, для пожарных депо II, IV, V типов указанное расстояние допускается уменьшать до 10 м.</w:t>
      </w:r>
    </w:p>
    <w:p>
      <w:pPr>
        <w:pStyle w:val="5551"/>
        <w:rPr>
          <w:rFonts w:ascii="Arial" w:hAnsi="Arial" w:cs="Arial"/>
        </w:rPr>
      </w:pPr>
      <w:r>
        <w:rPr>
          <w:rFonts w:cs="Arial" w:ascii="Arial" w:hAnsi="Arial"/>
        </w:rPr>
        <w:t>14.5.2.</w:t>
        <w:tab/>
        <w:t>Расстояние от границ участка пожарного депо до общественных и жилых зданий должно быть не менее 15 м, а до границ земельных участков детских дошкольных образовательных учреждений, образовательных учреждений и лечебных учреждений стационарного типа - не менее 30 метров.</w:t>
      </w:r>
    </w:p>
    <w:p>
      <w:pPr>
        <w:pStyle w:val="5551"/>
        <w:rPr/>
      </w:pPr>
      <w:bookmarkStart w:id="54" w:name="__RefHeading___Toc494193944"/>
      <w:r>
        <w:rPr>
          <w:rStyle w:val="55555"/>
          <w:rFonts w:eastAsia="Calibri" w:cs="Arial" w:ascii="Arial" w:hAnsi="Arial"/>
        </w:rPr>
        <w:t>14.5.3.</w:t>
        <w:tab/>
        <w:t>Расчетное количество пожарных депо и пожарных автомобилей в населенном пункте</w:t>
      </w:r>
      <w:bookmarkEnd w:id="54"/>
      <w:r>
        <w:rPr>
          <w:rFonts w:cs="Arial" w:ascii="Arial" w:hAnsi="Arial"/>
        </w:rPr>
        <w:t xml:space="preserve"> принимается в соответствии с таблицей 14.4.</w:t>
      </w:r>
    </w:p>
    <w:p>
      <w:pPr>
        <w:pStyle w:val="ConsPlusNormal2"/>
        <w:jc w:val="right"/>
        <w:rPr>
          <w:rFonts w:cs="Arial"/>
          <w:sz w:val="24"/>
          <w:szCs w:val="24"/>
        </w:rPr>
      </w:pPr>
      <w:r>
        <w:rPr>
          <w:rFonts w:cs="Arial"/>
          <w:sz w:val="24"/>
          <w:szCs w:val="24"/>
        </w:rPr>
        <w:t>таблица 14.4</w:t>
      </w:r>
    </w:p>
    <w:tbl>
      <w:tblPr>
        <w:tblW w:w="10448"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5874"/>
        <w:gridCol w:w="2410"/>
        <w:gridCol w:w="2164"/>
      </w:tblGrid>
      <w:tr>
        <w:trPr/>
        <w:tc>
          <w:tcPr>
            <w:tcW w:w="5874"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both"/>
              <w:rPr>
                <w:rFonts w:cs="Arial"/>
                <w:sz w:val="24"/>
                <w:szCs w:val="24"/>
              </w:rPr>
            </w:pPr>
            <w:r>
              <w:rPr>
                <w:rFonts w:cs="Arial"/>
                <w:sz w:val="24"/>
                <w:szCs w:val="24"/>
              </w:rPr>
              <w:t>Площадь территории населенного пункта, тыс. га</w:t>
            </w:r>
          </w:p>
        </w:tc>
        <w:tc>
          <w:tcPr>
            <w:tcW w:w="4574"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both"/>
              <w:rPr>
                <w:rFonts w:cs="Arial"/>
                <w:sz w:val="24"/>
                <w:szCs w:val="24"/>
              </w:rPr>
            </w:pPr>
            <w:r>
              <w:rPr>
                <w:rFonts w:cs="Arial"/>
                <w:sz w:val="24"/>
                <w:szCs w:val="24"/>
              </w:rPr>
              <w:t>Население, тыс. чел.</w:t>
            </w:r>
          </w:p>
        </w:tc>
      </w:tr>
      <w:tr>
        <w:trPr/>
        <w:tc>
          <w:tcPr>
            <w:tcW w:w="5874"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2410"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both"/>
              <w:rPr>
                <w:rFonts w:cs="Arial"/>
                <w:sz w:val="24"/>
                <w:szCs w:val="24"/>
              </w:rPr>
            </w:pPr>
            <w:r>
              <w:rPr>
                <w:rFonts w:cs="Arial"/>
                <w:sz w:val="24"/>
                <w:szCs w:val="24"/>
              </w:rPr>
              <w:t>до 5</w:t>
            </w:r>
          </w:p>
        </w:tc>
        <w:tc>
          <w:tcPr>
            <w:tcW w:w="216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both"/>
              <w:rPr>
                <w:rFonts w:cs="Arial"/>
                <w:sz w:val="24"/>
                <w:szCs w:val="24"/>
              </w:rPr>
            </w:pPr>
            <w:r>
              <w:rPr>
                <w:rFonts w:cs="Arial"/>
                <w:sz w:val="24"/>
                <w:szCs w:val="24"/>
              </w:rPr>
              <w:t>свыше 5 до 20</w:t>
            </w:r>
          </w:p>
        </w:tc>
      </w:tr>
      <w:tr>
        <w:trPr/>
        <w:tc>
          <w:tcPr>
            <w:tcW w:w="587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до 2</w:t>
            </w:r>
          </w:p>
        </w:tc>
        <w:tc>
          <w:tcPr>
            <w:tcW w:w="241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pPr>
            <w:r>
              <w:rPr/>
              <w:drawing>
                <wp:inline distT="0" distB="0" distL="0" distR="0">
                  <wp:extent cx="300990" cy="431165"/>
                  <wp:effectExtent l="0" t="0" r="0" b="0"/>
                  <wp:docPr id="2" name="Изображение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2" descr=""/>
                          <pic:cNvPicPr>
                            <a:picLocks noChangeAspect="1" noChangeArrowheads="1"/>
                          </pic:cNvPicPr>
                        </pic:nvPicPr>
                        <pic:blipFill>
                          <a:blip r:embed="rId12"/>
                          <a:srcRect l="-110" t="-78" r="-110" b="-78"/>
                          <a:stretch>
                            <a:fillRect/>
                          </a:stretch>
                        </pic:blipFill>
                        <pic:spPr bwMode="auto">
                          <a:xfrm>
                            <a:off x="0" y="0"/>
                            <a:ext cx="300990" cy="431165"/>
                          </a:xfrm>
                          <a:prstGeom prst="rect">
                            <a:avLst/>
                          </a:prstGeom>
                        </pic:spPr>
                      </pic:pic>
                    </a:graphicData>
                  </a:graphic>
                </wp:inline>
              </w:drawing>
            </w:r>
          </w:p>
        </w:tc>
        <w:tc>
          <w:tcPr>
            <w:tcW w:w="216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both"/>
              <w:rPr>
                <w:rFonts w:cs="Arial"/>
                <w:sz w:val="24"/>
                <w:szCs w:val="24"/>
              </w:rPr>
            </w:pPr>
            <w:r>
              <w:rPr/>
              <w:drawing>
                <wp:inline distT="0" distB="0" distL="0" distR="0">
                  <wp:extent cx="300990" cy="431165"/>
                  <wp:effectExtent l="0" t="0" r="0" b="0"/>
                  <wp:docPr id="3" name="Изображение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3" descr=""/>
                          <pic:cNvPicPr>
                            <a:picLocks noChangeAspect="1" noChangeArrowheads="1"/>
                          </pic:cNvPicPr>
                        </pic:nvPicPr>
                        <pic:blipFill>
                          <a:blip r:embed="rId13"/>
                          <a:srcRect l="-110" t="-78" r="-110" b="-78"/>
                          <a:stretch>
                            <a:fillRect/>
                          </a:stretch>
                        </pic:blipFill>
                        <pic:spPr bwMode="auto">
                          <a:xfrm>
                            <a:off x="0" y="0"/>
                            <a:ext cx="300990" cy="431165"/>
                          </a:xfrm>
                          <a:prstGeom prst="rect">
                            <a:avLst/>
                          </a:prstGeom>
                        </pic:spPr>
                      </pic:pic>
                    </a:graphicData>
                  </a:graphic>
                </wp:inline>
              </w:drawing>
            </w:r>
          </w:p>
        </w:tc>
      </w:tr>
    </w:tbl>
    <w:p>
      <w:pPr>
        <w:pStyle w:val="ConsPlusNormal2"/>
        <w:ind w:left="0" w:right="0" w:firstLine="540"/>
        <w:jc w:val="both"/>
        <w:rPr>
          <w:rFonts w:cs="Arial"/>
          <w:sz w:val="24"/>
          <w:szCs w:val="24"/>
        </w:rPr>
      </w:pPr>
      <w:r>
        <w:rPr>
          <w:rFonts w:cs="Arial"/>
          <w:sz w:val="24"/>
          <w:szCs w:val="24"/>
        </w:rPr>
      </w:r>
    </w:p>
    <w:p>
      <w:pPr>
        <w:pStyle w:val="ConsPlusNormal2"/>
        <w:ind w:left="0" w:right="0" w:firstLine="540"/>
        <w:jc w:val="both"/>
        <w:rPr>
          <w:rFonts w:cs="Arial"/>
          <w:sz w:val="24"/>
          <w:szCs w:val="24"/>
        </w:rPr>
      </w:pPr>
      <w:r>
        <w:rPr>
          <w:rFonts w:cs="Arial"/>
          <w:sz w:val="24"/>
          <w:szCs w:val="24"/>
        </w:rPr>
        <w:t>Примечание.</w:t>
      </w:r>
    </w:p>
    <w:p>
      <w:pPr>
        <w:pStyle w:val="ConsPlusNormal2"/>
        <w:ind w:left="0" w:right="0" w:firstLine="540"/>
        <w:jc w:val="both"/>
        <w:rPr>
          <w:rFonts w:cs="Arial"/>
          <w:sz w:val="24"/>
          <w:szCs w:val="24"/>
        </w:rPr>
      </w:pPr>
      <w:r>
        <w:rPr>
          <w:rFonts w:cs="Arial"/>
          <w:sz w:val="24"/>
          <w:szCs w:val="24"/>
        </w:rPr>
        <w:t>В числителе - общее количество пожарных депо в населенном пункте; в знаменателе - количество пожарных депо, умноженное на количество пожарных автомобилей.</w:t>
      </w:r>
    </w:p>
    <w:p>
      <w:pPr>
        <w:pStyle w:val="ConsPlusNormal2"/>
        <w:ind w:left="0" w:right="0" w:firstLine="540"/>
        <w:jc w:val="both"/>
        <w:rPr>
          <w:rFonts w:cs="Arial"/>
          <w:sz w:val="24"/>
          <w:szCs w:val="24"/>
        </w:rPr>
      </w:pPr>
      <w:r>
        <w:rPr>
          <w:rFonts w:cs="Arial"/>
          <w:sz w:val="24"/>
          <w:szCs w:val="24"/>
        </w:rPr>
      </w:r>
    </w:p>
    <w:p>
      <w:pPr>
        <w:pStyle w:val="ConsPlusNormal2"/>
        <w:ind w:left="0" w:right="0" w:firstLine="540"/>
        <w:jc w:val="both"/>
        <w:rPr>
          <w:rFonts w:cs="Arial"/>
          <w:sz w:val="24"/>
          <w:szCs w:val="24"/>
        </w:rPr>
      </w:pPr>
      <w:r>
        <w:rPr>
          <w:rFonts w:cs="Arial"/>
          <w:sz w:val="24"/>
          <w:szCs w:val="24"/>
        </w:rPr>
        <w:t>Количество специальных пожарных автомобилей принимается по таблице 14.5.</w:t>
      </w:r>
    </w:p>
    <w:p>
      <w:pPr>
        <w:pStyle w:val="ConsPlusNormal2"/>
        <w:jc w:val="right"/>
        <w:rPr>
          <w:rFonts w:cs="Arial"/>
          <w:sz w:val="24"/>
          <w:szCs w:val="24"/>
        </w:rPr>
      </w:pPr>
      <w:bookmarkStart w:id="55" w:name="P3298"/>
      <w:bookmarkEnd w:id="55"/>
      <w:r>
        <w:rPr>
          <w:rFonts w:cs="Arial"/>
          <w:sz w:val="24"/>
          <w:szCs w:val="24"/>
        </w:rPr>
        <w:t>Таблица 14.5</w:t>
      </w:r>
    </w:p>
    <w:tbl>
      <w:tblPr>
        <w:tblW w:w="10419"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7150"/>
        <w:gridCol w:w="3269"/>
      </w:tblGrid>
      <w:tr>
        <w:trPr/>
        <w:tc>
          <w:tcPr>
            <w:tcW w:w="7150"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both"/>
              <w:rPr>
                <w:rFonts w:cs="Arial"/>
                <w:sz w:val="24"/>
                <w:szCs w:val="24"/>
              </w:rPr>
            </w:pPr>
            <w:r>
              <w:rPr>
                <w:rFonts w:cs="Arial"/>
                <w:sz w:val="24"/>
                <w:szCs w:val="24"/>
              </w:rPr>
              <w:t>Наименование специальных автомобилей</w:t>
            </w:r>
          </w:p>
        </w:tc>
        <w:tc>
          <w:tcPr>
            <w:tcW w:w="326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both"/>
              <w:rPr>
                <w:rFonts w:cs="Arial"/>
                <w:sz w:val="24"/>
                <w:szCs w:val="24"/>
              </w:rPr>
            </w:pPr>
            <w:r>
              <w:rPr>
                <w:rFonts w:cs="Arial"/>
                <w:sz w:val="24"/>
                <w:szCs w:val="24"/>
              </w:rPr>
              <w:t>Число жителей в населенном пункте, тыс. чел. до 50</w:t>
            </w:r>
          </w:p>
        </w:tc>
      </w:tr>
      <w:tr>
        <w:trPr/>
        <w:tc>
          <w:tcPr>
            <w:tcW w:w="715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Автолестницы и автоподъемники</w:t>
            </w:r>
          </w:p>
        </w:tc>
        <w:tc>
          <w:tcPr>
            <w:tcW w:w="326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both"/>
              <w:rPr>
                <w:rFonts w:cs="Arial"/>
                <w:sz w:val="24"/>
                <w:szCs w:val="24"/>
              </w:rPr>
            </w:pPr>
            <w:r>
              <w:rPr>
                <w:rFonts w:cs="Arial"/>
                <w:sz w:val="24"/>
                <w:szCs w:val="24"/>
              </w:rPr>
              <w:t xml:space="preserve">1 </w:t>
            </w:r>
            <w:hyperlink w:anchor="P3310">
              <w:r>
                <w:rPr>
                  <w:rStyle w:val="Style9"/>
                  <w:rFonts w:cs="Arial"/>
                  <w:color w:val="0000FF"/>
                  <w:sz w:val="24"/>
                  <w:szCs w:val="24"/>
                </w:rPr>
                <w:t>&lt;*&gt;</w:t>
              </w:r>
            </w:hyperlink>
          </w:p>
        </w:tc>
      </w:tr>
      <w:tr>
        <w:trPr/>
        <w:tc>
          <w:tcPr>
            <w:tcW w:w="715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Автомобили газодымозащитной службы</w:t>
            </w:r>
          </w:p>
        </w:tc>
        <w:tc>
          <w:tcPr>
            <w:tcW w:w="326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both"/>
              <w:rPr>
                <w:rFonts w:cs="Arial"/>
                <w:sz w:val="24"/>
                <w:szCs w:val="24"/>
              </w:rPr>
            </w:pPr>
            <w:r>
              <w:rPr>
                <w:rFonts w:cs="Arial"/>
                <w:sz w:val="24"/>
                <w:szCs w:val="24"/>
              </w:rPr>
              <w:t>1</w:t>
            </w:r>
          </w:p>
        </w:tc>
      </w:tr>
      <w:tr>
        <w:trPr/>
        <w:tc>
          <w:tcPr>
            <w:tcW w:w="715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Автомобили связи и освещения</w:t>
            </w:r>
          </w:p>
        </w:tc>
        <w:tc>
          <w:tcPr>
            <w:tcW w:w="326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both"/>
              <w:rPr>
                <w:rFonts w:cs="Arial"/>
                <w:sz w:val="24"/>
                <w:szCs w:val="24"/>
              </w:rPr>
            </w:pPr>
            <w:r>
              <w:rPr>
                <w:rFonts w:cs="Arial"/>
                <w:sz w:val="24"/>
                <w:szCs w:val="24"/>
              </w:rPr>
              <w:t>-</w:t>
            </w:r>
          </w:p>
        </w:tc>
      </w:tr>
    </w:tbl>
    <w:p>
      <w:pPr>
        <w:pStyle w:val="ConsPlusNormal2"/>
        <w:ind w:left="0" w:right="0" w:firstLine="540"/>
        <w:jc w:val="both"/>
        <w:rPr>
          <w:rFonts w:cs="Arial"/>
          <w:sz w:val="24"/>
          <w:szCs w:val="24"/>
        </w:rPr>
      </w:pPr>
      <w:bookmarkStart w:id="56" w:name="P3310"/>
      <w:bookmarkEnd w:id="56"/>
      <w:r>
        <w:rPr>
          <w:rFonts w:cs="Arial"/>
          <w:sz w:val="24"/>
          <w:szCs w:val="24"/>
        </w:rPr>
        <w:t>&lt;*&gt; При наличии зданий высотой 4 этажа и более.</w:t>
      </w:r>
    </w:p>
    <w:p>
      <w:pPr>
        <w:pStyle w:val="ConsPlusNormal2"/>
        <w:ind w:left="0" w:right="0" w:firstLine="540"/>
        <w:jc w:val="both"/>
        <w:rPr>
          <w:rFonts w:cs="Arial"/>
          <w:sz w:val="24"/>
          <w:szCs w:val="24"/>
        </w:rPr>
      </w:pPr>
      <w:r>
        <w:rPr>
          <w:rFonts w:cs="Arial"/>
          <w:sz w:val="24"/>
          <w:szCs w:val="24"/>
        </w:rPr>
        <w:t>Примечание.</w:t>
      </w:r>
    </w:p>
    <w:p>
      <w:pPr>
        <w:pStyle w:val="ConsPlusNormal2"/>
        <w:ind w:left="0" w:right="0" w:firstLine="540"/>
        <w:jc w:val="both"/>
        <w:rPr/>
      </w:pPr>
      <w:r>
        <w:rPr>
          <w:rFonts w:cs="Arial"/>
          <w:sz w:val="24"/>
          <w:szCs w:val="24"/>
        </w:rPr>
        <w:t xml:space="preserve">Количество специальных автомобилей, не указанных в </w:t>
      </w:r>
      <w:hyperlink w:anchor="P3298">
        <w:r>
          <w:rPr>
            <w:rStyle w:val="Style9"/>
            <w:rFonts w:cs="Arial"/>
            <w:color w:val="0000FF"/>
            <w:sz w:val="24"/>
            <w:szCs w:val="24"/>
          </w:rPr>
          <w:t>таблице 14.5</w:t>
        </w:r>
      </w:hyperlink>
      <w:r>
        <w:rPr>
          <w:rFonts w:cs="Arial"/>
          <w:sz w:val="24"/>
          <w:szCs w:val="24"/>
        </w:rPr>
        <w:t xml:space="preserve"> настоящих Нормативов, определяется исходя из местных условий в каждом конкретном случае с учетом наличия опорных пунктов тушения крупных пожаров.</w:t>
      </w:r>
    </w:p>
    <w:p>
      <w:pPr>
        <w:pStyle w:val="5551"/>
        <w:rPr/>
      </w:pPr>
      <w:r>
        <w:rPr>
          <w:rFonts w:cs="Arial" w:ascii="Arial" w:hAnsi="Arial"/>
        </w:rPr>
        <w:t>14.5.4.</w:t>
        <w:tab/>
        <w:t xml:space="preserve">Тип пожарного депо и площадь земельных участков для их размещения определяются в соответствии с </w:t>
      </w:r>
      <w:hyperlink w:anchor="P3317">
        <w:r>
          <w:rPr>
            <w:rStyle w:val="Style9"/>
            <w:rFonts w:cs="Arial" w:ascii="Arial" w:hAnsi="Arial"/>
            <w:color w:val="0000FF"/>
          </w:rPr>
          <w:t>таблицей 14.6</w:t>
        </w:r>
      </w:hyperlink>
      <w:r>
        <w:rPr>
          <w:rFonts w:cs="Arial" w:ascii="Arial" w:hAnsi="Arial"/>
        </w:rPr>
        <w:t xml:space="preserve">, а также в соответствии с требованиями Федерального </w:t>
      </w:r>
      <w:hyperlink r:id="rId14">
        <w:r>
          <w:rPr>
            <w:rStyle w:val="Style9"/>
            <w:rFonts w:cs="Arial" w:ascii="Arial" w:hAnsi="Arial"/>
            <w:color w:val="0000FF"/>
          </w:rPr>
          <w:t>закона</w:t>
        </w:r>
      </w:hyperlink>
      <w:r>
        <w:rPr>
          <w:rFonts w:cs="Arial" w:ascii="Arial" w:hAnsi="Arial"/>
        </w:rPr>
        <w:t xml:space="preserve"> "Технический регламент о требованиях пожарной безопасности".</w:t>
      </w:r>
    </w:p>
    <w:p>
      <w:pPr>
        <w:pStyle w:val="ConsPlusNormal2"/>
        <w:jc w:val="right"/>
        <w:rPr>
          <w:rFonts w:cs="Arial"/>
          <w:sz w:val="24"/>
          <w:szCs w:val="24"/>
        </w:rPr>
      </w:pPr>
      <w:bookmarkStart w:id="57" w:name="P3317"/>
      <w:bookmarkEnd w:id="57"/>
      <w:r>
        <w:rPr>
          <w:rFonts w:cs="Arial"/>
          <w:sz w:val="24"/>
          <w:szCs w:val="24"/>
        </w:rPr>
        <w:t>Таблица 14.6</w:t>
      </w:r>
    </w:p>
    <w:tbl>
      <w:tblPr>
        <w:tblW w:w="10419"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2047"/>
        <w:gridCol w:w="850"/>
        <w:gridCol w:w="3797"/>
        <w:gridCol w:w="3725"/>
      </w:tblGrid>
      <w:tr>
        <w:trPr/>
        <w:tc>
          <w:tcPr>
            <w:tcW w:w="2897" w:type="dxa"/>
            <w:gridSpan w:val="2"/>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both"/>
              <w:rPr>
                <w:rFonts w:cs="Arial"/>
                <w:sz w:val="24"/>
                <w:szCs w:val="24"/>
              </w:rPr>
            </w:pPr>
            <w:r>
              <w:rPr>
                <w:rFonts w:cs="Arial"/>
                <w:sz w:val="24"/>
                <w:szCs w:val="24"/>
              </w:rPr>
              <w:t>Наименование</w:t>
            </w:r>
          </w:p>
        </w:tc>
        <w:tc>
          <w:tcPr>
            <w:tcW w:w="3797"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Количество пожарных автомобилей в депо, шт.</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sz w:val="24"/>
                <w:szCs w:val="24"/>
              </w:rPr>
            </w:pPr>
            <w:r>
              <w:rPr>
                <w:rFonts w:cs="Arial"/>
                <w:sz w:val="24"/>
                <w:szCs w:val="24"/>
              </w:rPr>
              <w:t>Площадь земельного участка пожарного депо, га</w:t>
            </w:r>
          </w:p>
        </w:tc>
      </w:tr>
      <w:tr>
        <w:trPr>
          <w:trHeight w:val="167" w:hRule="atLeast"/>
        </w:trPr>
        <w:tc>
          <w:tcPr>
            <w:tcW w:w="2047"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Тип пожарного депо</w:t>
            </w:r>
          </w:p>
        </w:tc>
        <w:tc>
          <w:tcPr>
            <w:tcW w:w="85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I</w:t>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12</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2,2</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1,95</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8</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1,75</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6</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1,6</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II</w:t>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6</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1,2</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4</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0,8</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III</w:t>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12</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1,7</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1,6</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8</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6</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1,3</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IV</w:t>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6</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1,2</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4</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0,8</w:t>
            </w:r>
          </w:p>
        </w:tc>
      </w:tr>
      <w:tr>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V</w:t>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4</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0,85</w:t>
            </w:r>
          </w:p>
        </w:tc>
      </w:tr>
      <w:tr>
        <w:trPr>
          <w:trHeight w:val="201" w:hRule="atLeast"/>
        </w:trPr>
        <w:tc>
          <w:tcPr>
            <w:tcW w:w="2047"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before="0" w:after="200"/>
              <w:rPr>
                <w:rFonts w:ascii="Arial" w:hAnsi="Arial" w:cs="Arial"/>
                <w:sz w:val="24"/>
                <w:szCs w:val="24"/>
              </w:rPr>
            </w:pPr>
            <w:r>
              <w:rPr>
                <w:rFonts w:cs="Arial" w:ascii="Arial" w:hAnsi="Arial"/>
                <w:sz w:val="24"/>
                <w:szCs w:val="24"/>
              </w:rPr>
            </w:r>
          </w:p>
        </w:tc>
        <w:tc>
          <w:tcPr>
            <w:tcW w:w="850"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r>
          </w:p>
        </w:tc>
        <w:tc>
          <w:tcPr>
            <w:tcW w:w="379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w:t>
            </w:r>
          </w:p>
        </w:tc>
        <w:tc>
          <w:tcPr>
            <w:tcW w:w="37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0,55</w:t>
            </w:r>
          </w:p>
        </w:tc>
      </w:tr>
    </w:tbl>
    <w:p>
      <w:pPr>
        <w:pStyle w:val="ConsPlusNormal2"/>
        <w:ind w:left="0" w:right="0" w:firstLine="540"/>
        <w:jc w:val="both"/>
        <w:rPr>
          <w:rFonts w:cs="Arial"/>
          <w:sz w:val="24"/>
          <w:szCs w:val="24"/>
        </w:rPr>
      </w:pPr>
      <w:r>
        <w:rPr>
          <w:rFonts w:cs="Arial"/>
          <w:sz w:val="24"/>
          <w:szCs w:val="24"/>
        </w:rPr>
      </w:r>
    </w:p>
    <w:p>
      <w:pPr>
        <w:pStyle w:val="5551"/>
        <w:rPr/>
      </w:pPr>
      <w:bookmarkStart w:id="58" w:name="__RefHeading___Toc494193945"/>
      <w:r>
        <w:rPr>
          <w:rStyle w:val="55555"/>
          <w:rFonts w:eastAsia="Calibri" w:cs="Arial" w:ascii="Arial" w:hAnsi="Arial"/>
        </w:rPr>
        <w:t>14.5.5.</w:t>
        <w:tab/>
        <w:t>Радиус обслуживания пожарного депо</w:t>
      </w:r>
      <w:bookmarkEnd w:id="58"/>
      <w:r>
        <w:rPr>
          <w:rStyle w:val="55555"/>
          <w:rFonts w:eastAsia="Calibri" w:cs="Arial" w:ascii="Arial" w:hAnsi="Arial"/>
        </w:rPr>
        <w:t xml:space="preserve"> </w:t>
      </w:r>
      <w:r>
        <w:rPr>
          <w:rFonts w:cs="Arial" w:ascii="Arial" w:hAnsi="Arial"/>
        </w:rPr>
        <w:t xml:space="preserve">не должен превышать значений, приведенных в </w:t>
      </w:r>
      <w:hyperlink w:anchor="P3368">
        <w:r>
          <w:rPr>
            <w:rStyle w:val="Style9"/>
            <w:rFonts w:cs="Arial" w:ascii="Arial" w:hAnsi="Arial"/>
            <w:color w:val="0000FF"/>
          </w:rPr>
          <w:t>таблице 14.7</w:t>
        </w:r>
      </w:hyperlink>
      <w:r>
        <w:rPr>
          <w:rFonts w:cs="Arial" w:ascii="Arial" w:hAnsi="Arial"/>
        </w:rPr>
        <w:t>, при этом время следования пожарной техники к месту пожара не должно превышать 6 мин.</w:t>
      </w:r>
    </w:p>
    <w:p>
      <w:pPr>
        <w:pStyle w:val="ConsPlusNormal2"/>
        <w:jc w:val="right"/>
        <w:rPr>
          <w:rFonts w:cs="Arial"/>
          <w:sz w:val="24"/>
          <w:szCs w:val="24"/>
        </w:rPr>
      </w:pPr>
      <w:bookmarkStart w:id="59" w:name="P3368"/>
      <w:bookmarkEnd w:id="59"/>
      <w:r>
        <w:rPr>
          <w:rFonts w:cs="Arial"/>
          <w:sz w:val="24"/>
          <w:szCs w:val="24"/>
        </w:rPr>
        <w:t>Таблица 14.7</w:t>
      </w:r>
    </w:p>
    <w:tbl>
      <w:tblPr>
        <w:tblW w:w="10419"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8000"/>
        <w:gridCol w:w="2419"/>
      </w:tblGrid>
      <w:tr>
        <w:trPr/>
        <w:tc>
          <w:tcPr>
            <w:tcW w:w="8000"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both"/>
              <w:rPr>
                <w:rFonts w:cs="Arial"/>
                <w:sz w:val="24"/>
                <w:szCs w:val="24"/>
              </w:rPr>
            </w:pPr>
            <w:r>
              <w:rPr>
                <w:rFonts w:cs="Arial"/>
                <w:sz w:val="24"/>
                <w:szCs w:val="24"/>
              </w:rPr>
              <w:t>Территория</w:t>
            </w:r>
          </w:p>
        </w:tc>
        <w:tc>
          <w:tcPr>
            <w:tcW w:w="24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both"/>
              <w:rPr>
                <w:rFonts w:cs="Arial"/>
                <w:sz w:val="24"/>
                <w:szCs w:val="24"/>
              </w:rPr>
            </w:pPr>
            <w:r>
              <w:rPr>
                <w:rFonts w:cs="Arial"/>
                <w:sz w:val="24"/>
                <w:szCs w:val="24"/>
              </w:rPr>
              <w:t>Радиус обслуживания (км) не более</w:t>
            </w:r>
          </w:p>
        </w:tc>
      </w:tr>
      <w:tr>
        <w:trPr/>
        <w:tc>
          <w:tcPr>
            <w:tcW w:w="80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Жилая застройка</w:t>
            </w:r>
          </w:p>
        </w:tc>
        <w:tc>
          <w:tcPr>
            <w:tcW w:w="24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both"/>
              <w:rPr>
                <w:rFonts w:cs="Arial"/>
                <w:sz w:val="24"/>
                <w:szCs w:val="24"/>
              </w:rPr>
            </w:pPr>
            <w:r>
              <w:rPr>
                <w:rFonts w:cs="Arial"/>
                <w:sz w:val="24"/>
                <w:szCs w:val="24"/>
              </w:rPr>
              <w:t>3</w:t>
            </w:r>
          </w:p>
        </w:tc>
      </w:tr>
      <w:tr>
        <w:trPr/>
        <w:tc>
          <w:tcPr>
            <w:tcW w:w="80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Промышленные предприятия</w:t>
            </w:r>
          </w:p>
        </w:tc>
        <w:tc>
          <w:tcPr>
            <w:tcW w:w="24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napToGrid w:val="false"/>
              <w:rPr>
                <w:rFonts w:cs="Arial"/>
                <w:sz w:val="24"/>
                <w:szCs w:val="24"/>
              </w:rPr>
            </w:pPr>
            <w:r>
              <w:rPr>
                <w:rFonts w:cs="Arial"/>
                <w:sz w:val="24"/>
                <w:szCs w:val="24"/>
              </w:rPr>
            </w:r>
          </w:p>
        </w:tc>
      </w:tr>
      <w:tr>
        <w:trPr/>
        <w:tc>
          <w:tcPr>
            <w:tcW w:w="80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с производствами категорий А, Б и В, занимающими более 50% всей площади застройки</w:t>
            </w:r>
          </w:p>
        </w:tc>
        <w:tc>
          <w:tcPr>
            <w:tcW w:w="24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both"/>
              <w:rPr>
                <w:rFonts w:cs="Arial"/>
                <w:sz w:val="24"/>
                <w:szCs w:val="24"/>
              </w:rPr>
            </w:pPr>
            <w:r>
              <w:rPr>
                <w:rFonts w:cs="Arial"/>
                <w:sz w:val="24"/>
                <w:szCs w:val="24"/>
              </w:rPr>
              <w:t>2</w:t>
            </w:r>
          </w:p>
        </w:tc>
      </w:tr>
      <w:tr>
        <w:trPr/>
        <w:tc>
          <w:tcPr>
            <w:tcW w:w="80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с производствами категорий А, Б и В, занимающими до 50% площади застройки, и предприятия с производствами категорий Г и Д</w:t>
            </w:r>
          </w:p>
        </w:tc>
        <w:tc>
          <w:tcPr>
            <w:tcW w:w="24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both"/>
              <w:rPr>
                <w:rFonts w:cs="Arial"/>
                <w:sz w:val="24"/>
                <w:szCs w:val="24"/>
              </w:rPr>
            </w:pPr>
            <w:r>
              <w:rPr>
                <w:rFonts w:cs="Arial"/>
                <w:sz w:val="24"/>
                <w:szCs w:val="24"/>
              </w:rPr>
              <w:t>4</w:t>
            </w:r>
          </w:p>
        </w:tc>
      </w:tr>
      <w:tr>
        <w:trPr/>
        <w:tc>
          <w:tcPr>
            <w:tcW w:w="80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Сельскохозяйственные предприятия</w:t>
            </w:r>
          </w:p>
        </w:tc>
        <w:tc>
          <w:tcPr>
            <w:tcW w:w="24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napToGrid w:val="false"/>
              <w:rPr>
                <w:rFonts w:cs="Arial"/>
                <w:sz w:val="24"/>
                <w:szCs w:val="24"/>
              </w:rPr>
            </w:pPr>
            <w:r>
              <w:rPr>
                <w:rFonts w:cs="Arial"/>
                <w:sz w:val="24"/>
                <w:szCs w:val="24"/>
              </w:rPr>
            </w:r>
          </w:p>
        </w:tc>
      </w:tr>
      <w:tr>
        <w:trPr/>
        <w:tc>
          <w:tcPr>
            <w:tcW w:w="80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с преобладающими производствами категорий А, Б и В</w:t>
            </w:r>
          </w:p>
        </w:tc>
        <w:tc>
          <w:tcPr>
            <w:tcW w:w="24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both"/>
              <w:rPr>
                <w:rFonts w:cs="Arial"/>
                <w:sz w:val="24"/>
                <w:szCs w:val="24"/>
              </w:rPr>
            </w:pPr>
            <w:r>
              <w:rPr>
                <w:rFonts w:cs="Arial"/>
                <w:sz w:val="24"/>
                <w:szCs w:val="24"/>
              </w:rPr>
              <w:t>2</w:t>
            </w:r>
          </w:p>
        </w:tc>
      </w:tr>
      <w:tr>
        <w:trPr/>
        <w:tc>
          <w:tcPr>
            <w:tcW w:w="80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both"/>
              <w:rPr>
                <w:rFonts w:cs="Arial"/>
                <w:sz w:val="24"/>
                <w:szCs w:val="24"/>
              </w:rPr>
            </w:pPr>
            <w:r>
              <w:rPr>
                <w:rFonts w:cs="Arial"/>
                <w:sz w:val="24"/>
                <w:szCs w:val="24"/>
              </w:rPr>
              <w:t>с преобладающими производствами Г и Д</w:t>
            </w:r>
          </w:p>
        </w:tc>
        <w:tc>
          <w:tcPr>
            <w:tcW w:w="24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both"/>
              <w:rPr>
                <w:rFonts w:cs="Arial"/>
                <w:sz w:val="24"/>
                <w:szCs w:val="24"/>
              </w:rPr>
            </w:pPr>
            <w:r>
              <w:rPr>
                <w:rFonts w:cs="Arial"/>
                <w:sz w:val="24"/>
                <w:szCs w:val="24"/>
              </w:rPr>
              <w:t>4</w:t>
            </w:r>
          </w:p>
        </w:tc>
      </w:tr>
    </w:tbl>
    <w:p>
      <w:pPr>
        <w:pStyle w:val="ConsPlusNormal2"/>
        <w:ind w:left="0" w:right="0" w:firstLine="540"/>
        <w:jc w:val="both"/>
        <w:rPr>
          <w:rFonts w:cs="Arial"/>
          <w:sz w:val="24"/>
          <w:szCs w:val="24"/>
        </w:rPr>
      </w:pPr>
      <w:r>
        <w:rPr>
          <w:rFonts w:cs="Arial"/>
          <w:sz w:val="24"/>
          <w:szCs w:val="24"/>
        </w:rPr>
        <w:t>Примечания.</w:t>
      </w:r>
    </w:p>
    <w:p>
      <w:pPr>
        <w:pStyle w:val="ConsPlusNormal2"/>
        <w:ind w:left="0" w:right="0" w:firstLine="540"/>
        <w:jc w:val="both"/>
        <w:rPr>
          <w:rFonts w:cs="Arial"/>
          <w:sz w:val="24"/>
          <w:szCs w:val="24"/>
        </w:rPr>
      </w:pPr>
      <w:r>
        <w:rPr>
          <w:rFonts w:cs="Arial"/>
          <w:sz w:val="24"/>
          <w:szCs w:val="24"/>
        </w:rPr>
        <w:t>1. Радиус обслуживания пожарного депо (поста) должен определяться из условия пути следования до наиболее удаленного здания или сооружения по дорогам общего пользования или проездам. В случае превышения указанного радиуса на территории промышленных и сельскохозяйственных предприятий необходимо предусматривать дополнительные пожарные посты.</w:t>
      </w:r>
    </w:p>
    <w:p>
      <w:pPr>
        <w:pStyle w:val="ConsPlusNormal2"/>
        <w:ind w:left="0" w:right="0" w:firstLine="540"/>
        <w:jc w:val="both"/>
        <w:rPr>
          <w:rFonts w:cs="Arial"/>
          <w:sz w:val="24"/>
          <w:szCs w:val="24"/>
        </w:rPr>
      </w:pPr>
      <w:r>
        <w:rPr>
          <w:rFonts w:cs="Arial"/>
          <w:sz w:val="24"/>
          <w:szCs w:val="24"/>
        </w:rPr>
        <w:t>2. При наличии на площадках промышленных предприятий зданий и сооружений III, IV, V степеней огнестойкости с площадью застройки, составляющей более 50 процентов всей площади застройки предприятия, радиусы обслуживания пожарными депо и постами следует уменьшать на 40 процентов.</w:t>
      </w:r>
    </w:p>
    <w:p>
      <w:pPr>
        <w:pStyle w:val="ConsPlusNormal2"/>
        <w:ind w:left="0" w:right="0" w:firstLine="540"/>
        <w:jc w:val="both"/>
        <w:rPr>
          <w:rFonts w:cs="Arial"/>
          <w:sz w:val="24"/>
          <w:szCs w:val="24"/>
        </w:rPr>
      </w:pPr>
      <w:r>
        <w:rPr>
          <w:rFonts w:cs="Arial"/>
          <w:sz w:val="24"/>
          <w:szCs w:val="24"/>
        </w:rPr>
        <w:t>3. Пожарные посты допускается встраивать в производственные и вспомогательные здания с производствами категорий В, Г и Д. При этом они должны быть отделены от основного здания противопожарными перегородками 1-го типа и противопожарными перекрытиями 3-го типа.</w:t>
      </w:r>
    </w:p>
    <w:p>
      <w:pPr>
        <w:pStyle w:val="ConsPlusNormal2"/>
        <w:ind w:left="0" w:right="0" w:firstLine="540"/>
        <w:jc w:val="both"/>
        <w:rPr>
          <w:rFonts w:cs="Arial"/>
          <w:sz w:val="24"/>
          <w:szCs w:val="24"/>
        </w:rPr>
      </w:pPr>
      <w:r>
        <w:rPr>
          <w:rFonts w:cs="Arial"/>
          <w:sz w:val="24"/>
          <w:szCs w:val="24"/>
        </w:rPr>
        <w:t>4. Выезды из пожарных депо и постов должны быть расположены так, чтобы выезжающие пожарные автомобили не пересекали основных потоков транспорта и пешеходов (в сельских поселениях - скотопрогонов).</w:t>
      </w:r>
    </w:p>
    <w:p>
      <w:pPr>
        <w:pStyle w:val="5551"/>
        <w:rPr>
          <w:rFonts w:ascii="Arial" w:hAnsi="Arial" w:cs="Arial"/>
        </w:rPr>
      </w:pPr>
      <w:r>
        <w:rPr>
          <w:rFonts w:cs="Arial" w:ascii="Arial" w:hAnsi="Arial"/>
        </w:rPr>
      </w:r>
    </w:p>
    <w:p>
      <w:pPr>
        <w:pStyle w:val="Style117"/>
        <w:rPr>
          <w:rFonts w:ascii="Arial" w:hAnsi="Arial" w:cs="Arial"/>
        </w:rPr>
      </w:pPr>
      <w:bookmarkStart w:id="60" w:name="__RefHeading___Toc494193946"/>
      <w:bookmarkEnd w:id="60"/>
      <w:r>
        <w:rPr>
          <w:rFonts w:cs="Arial" w:ascii="Arial" w:hAnsi="Arial"/>
        </w:rPr>
        <w:t>15. Доступность объектов для маломобильных групп населения на территории муниципального образования</w:t>
      </w:r>
    </w:p>
    <w:p>
      <w:pPr>
        <w:pStyle w:val="NoSpacing"/>
        <w:numPr>
          <w:ilvl w:val="0"/>
          <w:numId w:val="0"/>
        </w:numPr>
        <w:ind w:left="0" w:right="0" w:firstLine="568"/>
        <w:jc w:val="center"/>
        <w:rPr>
          <w:rFonts w:ascii="Arial" w:hAnsi="Arial" w:cs="Arial"/>
          <w:b/>
          <w:b/>
          <w:i/>
          <w:i/>
          <w:sz w:val="24"/>
          <w:szCs w:val="24"/>
        </w:rPr>
      </w:pPr>
      <w:r>
        <w:rPr>
          <w:rFonts w:cs="Arial" w:ascii="Arial" w:hAnsi="Arial"/>
          <w:b/>
          <w:i/>
          <w:sz w:val="24"/>
          <w:szCs w:val="24"/>
        </w:rPr>
      </w:r>
    </w:p>
    <w:p>
      <w:pPr>
        <w:pStyle w:val="5551"/>
        <w:rPr>
          <w:rFonts w:ascii="Arial" w:hAnsi="Arial" w:cs="Arial"/>
        </w:rPr>
      </w:pPr>
      <w:r>
        <w:rPr>
          <w:rFonts w:cs="Arial" w:ascii="Arial" w:hAnsi="Arial"/>
        </w:rPr>
        <w:t>15.1.  При планировке и застройке сельских поселений необходимо обеспечивать доступность объектов социальной инфраструктуры для инвалидов и маломобильных групп населения, в том числе безопасность перемещения, возможность ориентации в пространстве на основе получения своевременной информации.</w:t>
      </w:r>
    </w:p>
    <w:p>
      <w:pPr>
        <w:pStyle w:val="5551"/>
        <w:rPr/>
      </w:pPr>
      <w:r>
        <w:rPr>
          <w:rFonts w:cs="Arial" w:ascii="Arial" w:hAnsi="Arial"/>
        </w:rPr>
        <w:t xml:space="preserve">15.2. К объектам, подлежащим оснащению специальными приспособлениями и оборудованием для свободного передвижения и доступа инвалидов и маломобильных граждан, относятся: жилые и административные здания и сооружения; объекты культуры и культурно-зрелищные сооружения (театры, библиотеки, музеи, места отправления религиозных обрядов и т.д.); объекты и учреждения образования и науки, здравоохранения и социальной защиты населения; объекты торговли, общественного питания и бытового обслуживания населения, финансово-банковские учреждения; гостиницы, отели, иные места временного проживания; физкультурно-оздоровительные, спортивные здания и сооружения, места отдыха, парки, сады, лесопарки, пляжи и находящиеся на их территории объекты и сооружения оздоровительного и рекреационного назначения, аллеи и пешеходные дорожки; объекты и сооружения транспортного обслуживания населения, связи и информации: железнодорожные вокзалы, автовокзалы, другие объекты автомобильного, железнодорожного, водного и воздушного транспорта, обслуживающие население; станции и остановки всех видов </w:t>
      </w:r>
      <w:r>
        <w:rPr>
          <w:rFonts w:eastAsia="Times New Roman" w:cs="Arial" w:ascii="Arial" w:hAnsi="Arial"/>
          <w:lang w:eastAsia="ar-SA"/>
        </w:rPr>
        <w:t>сельского</w:t>
      </w:r>
      <w:r>
        <w:rPr>
          <w:rFonts w:cs="Arial" w:ascii="Arial" w:hAnsi="Arial"/>
        </w:rPr>
        <w:t xml:space="preserve"> и пригородного транспорта; почтово-телеграфные; производственные объекты, объекты малого бизнеса и другие места приложения труда; тротуары, переходы улиц, дорог и магистралей; прилегающие к вышеперечисленным зданиям и сооружениям территории и площади.</w:t>
      </w:r>
    </w:p>
    <w:p>
      <w:pPr>
        <w:pStyle w:val="5551"/>
        <w:rPr>
          <w:rFonts w:ascii="Arial" w:hAnsi="Arial" w:cs="Arial"/>
        </w:rPr>
      </w:pPr>
      <w:r>
        <w:rPr>
          <w:rFonts w:cs="Arial" w:ascii="Arial" w:hAnsi="Arial"/>
        </w:rPr>
        <w:t>15.3. Объекты социальной инфраструктуры должны оснащаться следующими специальными приспособлениями и оборудованием:</w:t>
      </w:r>
    </w:p>
    <w:p>
      <w:pPr>
        <w:pStyle w:val="5551"/>
        <w:rPr>
          <w:rFonts w:ascii="Arial" w:hAnsi="Arial" w:cs="Arial"/>
        </w:rPr>
      </w:pPr>
      <w:r>
        <w:rPr>
          <w:rFonts w:cs="Arial" w:ascii="Arial" w:hAnsi="Arial"/>
        </w:rPr>
        <w:t>- визуальной и звуковой информацией, включая специальные знаки у строящихся, ремонтируемых объектов и звуковую сигнализацию у светофоров;</w:t>
      </w:r>
    </w:p>
    <w:p>
      <w:pPr>
        <w:pStyle w:val="5551"/>
        <w:rPr>
          <w:rFonts w:ascii="Arial" w:hAnsi="Arial" w:cs="Arial"/>
        </w:rPr>
      </w:pPr>
      <w:r>
        <w:rPr>
          <w:rFonts w:cs="Arial" w:ascii="Arial" w:hAnsi="Arial"/>
        </w:rPr>
        <w:t>- телефонами-автоматами или иными средствами связи, доступными для инвалидов;</w:t>
      </w:r>
    </w:p>
    <w:p>
      <w:pPr>
        <w:pStyle w:val="5551"/>
        <w:rPr>
          <w:rFonts w:ascii="Arial" w:hAnsi="Arial" w:cs="Arial"/>
        </w:rPr>
      </w:pPr>
      <w:r>
        <w:rPr>
          <w:rFonts w:cs="Arial" w:ascii="Arial" w:hAnsi="Arial"/>
        </w:rPr>
        <w:t>- санитарно-гигиеническими помещениями;</w:t>
      </w:r>
    </w:p>
    <w:p>
      <w:pPr>
        <w:pStyle w:val="5551"/>
        <w:rPr>
          <w:rFonts w:ascii="Arial" w:hAnsi="Arial" w:cs="Arial"/>
        </w:rPr>
      </w:pPr>
      <w:r>
        <w:rPr>
          <w:rFonts w:cs="Arial" w:ascii="Arial" w:hAnsi="Arial"/>
        </w:rPr>
        <w:t>- пандусами и поручнями у лестниц при входах в здания;</w:t>
      </w:r>
    </w:p>
    <w:p>
      <w:pPr>
        <w:pStyle w:val="5551"/>
        <w:rPr/>
      </w:pPr>
      <w:r>
        <w:rPr>
          <w:rFonts w:cs="Arial" w:ascii="Arial" w:hAnsi="Arial"/>
        </w:rPr>
        <w:t xml:space="preserve">- пологими спусками у тротуаров в местах наземных переходов улиц, дорог, магистралей и остановок </w:t>
      </w:r>
      <w:r>
        <w:rPr>
          <w:rFonts w:eastAsia="Times New Roman" w:cs="Arial" w:ascii="Arial" w:hAnsi="Arial"/>
          <w:lang w:eastAsia="ar-SA"/>
        </w:rPr>
        <w:t>сельского</w:t>
      </w:r>
      <w:r>
        <w:rPr>
          <w:rFonts w:cs="Arial" w:ascii="Arial" w:hAnsi="Arial"/>
        </w:rPr>
        <w:t xml:space="preserve"> транспорта общего пользования;</w:t>
      </w:r>
    </w:p>
    <w:p>
      <w:pPr>
        <w:pStyle w:val="5551"/>
        <w:rPr>
          <w:rFonts w:ascii="Arial" w:hAnsi="Arial" w:cs="Arial"/>
        </w:rPr>
      </w:pPr>
      <w:r>
        <w:rPr>
          <w:rFonts w:cs="Arial" w:ascii="Arial" w:hAnsi="Arial"/>
        </w:rPr>
        <w:t>- специальными указателями маршрутов движения инвалидов по территории вокзалов, парков и других рекреационных зон;</w:t>
      </w:r>
    </w:p>
    <w:p>
      <w:pPr>
        <w:pStyle w:val="5551"/>
        <w:rPr>
          <w:rFonts w:ascii="Arial" w:hAnsi="Arial" w:cs="Arial"/>
        </w:rPr>
      </w:pPr>
      <w:r>
        <w:rPr>
          <w:rFonts w:cs="Arial" w:ascii="Arial" w:hAnsi="Arial"/>
        </w:rPr>
        <w:t>- пандусами и поручнями у лестниц привокзальных площадей, платформ, остановок маршрутных транспортных средств и мест посадки и высадки пассажиров;</w:t>
      </w:r>
    </w:p>
    <w:p>
      <w:pPr>
        <w:pStyle w:val="5551"/>
        <w:rPr>
          <w:rFonts w:ascii="Arial" w:hAnsi="Arial" w:cs="Arial"/>
        </w:rPr>
      </w:pPr>
      <w:r>
        <w:rPr>
          <w:rFonts w:cs="Arial" w:ascii="Arial" w:hAnsi="Arial"/>
        </w:rPr>
        <w:t>- пандусами при входах в здания, пандусами или подъемными устройствами у лестниц на лифтовых площадках, а также при входах в надземные и подземные переходы улиц, дорог и магистралей.</w:t>
      </w:r>
    </w:p>
    <w:p>
      <w:pPr>
        <w:pStyle w:val="5551"/>
        <w:rPr>
          <w:rFonts w:ascii="Arial" w:hAnsi="Arial" w:cs="Arial"/>
        </w:rPr>
      </w:pPr>
      <w:r>
        <w:rPr>
          <w:rFonts w:cs="Arial" w:ascii="Arial" w:hAnsi="Arial"/>
        </w:rPr>
        <w:t>15.4. На открытых автостоянках около объектов социальной инфраструктуры на расстоянии не далее 50 м от входа, а при жилых зданиях – не далее 100 м, следует выделять до 10 % мест (но не менее одного места) для транспорта инвалидов с учетом ширины зоны для парковки не менее 3,5 м. Места парковки оснащаются знаками, применяемыми в международной практике.</w:t>
      </w:r>
    </w:p>
    <w:p>
      <w:pPr>
        <w:pStyle w:val="5551"/>
        <w:rPr>
          <w:rFonts w:ascii="Arial" w:hAnsi="Arial" w:cs="Arial"/>
        </w:rPr>
      </w:pPr>
      <w:r>
        <w:rPr>
          <w:rFonts w:cs="Arial" w:ascii="Arial" w:hAnsi="Arial"/>
        </w:rPr>
        <w:t>15.5. Расстояние от остановок специализированного транспорта, перевозящих только инвалидов до входов в общественные здания  следует располагать не далее 100 м.</w:t>
      </w:r>
    </w:p>
    <w:p>
      <w:pPr>
        <w:pStyle w:val="5551"/>
        <w:rPr>
          <w:rFonts w:ascii="Arial" w:hAnsi="Arial" w:cs="Arial"/>
        </w:rPr>
      </w:pPr>
      <w:r>
        <w:rPr>
          <w:rFonts w:cs="Arial" w:ascii="Arial" w:hAnsi="Arial"/>
        </w:rPr>
        <w:t>15.6. Ширина пути движения на участке при встречном движении инвалидов на креслах-колясках должна быть не менее 1,8 м.</w:t>
      </w:r>
    </w:p>
    <w:p>
      <w:pPr>
        <w:pStyle w:val="5551"/>
        <w:rPr>
          <w:rFonts w:ascii="Arial" w:hAnsi="Arial" w:cs="Arial"/>
        </w:rPr>
      </w:pPr>
      <w:r>
        <w:rPr>
          <w:rFonts w:cs="Arial" w:ascii="Arial" w:hAnsi="Arial"/>
        </w:rPr>
        <w:t>15.7. Уклоны тротуаров для проезда инвалидов на креслах-колясках не должны превышать:</w:t>
      </w:r>
    </w:p>
    <w:p>
      <w:pPr>
        <w:pStyle w:val="5551"/>
        <w:rPr/>
      </w:pPr>
      <w:r>
        <w:rPr>
          <w:rFonts w:eastAsia="Arial" w:cs="Arial" w:ascii="Arial" w:hAnsi="Arial"/>
        </w:rPr>
        <w:t xml:space="preserve"> </w:t>
      </w:r>
      <w:r>
        <w:rPr>
          <w:rFonts w:cs="Arial" w:ascii="Arial" w:hAnsi="Arial"/>
        </w:rPr>
        <w:t>5 % - продольный, 2 % - поперечный. В исключительных случаях допускается увеличивать продольный уклон до 10% на протяжении пути не более 10 м.</w:t>
      </w:r>
    </w:p>
    <w:p>
      <w:pPr>
        <w:pStyle w:val="5551"/>
        <w:rPr>
          <w:rFonts w:ascii="Arial" w:hAnsi="Arial" w:cs="Arial"/>
        </w:rPr>
      </w:pPr>
      <w:r>
        <w:rPr>
          <w:rFonts w:cs="Arial" w:ascii="Arial" w:hAnsi="Arial"/>
        </w:rPr>
        <w:t>15.8. При невозможности организации отдельного наземного прохода для инвалидов и маломобильных групп населения, подземные и надземные переходы следует оборудовать пандусами и подъемными устройствами. На путях движения инвалидов и маломобильных групп населения не следует размещать тактильные средства ближе 0,8 м до начала опасного участка, изменения направления движения, входа-выхода и т. п.</w:t>
      </w:r>
    </w:p>
    <w:p>
      <w:pPr>
        <w:pStyle w:val="5551"/>
        <w:rPr>
          <w:rFonts w:ascii="Arial" w:hAnsi="Arial" w:cs="Arial"/>
        </w:rPr>
      </w:pPr>
      <w:r>
        <w:rPr>
          <w:rFonts w:cs="Arial" w:ascii="Arial" w:hAnsi="Arial"/>
        </w:rPr>
        <w:t>15.9. Значение выступов основной несущей конструкции здания или сооружения, нижняя кромка которых расположена на высоте от 0,7 до 2,5 м от уровня пешеходного пути, не должно превышать 0,1 м и 0,3 м – для объекта, размещенного на отдельно стоящей опоре. В случае превышения этих значений необходимо предусматривать защитные ограждения высотой не менее 0,7 м, либо бортиком высотой не менее 0,05 м.</w:t>
      </w:r>
    </w:p>
    <w:p>
      <w:pPr>
        <w:pStyle w:val="5551"/>
        <w:rPr>
          <w:rFonts w:ascii="Arial" w:hAnsi="Arial" w:cs="Arial"/>
        </w:rPr>
      </w:pPr>
      <w:r>
        <w:rPr>
          <w:rFonts w:cs="Arial" w:ascii="Arial" w:hAnsi="Arial"/>
        </w:rPr>
        <w:t xml:space="preserve">15.10. Пространство для прохода, проезда и маневрирования кресла-коляски не должно сокращаться размещением на стенах зданий, сооружений и отдельных конструкциях почтовых ящиков, укрытий таксофонов, информационных щитов. </w:t>
      </w:r>
    </w:p>
    <w:p>
      <w:pPr>
        <w:pStyle w:val="5551"/>
        <w:rPr>
          <w:rFonts w:ascii="Arial" w:hAnsi="Arial" w:cs="Arial"/>
        </w:rPr>
      </w:pPr>
      <w:r>
        <w:rPr>
          <w:rFonts w:cs="Arial" w:ascii="Arial" w:hAnsi="Arial"/>
        </w:rPr>
        <w:t>15.11. Размещение площадок на участках при проектировании спортивных сооружений с учетом потребностей инвалидов осуществляется с учетом удаления их границ от заборов, стен на расстояние не менее трех метров.</w:t>
      </w:r>
    </w:p>
    <w:p>
      <w:pPr>
        <w:pStyle w:val="5551"/>
        <w:rPr>
          <w:rFonts w:ascii="Arial" w:hAnsi="Arial" w:cs="Arial"/>
        </w:rPr>
      </w:pPr>
      <w:r>
        <w:rPr>
          <w:rFonts w:cs="Arial" w:ascii="Arial" w:hAnsi="Arial"/>
        </w:rPr>
        <w:t>15.12. По периметру земельного участка комплекса открытых спортивных сооружений необходимо планировать размещение полос с двумя – тремя рядами деревьев и неколючих кустарников, осуществляющих ветро-, пыле- и шумозащиту. Отдельные площадки и открытые плавательные бассейны должны окружаться полосами кустарниковых насаждений. Минимальная ширина шумозащитной полосы должна составлять не менее 10 м при минимальной высоте деревьев – 5 м.</w:t>
      </w:r>
    </w:p>
    <w:p>
      <w:pPr>
        <w:pStyle w:val="5551"/>
        <w:rPr>
          <w:rFonts w:ascii="Arial" w:hAnsi="Arial" w:cs="Arial"/>
        </w:rPr>
      </w:pPr>
      <w:r>
        <w:rPr>
          <w:rFonts w:cs="Arial" w:ascii="Arial" w:hAnsi="Arial"/>
        </w:rPr>
        <w:t>15.13. Для дополнительной ориентации слабовидящих людей на территории участка комплекса спортивных сооружений необходимо компоновать деревья, кустарники и цветы по цвету, запаху, форме листьев.</w:t>
      </w:r>
    </w:p>
    <w:p>
      <w:pPr>
        <w:pStyle w:val="NoSpacing"/>
        <w:jc w:val="both"/>
        <w:rPr>
          <w:rFonts w:ascii="Arial" w:hAnsi="Arial" w:cs="Arial"/>
          <w:sz w:val="24"/>
          <w:szCs w:val="24"/>
        </w:rPr>
      </w:pPr>
      <w:r>
        <w:rPr>
          <w:rFonts w:cs="Arial" w:ascii="Arial" w:hAnsi="Arial"/>
          <w:sz w:val="24"/>
          <w:szCs w:val="24"/>
        </w:rPr>
      </w:r>
    </w:p>
    <w:p>
      <w:pPr>
        <w:pStyle w:val="Style117"/>
        <w:rPr>
          <w:rFonts w:ascii="Arial" w:hAnsi="Arial" w:cs="Arial"/>
        </w:rPr>
      </w:pPr>
      <w:bookmarkStart w:id="61" w:name="__RefHeading___Toc494193947"/>
      <w:bookmarkEnd w:id="61"/>
      <w:r>
        <w:rPr>
          <w:rFonts w:cs="Arial" w:ascii="Arial" w:hAnsi="Arial"/>
        </w:rPr>
        <w:t>16. Охрана окружающей среды</w:t>
      </w:r>
    </w:p>
    <w:p>
      <w:pPr>
        <w:pStyle w:val="NoSpacing"/>
        <w:ind w:left="0" w:right="0" w:firstLine="708"/>
        <w:jc w:val="both"/>
        <w:rPr/>
      </w:pPr>
      <w:r>
        <w:rPr>
          <w:rStyle w:val="555"/>
          <w:rFonts w:cs="Arial" w:ascii="Arial" w:hAnsi="Arial"/>
        </w:rPr>
        <w:t>16.1</w:t>
      </w:r>
      <w:r>
        <w:rPr>
          <w:rFonts w:cs="Arial" w:ascii="Arial" w:hAnsi="Arial"/>
          <w:sz w:val="24"/>
          <w:szCs w:val="24"/>
        </w:rPr>
        <w:t xml:space="preserve">. </w:t>
      </w:r>
      <w:r>
        <w:rPr>
          <w:rFonts w:cs="Arial" w:ascii="Arial" w:hAnsi="Arial"/>
          <w:i/>
          <w:sz w:val="24"/>
          <w:szCs w:val="24"/>
        </w:rPr>
        <w:t>Общие требования.</w:t>
      </w:r>
    </w:p>
    <w:p>
      <w:pPr>
        <w:pStyle w:val="5551"/>
        <w:rPr>
          <w:rFonts w:ascii="Arial" w:hAnsi="Arial" w:cs="Arial"/>
        </w:rPr>
      </w:pPr>
      <w:r>
        <w:rPr>
          <w:rFonts w:cs="Arial" w:ascii="Arial" w:hAnsi="Arial"/>
        </w:rPr>
        <w:t>16.1.1. Планировка и застройка территории Кушнурского сельсовета должна осуществляться на основе оценки существующего состояния окружающей среды и прогноза изменения окружающей среды с учетом предлагаемых проектных мероприятий.</w:t>
      </w:r>
    </w:p>
    <w:p>
      <w:pPr>
        <w:pStyle w:val="5551"/>
        <w:rPr>
          <w:rFonts w:ascii="Arial" w:hAnsi="Arial" w:cs="Arial"/>
        </w:rPr>
      </w:pPr>
      <w:r>
        <w:rPr>
          <w:rFonts w:cs="Arial" w:ascii="Arial" w:hAnsi="Arial"/>
        </w:rPr>
        <w:t xml:space="preserve">16.1.2. Раздел «Охрана окружающей среды» разрабатывается на всех стадиях градостроительной, предпроектной и проектной документации с целью обеспечения устойчивого развития и экологической безопасности территории и населения на основе достоверной и качественной информации о природно-климатических, ландшафтных, геологических, гидрологических и экологических условиях, а также антропогенных изменениях природной среды в процессе хозяйственной деятельности. </w:t>
      </w:r>
    </w:p>
    <w:p>
      <w:pPr>
        <w:pStyle w:val="5551"/>
        <w:rPr>
          <w:rFonts w:ascii="Arial" w:hAnsi="Arial" w:cs="Arial"/>
        </w:rPr>
      </w:pPr>
      <w:r>
        <w:rPr>
          <w:rFonts w:cs="Arial" w:ascii="Arial" w:hAnsi="Arial"/>
        </w:rPr>
        <w:t>16.1.3. Сравнение и выбор вариантов проектных решений следует производить с учетом объемов работ по рекультивации и компенсации экономического ущерба от загрязнения окружающей среды и нарушения экосистем и природных комплексов.</w:t>
      </w:r>
    </w:p>
    <w:p>
      <w:pPr>
        <w:pStyle w:val="5551"/>
        <w:rPr>
          <w:rFonts w:ascii="Arial" w:hAnsi="Arial" w:cs="Arial"/>
        </w:rPr>
      </w:pPr>
      <w:r>
        <w:rPr>
          <w:rFonts w:cs="Arial" w:ascii="Arial" w:hAnsi="Arial"/>
        </w:rPr>
        <w:t>16.1.4. При проектировании необходимо руководствоваться Водным, Земельным, Воздушным и Лесным кодексами Российской Федерации, Федеральными законами от 10.01.2002 г. № 7-ФЗ «Об охране окружающей среды», от 4.05.1999 г. № 96-ФЗ «Об охране атмосферного воздуха», от 30.03.1999 г. № 52-ФЗ «О санитарно-эпидемиологическом благополучии населения», от 24.06.1998 г. № 89-ФЗ «Об отходах производства и потребления», от 15.02.1995 г. № 33-ФЗ «Об особо охраняемых природных территориях», от 23.11.1995 г. № 174-ФЗ «Об экологической экспертизе», законом Российской Федерации от 21.02.1992 г. № 2395-1 «О недрах», законодательством  Нижегородской  области об охране окружающей среды и другими нормативными правовыми актами, согласно которым одним из основных направлений градостроительной деятельности является рациональное землепользование, охрана природы, ресурсосбережение, защита территорий от опасных природных явлений и техногенных процессов и обеспечение благоприятных условий жизнедеятельности человека.</w:t>
      </w:r>
    </w:p>
    <w:p>
      <w:pPr>
        <w:pStyle w:val="5551"/>
        <w:rPr/>
      </w:pPr>
      <w:r>
        <w:rPr>
          <w:rFonts w:cs="Arial" w:ascii="Arial" w:hAnsi="Arial"/>
        </w:rPr>
        <w:t xml:space="preserve">16.2. </w:t>
      </w:r>
      <w:r>
        <w:rPr>
          <w:rFonts w:cs="Arial" w:ascii="Arial" w:hAnsi="Arial"/>
          <w:i/>
        </w:rPr>
        <w:t>Рациональное использование территории</w:t>
      </w:r>
    </w:p>
    <w:p>
      <w:pPr>
        <w:pStyle w:val="5551"/>
        <w:rPr>
          <w:rFonts w:ascii="Arial" w:hAnsi="Arial" w:cs="Arial"/>
        </w:rPr>
      </w:pPr>
      <w:r>
        <w:rPr>
          <w:rFonts w:cs="Arial" w:ascii="Arial" w:hAnsi="Arial"/>
        </w:rPr>
        <w:t>16.2.1. Использование территорий природного комплекса, флоры и фауны осуществляется в соответствии с Федеральными законами от 15.02.1995 г. № 33-ФЗ «Об особо охраняемых природных территориях», от 24.04.1995 г. № 52-ФЗ «О животном мире», законодательством Нижегородской области и другими нормативными правовыми документами.</w:t>
      </w:r>
    </w:p>
    <w:p>
      <w:pPr>
        <w:pStyle w:val="5551"/>
        <w:rPr/>
      </w:pPr>
      <w:r>
        <w:rPr>
          <w:rFonts w:cs="Arial" w:ascii="Arial" w:hAnsi="Arial"/>
        </w:rPr>
        <w:t xml:space="preserve">16.2.2. Проектирование на территории </w:t>
      </w:r>
      <w:r>
        <w:rPr>
          <w:rFonts w:cs="Arial" w:ascii="Arial" w:hAnsi="Arial"/>
          <w:lang w:eastAsia="ar-SA"/>
        </w:rPr>
        <w:t>сельского</w:t>
      </w:r>
      <w:r>
        <w:rPr>
          <w:rFonts w:cs="Arial" w:ascii="Arial" w:hAnsi="Arial"/>
        </w:rPr>
        <w:t xml:space="preserve"> поселения жилой застройки, промышленных комплексов и других объектов осуществляется после получения от соответствующих территориальных геологических организаций заключения об отсутствии полезных ископаемых в недрах под участком предстоящей застройки.</w:t>
      </w:r>
    </w:p>
    <w:p>
      <w:pPr>
        <w:pStyle w:val="5551"/>
        <w:rPr>
          <w:rFonts w:ascii="Arial" w:hAnsi="Arial" w:cs="Arial"/>
        </w:rPr>
      </w:pPr>
      <w:r>
        <w:rPr>
          <w:rFonts w:cs="Arial" w:ascii="Arial" w:hAnsi="Arial"/>
        </w:rPr>
        <w:t>16.2.3. Застройка площадей залегания полезных ископаемых, а также размещение в местах их залегания подземных сооружений допускается с разрешения органов управления государственным фондом недр и органов Ростехнадзора только при условии обеспечения возможности извлечения полезных ископаемых или доказанности экономической целесообразности застройки.</w:t>
      </w:r>
    </w:p>
    <w:p>
      <w:pPr>
        <w:pStyle w:val="5551"/>
        <w:rPr>
          <w:rFonts w:ascii="Arial" w:hAnsi="Arial" w:cs="Arial"/>
        </w:rPr>
      </w:pPr>
      <w:r>
        <w:rPr>
          <w:rFonts w:cs="Arial" w:ascii="Arial" w:hAnsi="Arial"/>
        </w:rPr>
        <w:t>16.2.4. Размещение зданий, сооружений и коммуникаций не допускается:</w:t>
      </w:r>
    </w:p>
    <w:p>
      <w:pPr>
        <w:pStyle w:val="5551"/>
        <w:rPr>
          <w:rFonts w:ascii="Arial" w:hAnsi="Arial" w:cs="Arial"/>
        </w:rPr>
      </w:pPr>
      <w:r>
        <w:rPr>
          <w:rFonts w:cs="Arial" w:ascii="Arial" w:hAnsi="Arial"/>
        </w:rPr>
        <w:t>- на землях особо охраняемых природных территорий, если это противоречит целевому использованию данных земель и может нанести ущерб природным комплексам и их компонентам;</w:t>
      </w:r>
    </w:p>
    <w:p>
      <w:pPr>
        <w:pStyle w:val="5551"/>
        <w:rPr/>
      </w:pPr>
      <w:r>
        <w:rPr>
          <w:rFonts w:cs="Arial" w:ascii="Arial" w:hAnsi="Arial"/>
        </w:rPr>
        <w:t xml:space="preserve">- на землях зеленой зоны </w:t>
      </w:r>
      <w:r>
        <w:rPr>
          <w:rFonts w:cs="Arial" w:ascii="Arial" w:hAnsi="Arial"/>
          <w:lang w:eastAsia="ar-SA"/>
        </w:rPr>
        <w:t>сельского</w:t>
      </w:r>
      <w:r>
        <w:rPr>
          <w:rFonts w:cs="Arial" w:ascii="Arial" w:hAnsi="Arial"/>
        </w:rPr>
        <w:t xml:space="preserve"> поселения, если проектируемые объекты не предназначены для отдыха, спорта или обслуживания пригородного лесного хозяйства;</w:t>
      </w:r>
    </w:p>
    <w:p>
      <w:pPr>
        <w:pStyle w:val="5551"/>
        <w:rPr>
          <w:rFonts w:ascii="Arial" w:hAnsi="Arial" w:cs="Arial"/>
        </w:rPr>
      </w:pPr>
      <w:r>
        <w:rPr>
          <w:rFonts w:cs="Arial" w:ascii="Arial" w:hAnsi="Arial"/>
        </w:rPr>
        <w:t>- в зонах санитарной охраны источников водоснабжения и площадок водопроводных сооружений, если проектируемые объекты не связаны с эксплуатацией источников;</w:t>
      </w:r>
    </w:p>
    <w:p>
      <w:pPr>
        <w:pStyle w:val="5551"/>
        <w:rPr>
          <w:rFonts w:ascii="Arial" w:hAnsi="Arial" w:cs="Arial"/>
        </w:rPr>
      </w:pPr>
      <w:r>
        <w:rPr>
          <w:rFonts w:cs="Arial" w:ascii="Arial" w:hAnsi="Arial"/>
        </w:rPr>
        <w:t>- на землях водоохранных зон и прибрежных защитных полос водных объектов;</w:t>
      </w:r>
    </w:p>
    <w:p>
      <w:pPr>
        <w:pStyle w:val="5551"/>
        <w:rPr>
          <w:rFonts w:ascii="Arial" w:hAnsi="Arial" w:cs="Arial"/>
        </w:rPr>
      </w:pPr>
      <w:r>
        <w:rPr>
          <w:rFonts w:cs="Arial" w:ascii="Arial" w:hAnsi="Arial"/>
        </w:rPr>
        <w:t>- в зонах санитарной охраны курортов, если проектируемые объекты не связаны с эксплуатацией природных лечебных средств курортов.</w:t>
      </w:r>
    </w:p>
    <w:p>
      <w:pPr>
        <w:pStyle w:val="5551"/>
        <w:rPr>
          <w:rFonts w:ascii="Arial" w:hAnsi="Arial" w:cs="Arial"/>
        </w:rPr>
      </w:pPr>
      <w:r>
        <w:rPr>
          <w:rFonts w:cs="Arial" w:ascii="Arial" w:hAnsi="Arial"/>
        </w:rPr>
        <w:t xml:space="preserve">На территории с превышением показателей фона выше гигиенических нормативов не допускается размещение промышленных объектов и производств, являющихся источниками загрязнения среды обитания и воздействия на здоровье человека. </w:t>
      </w:r>
    </w:p>
    <w:p>
      <w:pPr>
        <w:pStyle w:val="5551"/>
        <w:rPr>
          <w:rFonts w:ascii="Arial" w:hAnsi="Arial" w:cs="Arial"/>
        </w:rPr>
      </w:pPr>
      <w:r>
        <w:rPr>
          <w:rFonts w:cs="Arial" w:ascii="Arial" w:hAnsi="Arial"/>
        </w:rPr>
        <w:t>16.2.5. Для действующих объектов, являющихся источниками загрязнения среды обитания человека, разрешается проведение реконструкции или перепрофилирование производств при условии снижения всех видов воздействия на среду обитания до предельно допустимой концентрации (ПДК) при химическом и биологическом воздействии и предельно допустимого уровня (ПДУ) при воздействии физических факторов с учетом фона.</w:t>
      </w:r>
    </w:p>
    <w:p>
      <w:pPr>
        <w:pStyle w:val="5551"/>
        <w:rPr>
          <w:rFonts w:ascii="Arial" w:hAnsi="Arial" w:cs="Arial"/>
        </w:rPr>
      </w:pPr>
      <w:r>
        <w:rPr>
          <w:rFonts w:cs="Arial" w:ascii="Arial" w:hAnsi="Arial"/>
        </w:rPr>
        <w:t>16.2.6. Для промышленных объектов, производств и сооружений, являющихся источниками воздействия на среду обитания и здоровье человека, устанавливаются санитарно-защитные зоны в соответствии с требованиями СанПиН 2.2.1/2.1.1.1200-03 и настоящих местных нормативов.</w:t>
      </w:r>
    </w:p>
    <w:p>
      <w:pPr>
        <w:pStyle w:val="5551"/>
        <w:rPr/>
      </w:pPr>
      <w:r>
        <w:rPr>
          <w:rFonts w:cs="Arial" w:ascii="Arial" w:hAnsi="Arial"/>
        </w:rPr>
        <w:t xml:space="preserve">16.2.7. Территорию для строительства новых и развития существующего   </w:t>
      </w:r>
      <w:r>
        <w:rPr>
          <w:rFonts w:cs="Arial" w:ascii="Arial" w:hAnsi="Arial"/>
          <w:lang w:eastAsia="ar-SA"/>
        </w:rPr>
        <w:t>сельского</w:t>
      </w:r>
      <w:r>
        <w:rPr>
          <w:rFonts w:cs="Arial" w:ascii="Arial" w:hAnsi="Arial"/>
        </w:rPr>
        <w:t xml:space="preserve"> поселения, в соответствии с действующим законодательством, следует предусматривать на землях, не пригодных для сельскохозяйственного использования.</w:t>
      </w:r>
    </w:p>
    <w:p>
      <w:pPr>
        <w:pStyle w:val="5551"/>
        <w:rPr/>
      </w:pPr>
      <w:r>
        <w:rPr>
          <w:rFonts w:cs="Arial" w:ascii="Arial" w:hAnsi="Arial"/>
        </w:rPr>
        <w:t xml:space="preserve">16.3. </w:t>
      </w:r>
      <w:r>
        <w:rPr>
          <w:rFonts w:cs="Arial" w:ascii="Arial" w:hAnsi="Arial"/>
          <w:i/>
        </w:rPr>
        <w:t>Охрана атмосферного воздуха.</w:t>
      </w:r>
    </w:p>
    <w:p>
      <w:pPr>
        <w:pStyle w:val="5551"/>
        <w:rPr>
          <w:rFonts w:ascii="Arial" w:hAnsi="Arial" w:cs="Arial"/>
        </w:rPr>
      </w:pPr>
      <w:r>
        <w:rPr>
          <w:rFonts w:cs="Arial" w:ascii="Arial" w:hAnsi="Arial"/>
        </w:rPr>
        <w:t xml:space="preserve">16.3.1. При проектировании застройки необходимо оценивать качество атмосферного воздуха путем расчета уровня загрязнения атмосферы от всех источников загрязнения (промышленных, транспортных и других), учитывая аэроклиматические и геоморфологические условия, ожидаемые загрязнения атмосферного воздуха с учетом существующих и планируемых объектов, предельно допустимые концентрации (ПДК) или ориентировочные безопасные уровни воздействия (ОБУВ) для каждого из загрязняющих веществ с учетом суммации биологического действия веществ или продуктов их трансформации в атмосфере, а также необходимо разработать предупредительные действия по исключению загрязнения атмосферы, включая неорганизованные выбросы и вторичные источники. </w:t>
      </w:r>
    </w:p>
    <w:p>
      <w:pPr>
        <w:pStyle w:val="5551"/>
        <w:rPr>
          <w:rFonts w:ascii="Arial" w:hAnsi="Arial" w:cs="Arial"/>
        </w:rPr>
      </w:pPr>
      <w:r>
        <w:rPr>
          <w:rFonts w:cs="Arial" w:ascii="Arial" w:hAnsi="Arial"/>
        </w:rPr>
        <w:t xml:space="preserve">Соблюдение гигиенических нормативов - ПДК атмосферных загрязнений химических и биологических веществ обеспечивает отсутствие прямого или косвенного влияния на здоровье населения и условия его проживания. </w:t>
      </w:r>
    </w:p>
    <w:p>
      <w:pPr>
        <w:pStyle w:val="5551"/>
        <w:rPr>
          <w:rFonts w:ascii="Arial" w:hAnsi="Arial" w:cs="Arial"/>
        </w:rPr>
      </w:pPr>
      <w:r>
        <w:rPr>
          <w:rFonts w:cs="Arial" w:ascii="Arial" w:hAnsi="Arial"/>
        </w:rPr>
        <w:t xml:space="preserve">16.3.2. Предельно допустимые концентрации вредных веществ на территории населенного пункта принимаются в соответствии с требованиями ГН 2.1.6.1338-03 «Предельно допустимые концентрации (ПДК) загрязняющих веществ в атмосферном воздухе населенных мест», ГН 2.1.6.2309-07 «Ориентировочные безопасные уровни воздействия (ОБУВ) загрязняющих веществ в атмосферном воздухе населенных мест» и СанПиН 2.1.6.1032-01 «Гигиенические требования к обеспечению качества атмосферного воздуха населенных мест». </w:t>
      </w:r>
    </w:p>
    <w:p>
      <w:pPr>
        <w:pStyle w:val="5551"/>
        <w:rPr>
          <w:rFonts w:ascii="Arial" w:hAnsi="Arial" w:cs="Arial"/>
        </w:rPr>
      </w:pPr>
      <w:r>
        <w:rPr>
          <w:rFonts w:cs="Arial" w:ascii="Arial" w:hAnsi="Arial"/>
        </w:rPr>
        <w:t xml:space="preserve">16.3.3. Максимальный уровень загрязнения атмосферного воздуха на различных территориях принимается по таблице 16.1. </w:t>
      </w:r>
    </w:p>
    <w:p>
      <w:pPr>
        <w:pStyle w:val="Style46"/>
        <w:spacing w:lineRule="atLeast" w:line="100" w:before="0" w:after="0"/>
        <w:ind w:left="0" w:right="0" w:firstLine="714"/>
        <w:jc w:val="right"/>
        <w:rPr>
          <w:rFonts w:ascii="Arial" w:hAnsi="Arial" w:cs="Arial"/>
        </w:rPr>
      </w:pPr>
      <w:r>
        <w:rPr>
          <w:rFonts w:cs="Arial" w:ascii="Arial" w:hAnsi="Arial"/>
        </w:rPr>
        <w:t>Таблица 16.1.</w:t>
      </w:r>
    </w:p>
    <w:tbl>
      <w:tblPr>
        <w:tblW w:w="10355" w:type="dxa"/>
        <w:jc w:val="left"/>
        <w:tblInd w:w="97" w:type="dxa"/>
        <w:tblBorders>
          <w:top w:val="single" w:sz="4" w:space="0" w:color="00000A"/>
          <w:left w:val="single" w:sz="4" w:space="0" w:color="00000A"/>
          <w:bottom w:val="single" w:sz="4" w:space="0" w:color="00000A"/>
          <w:insideH w:val="single" w:sz="4" w:space="0" w:color="00000A"/>
        </w:tblBorders>
        <w:tblCellMar>
          <w:top w:w="62" w:type="dxa"/>
          <w:left w:w="97" w:type="dxa"/>
          <w:bottom w:w="102" w:type="dxa"/>
          <w:right w:w="62" w:type="dxa"/>
        </w:tblCellMar>
      </w:tblPr>
      <w:tblGrid>
        <w:gridCol w:w="4677"/>
        <w:gridCol w:w="5678"/>
      </w:tblGrid>
      <w:tr>
        <w:trPr/>
        <w:tc>
          <w:tcPr>
            <w:tcW w:w="4677" w:type="dxa"/>
            <w:tcBorders>
              <w:top w:val="single" w:sz="4" w:space="0" w:color="00000A"/>
              <w:left w:val="single" w:sz="4" w:space="0" w:color="00000A"/>
              <w:bottom w:val="single" w:sz="4" w:space="0" w:color="00000A"/>
              <w:insideH w:val="single" w:sz="4" w:space="0" w:color="00000A"/>
            </w:tcBorders>
            <w:shd w:fill="EEECE1" w:val="clear"/>
            <w:tcMar>
              <w:left w:w="97" w:type="dxa"/>
            </w:tcMar>
          </w:tcPr>
          <w:p>
            <w:pPr>
              <w:pStyle w:val="ConsPlusNormal1"/>
              <w:jc w:val="center"/>
              <w:rPr>
                <w:rFonts w:cs="Arial"/>
                <w:b/>
                <w:b/>
                <w:sz w:val="24"/>
                <w:szCs w:val="24"/>
              </w:rPr>
            </w:pPr>
            <w:r>
              <w:rPr>
                <w:rFonts w:cs="Arial"/>
                <w:b/>
                <w:sz w:val="24"/>
                <w:szCs w:val="24"/>
              </w:rPr>
              <w:t>Зона</w:t>
            </w:r>
          </w:p>
        </w:tc>
        <w:tc>
          <w:tcPr>
            <w:tcW w:w="56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97" w:type="dxa"/>
            </w:tcMar>
          </w:tcPr>
          <w:p>
            <w:pPr>
              <w:pStyle w:val="ConsPlusNormal1"/>
              <w:jc w:val="center"/>
              <w:rPr>
                <w:rFonts w:cs="Arial"/>
                <w:b/>
                <w:b/>
                <w:sz w:val="24"/>
                <w:szCs w:val="24"/>
              </w:rPr>
            </w:pPr>
            <w:r>
              <w:rPr>
                <w:rFonts w:cs="Arial"/>
                <w:b/>
                <w:sz w:val="24"/>
                <w:szCs w:val="24"/>
              </w:rPr>
              <w:t>Максимальный уровень загрязнения атмосферного воздуха</w:t>
            </w:r>
          </w:p>
        </w:tc>
      </w:tr>
      <w:tr>
        <w:trPr/>
        <w:tc>
          <w:tcPr>
            <w:tcW w:w="4677" w:type="dxa"/>
            <w:tcBorders>
              <w:top w:val="single" w:sz="4" w:space="0" w:color="00000A"/>
              <w:left w:val="single" w:sz="4" w:space="0" w:color="00000A"/>
              <w:bottom w:val="single" w:sz="4" w:space="0" w:color="00000A"/>
              <w:insideH w:val="single" w:sz="4" w:space="0" w:color="00000A"/>
            </w:tcBorders>
            <w:shd w:fill="auto" w:val="clear"/>
            <w:tcMar>
              <w:left w:w="97" w:type="dxa"/>
            </w:tcMar>
          </w:tcPr>
          <w:p>
            <w:pPr>
              <w:pStyle w:val="ConsPlusNormal1"/>
              <w:ind w:left="0" w:right="0" w:firstLine="40"/>
              <w:jc w:val="left"/>
              <w:rPr>
                <w:rFonts w:cs="Arial"/>
                <w:sz w:val="24"/>
                <w:szCs w:val="24"/>
              </w:rPr>
            </w:pPr>
            <w:r>
              <w:rPr>
                <w:rFonts w:cs="Arial"/>
                <w:sz w:val="24"/>
                <w:szCs w:val="24"/>
              </w:rPr>
              <w:t>Жилые зоны: индивидуальная застройка ночное время суток (23.00 - 7.00)</w:t>
            </w:r>
          </w:p>
        </w:tc>
        <w:tc>
          <w:tcPr>
            <w:tcW w:w="56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7" w:type="dxa"/>
            </w:tcMar>
          </w:tcPr>
          <w:p>
            <w:pPr>
              <w:pStyle w:val="ConsPlusNormal1"/>
              <w:ind w:left="0" w:right="0" w:hanging="0"/>
              <w:jc w:val="center"/>
              <w:rPr>
                <w:rFonts w:cs="Arial"/>
                <w:sz w:val="24"/>
                <w:szCs w:val="24"/>
              </w:rPr>
            </w:pPr>
            <w:r>
              <w:rPr>
                <w:rFonts w:cs="Arial"/>
                <w:sz w:val="24"/>
                <w:szCs w:val="24"/>
              </w:rPr>
              <w:t>1 ПДК</w:t>
            </w:r>
          </w:p>
        </w:tc>
      </w:tr>
      <w:tr>
        <w:trPr/>
        <w:tc>
          <w:tcPr>
            <w:tcW w:w="4677" w:type="dxa"/>
            <w:tcBorders>
              <w:top w:val="single" w:sz="4" w:space="0" w:color="00000A"/>
              <w:left w:val="single" w:sz="4" w:space="0" w:color="00000A"/>
              <w:bottom w:val="single" w:sz="4" w:space="0" w:color="00000A"/>
              <w:insideH w:val="single" w:sz="4" w:space="0" w:color="00000A"/>
            </w:tcBorders>
            <w:shd w:fill="auto" w:val="clear"/>
            <w:tcMar>
              <w:left w:w="97" w:type="dxa"/>
            </w:tcMar>
          </w:tcPr>
          <w:p>
            <w:pPr>
              <w:pStyle w:val="ConsPlusNormal1"/>
              <w:ind w:left="0" w:right="0" w:firstLine="40"/>
              <w:jc w:val="left"/>
              <w:rPr>
                <w:rFonts w:cs="Arial"/>
                <w:sz w:val="24"/>
                <w:szCs w:val="24"/>
              </w:rPr>
            </w:pPr>
            <w:r>
              <w:rPr>
                <w:rFonts w:cs="Arial"/>
                <w:sz w:val="24"/>
                <w:szCs w:val="24"/>
              </w:rPr>
              <w:t>Общественно-деловые зоны</w:t>
            </w:r>
          </w:p>
        </w:tc>
        <w:tc>
          <w:tcPr>
            <w:tcW w:w="56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7" w:type="dxa"/>
            </w:tcMar>
          </w:tcPr>
          <w:p>
            <w:pPr>
              <w:pStyle w:val="ConsPlusNormal1"/>
              <w:ind w:left="0" w:right="0" w:hanging="0"/>
              <w:jc w:val="center"/>
              <w:rPr>
                <w:rFonts w:cs="Arial"/>
                <w:sz w:val="24"/>
                <w:szCs w:val="24"/>
              </w:rPr>
            </w:pPr>
            <w:r>
              <w:rPr>
                <w:rFonts w:cs="Arial"/>
                <w:sz w:val="24"/>
                <w:szCs w:val="24"/>
              </w:rPr>
              <w:t>1 ПДК</w:t>
            </w:r>
          </w:p>
        </w:tc>
      </w:tr>
      <w:tr>
        <w:trPr/>
        <w:tc>
          <w:tcPr>
            <w:tcW w:w="4677" w:type="dxa"/>
            <w:tcBorders>
              <w:top w:val="single" w:sz="4" w:space="0" w:color="00000A"/>
              <w:left w:val="single" w:sz="4" w:space="0" w:color="00000A"/>
              <w:bottom w:val="single" w:sz="4" w:space="0" w:color="00000A"/>
              <w:insideH w:val="single" w:sz="4" w:space="0" w:color="00000A"/>
            </w:tcBorders>
            <w:shd w:fill="auto" w:val="clear"/>
            <w:tcMar>
              <w:left w:w="97" w:type="dxa"/>
            </w:tcMar>
          </w:tcPr>
          <w:p>
            <w:pPr>
              <w:pStyle w:val="ConsPlusNormal1"/>
              <w:ind w:left="0" w:right="0" w:firstLine="40"/>
              <w:jc w:val="left"/>
              <w:rPr>
                <w:rFonts w:cs="Arial"/>
                <w:sz w:val="24"/>
                <w:szCs w:val="24"/>
              </w:rPr>
            </w:pPr>
            <w:r>
              <w:rPr>
                <w:rFonts w:cs="Arial"/>
                <w:sz w:val="24"/>
                <w:szCs w:val="24"/>
              </w:rPr>
              <w:t>Производственные зоны</w:t>
            </w:r>
          </w:p>
        </w:tc>
        <w:tc>
          <w:tcPr>
            <w:tcW w:w="56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7" w:type="dxa"/>
            </w:tcMar>
          </w:tcPr>
          <w:p>
            <w:pPr>
              <w:pStyle w:val="ConsPlusNormal1"/>
              <w:ind w:left="0" w:right="0" w:hanging="0"/>
              <w:jc w:val="center"/>
              <w:rPr>
                <w:rFonts w:cs="Arial"/>
                <w:sz w:val="24"/>
                <w:szCs w:val="24"/>
              </w:rPr>
            </w:pPr>
            <w:r>
              <w:rPr>
                <w:rFonts w:cs="Arial"/>
                <w:sz w:val="24"/>
                <w:szCs w:val="24"/>
              </w:rPr>
              <w:t>Нормируется по границе объединенной СЗЗ 1 ПДК</w:t>
            </w:r>
          </w:p>
        </w:tc>
      </w:tr>
      <w:tr>
        <w:trPr/>
        <w:tc>
          <w:tcPr>
            <w:tcW w:w="4677" w:type="dxa"/>
            <w:tcBorders>
              <w:top w:val="single" w:sz="4" w:space="0" w:color="00000A"/>
              <w:left w:val="single" w:sz="4" w:space="0" w:color="00000A"/>
              <w:bottom w:val="single" w:sz="4" w:space="0" w:color="00000A"/>
              <w:insideH w:val="single" w:sz="4" w:space="0" w:color="00000A"/>
            </w:tcBorders>
            <w:shd w:fill="auto" w:val="clear"/>
            <w:tcMar>
              <w:left w:w="97" w:type="dxa"/>
            </w:tcMar>
          </w:tcPr>
          <w:p>
            <w:pPr>
              <w:pStyle w:val="ConsPlusNormal1"/>
              <w:ind w:left="0" w:right="0" w:firstLine="40"/>
              <w:jc w:val="left"/>
              <w:rPr>
                <w:rFonts w:cs="Arial"/>
                <w:sz w:val="24"/>
                <w:szCs w:val="24"/>
              </w:rPr>
            </w:pPr>
            <w:r>
              <w:rPr>
                <w:rFonts w:cs="Arial"/>
                <w:sz w:val="24"/>
                <w:szCs w:val="24"/>
              </w:rPr>
              <w:t>Рекреационные зоны</w:t>
            </w:r>
          </w:p>
        </w:tc>
        <w:tc>
          <w:tcPr>
            <w:tcW w:w="56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7" w:type="dxa"/>
            </w:tcMar>
          </w:tcPr>
          <w:p>
            <w:pPr>
              <w:pStyle w:val="ConsPlusNormal1"/>
              <w:ind w:left="0" w:right="0" w:hanging="0"/>
              <w:jc w:val="center"/>
              <w:rPr>
                <w:rFonts w:cs="Arial"/>
                <w:sz w:val="24"/>
                <w:szCs w:val="24"/>
              </w:rPr>
            </w:pPr>
            <w:r>
              <w:rPr>
                <w:rFonts w:cs="Arial"/>
                <w:sz w:val="24"/>
                <w:szCs w:val="24"/>
              </w:rPr>
              <w:t>0,8 ПДК</w:t>
            </w:r>
          </w:p>
        </w:tc>
      </w:tr>
      <w:tr>
        <w:trPr/>
        <w:tc>
          <w:tcPr>
            <w:tcW w:w="4677" w:type="dxa"/>
            <w:tcBorders>
              <w:top w:val="single" w:sz="4" w:space="0" w:color="00000A"/>
              <w:left w:val="single" w:sz="4" w:space="0" w:color="00000A"/>
              <w:bottom w:val="single" w:sz="4" w:space="0" w:color="00000A"/>
              <w:insideH w:val="single" w:sz="4" w:space="0" w:color="00000A"/>
            </w:tcBorders>
            <w:shd w:fill="auto" w:val="clear"/>
            <w:tcMar>
              <w:left w:w="97" w:type="dxa"/>
            </w:tcMar>
          </w:tcPr>
          <w:p>
            <w:pPr>
              <w:pStyle w:val="ConsPlusNormal1"/>
              <w:ind w:left="0" w:right="0" w:firstLine="40"/>
              <w:jc w:val="left"/>
              <w:rPr>
                <w:rFonts w:cs="Arial"/>
                <w:sz w:val="24"/>
                <w:szCs w:val="24"/>
              </w:rPr>
            </w:pPr>
            <w:r>
              <w:rPr>
                <w:rFonts w:cs="Arial"/>
                <w:sz w:val="24"/>
                <w:szCs w:val="24"/>
              </w:rPr>
              <w:t>Зоны сельскохозяйственного использования</w:t>
            </w:r>
          </w:p>
        </w:tc>
        <w:tc>
          <w:tcPr>
            <w:tcW w:w="56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97" w:type="dxa"/>
            </w:tcMar>
          </w:tcPr>
          <w:p>
            <w:pPr>
              <w:pStyle w:val="ConsPlusNormal1"/>
              <w:ind w:left="0" w:right="0" w:hanging="0"/>
              <w:jc w:val="center"/>
              <w:rPr>
                <w:rFonts w:cs="Arial"/>
                <w:sz w:val="24"/>
                <w:szCs w:val="24"/>
              </w:rPr>
            </w:pPr>
            <w:r>
              <w:rPr>
                <w:rFonts w:cs="Arial"/>
                <w:sz w:val="24"/>
                <w:szCs w:val="24"/>
              </w:rPr>
              <w:t>0,8 ПДК - дачные хозяйства, садоводство 1 ПДК - зоны, занятые объектами сельскохозяйственного назначения</w:t>
            </w:r>
          </w:p>
        </w:tc>
      </w:tr>
    </w:tbl>
    <w:p>
      <w:pPr>
        <w:pStyle w:val="ConsPlusNormal1"/>
        <w:ind w:left="0" w:right="0" w:firstLine="540"/>
        <w:rPr>
          <w:rFonts w:cs="Arial"/>
          <w:sz w:val="24"/>
          <w:szCs w:val="24"/>
        </w:rPr>
      </w:pPr>
      <w:r>
        <w:rPr>
          <w:rFonts w:cs="Arial"/>
          <w:sz w:val="24"/>
          <w:szCs w:val="24"/>
        </w:rPr>
        <w:t>Примечание: значение максимально допустимых уровней относятся к территориям, расположенным внутри зон. На границах зон должны обеспечиваться значения уровней воздействия, соответствующие меньшему значению из разрешенных в зонах по обе стороны границы.</w:t>
      </w:r>
    </w:p>
    <w:p>
      <w:pPr>
        <w:pStyle w:val="Style46"/>
        <w:spacing w:lineRule="atLeast" w:line="100" w:before="0" w:after="0"/>
        <w:ind w:left="0" w:right="0" w:firstLine="714"/>
        <w:jc w:val="right"/>
        <w:rPr>
          <w:rFonts w:ascii="Arial" w:hAnsi="Arial" w:cs="Arial"/>
        </w:rPr>
      </w:pPr>
      <w:r>
        <w:rPr>
          <w:rFonts w:cs="Arial" w:ascii="Arial" w:hAnsi="Arial"/>
        </w:rPr>
      </w:r>
    </w:p>
    <w:p>
      <w:pPr>
        <w:pStyle w:val="5551"/>
        <w:rPr>
          <w:rFonts w:ascii="Arial" w:hAnsi="Arial" w:cs="Arial"/>
        </w:rPr>
      </w:pPr>
      <w:r>
        <w:rPr>
          <w:rFonts w:cs="Arial" w:ascii="Arial" w:hAnsi="Arial"/>
        </w:rPr>
        <w:t>16.3.4. Селитебные территории не следует размещать с подветренной стороны (для ветров преобладающего направления) по отношению к источникам загрязнения атмосферного воздуха.</w:t>
      </w:r>
    </w:p>
    <w:p>
      <w:pPr>
        <w:pStyle w:val="5551"/>
        <w:rPr>
          <w:rFonts w:ascii="Arial" w:hAnsi="Arial" w:cs="Arial"/>
        </w:rPr>
      </w:pPr>
      <w:r>
        <w:rPr>
          <w:rFonts w:cs="Arial" w:ascii="Arial" w:hAnsi="Arial"/>
        </w:rPr>
        <w:t xml:space="preserve">В жилой зоне и местах массового отдыха населения запрещается размещать объекты 1-го и 2-го классов опасности согласно таблице 16.2. </w:t>
      </w:r>
    </w:p>
    <w:p>
      <w:pPr>
        <w:pStyle w:val="Style46"/>
        <w:spacing w:lineRule="atLeast" w:line="100" w:before="0" w:after="0"/>
        <w:ind w:left="0" w:right="0" w:firstLine="714"/>
        <w:jc w:val="right"/>
        <w:rPr/>
      </w:pPr>
      <w:bookmarkStart w:id="62" w:name="page413"/>
      <w:bookmarkEnd w:id="62"/>
      <w:r>
        <w:rPr>
          <w:rFonts w:cs="Arial" w:ascii="Arial" w:hAnsi="Arial"/>
          <w:color w:val="000000"/>
          <w:lang w:val="en-US"/>
        </w:rPr>
        <w:t>Таблица</w:t>
      </w:r>
      <w:r>
        <w:rPr>
          <w:rFonts w:cs="Arial" w:ascii="Arial" w:hAnsi="Arial"/>
          <w:color w:val="000000"/>
        </w:rPr>
        <w:t xml:space="preserve"> 16.2</w:t>
      </w:r>
    </w:p>
    <w:p>
      <w:pPr>
        <w:pStyle w:val="Style46"/>
        <w:spacing w:lineRule="atLeast" w:line="100" w:before="0" w:after="0"/>
        <w:ind w:left="0" w:right="0" w:firstLine="714"/>
        <w:jc w:val="right"/>
        <w:rPr>
          <w:rFonts w:ascii="Arial" w:hAnsi="Arial" w:cs="Arial"/>
          <w:color w:val="000000"/>
        </w:rPr>
      </w:pPr>
      <w:r>
        <w:rPr>
          <w:rFonts w:cs="Arial" w:ascii="Arial" w:hAnsi="Arial"/>
          <w:color w:val="000000"/>
        </w:rPr>
      </w:r>
    </w:p>
    <w:tbl>
      <w:tblPr>
        <w:tblW w:w="9984" w:type="dxa"/>
        <w:jc w:val="left"/>
        <w:tblInd w:w="192" w:type="dxa"/>
        <w:tblBorders>
          <w:top w:val="single" w:sz="4" w:space="0" w:color="00000A"/>
          <w:left w:val="single" w:sz="4" w:space="0" w:color="00000A"/>
          <w:bottom w:val="single" w:sz="4" w:space="0" w:color="00000A"/>
          <w:insideH w:val="single" w:sz="4" w:space="0" w:color="00000A"/>
        </w:tblBorders>
        <w:tblCellMar>
          <w:top w:w="55" w:type="dxa"/>
          <w:left w:w="55" w:type="dxa"/>
          <w:bottom w:w="55" w:type="dxa"/>
          <w:right w:w="55" w:type="dxa"/>
        </w:tblCellMar>
      </w:tblPr>
      <w:tblGrid>
        <w:gridCol w:w="3118"/>
        <w:gridCol w:w="1732"/>
        <w:gridCol w:w="1839"/>
        <w:gridCol w:w="1840"/>
        <w:gridCol w:w="1455"/>
      </w:tblGrid>
      <w:tr>
        <w:trPr/>
        <w:tc>
          <w:tcPr>
            <w:tcW w:w="3118" w:type="dxa"/>
            <w:vMerge w:val="restart"/>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Наименование показателя</w:t>
            </w:r>
          </w:p>
        </w:tc>
        <w:tc>
          <w:tcPr>
            <w:tcW w:w="6866"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Style53"/>
              <w:snapToGrid w:val="false"/>
              <w:jc w:val="center"/>
              <w:rPr>
                <w:rFonts w:ascii="Arial" w:hAnsi="Arial" w:eastAsia="TimesNewRoman" w:cs="Arial"/>
                <w:b/>
                <w:b/>
              </w:rPr>
            </w:pPr>
            <w:r>
              <w:rPr>
                <w:rFonts w:eastAsia="TimesNewRoman" w:cs="Arial" w:ascii="Arial" w:hAnsi="Arial"/>
                <w:b/>
              </w:rPr>
              <w:t>Норма для класса опасности</w:t>
            </w:r>
          </w:p>
        </w:tc>
      </w:tr>
      <w:tr>
        <w:trPr/>
        <w:tc>
          <w:tcPr>
            <w:tcW w:w="3118" w:type="dxa"/>
            <w:vMerge w:val="continue"/>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r>
          </w:p>
        </w:tc>
        <w:tc>
          <w:tcPr>
            <w:tcW w:w="1732"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pPr>
            <w:r>
              <w:rPr>
                <w:rFonts w:eastAsia="Times New Roman" w:cs="Arial" w:ascii="Arial" w:hAnsi="Arial"/>
                <w:b/>
              </w:rPr>
              <w:t>1-</w:t>
            </w:r>
            <w:r>
              <w:rPr>
                <w:rFonts w:eastAsia="TimesNewRoman" w:cs="Arial" w:ascii="Arial" w:hAnsi="Arial"/>
                <w:b/>
              </w:rPr>
              <w:t>го</w:t>
            </w:r>
          </w:p>
        </w:tc>
        <w:tc>
          <w:tcPr>
            <w:tcW w:w="1839"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pPr>
            <w:r>
              <w:rPr>
                <w:rFonts w:eastAsia="Times New Roman" w:cs="Arial" w:ascii="Arial" w:hAnsi="Arial"/>
                <w:b/>
              </w:rPr>
              <w:t>2-</w:t>
            </w:r>
            <w:r>
              <w:rPr>
                <w:rFonts w:eastAsia="TimesNewRoman" w:cs="Arial" w:ascii="Arial" w:hAnsi="Arial"/>
                <w:b/>
              </w:rPr>
              <w:t>го</w:t>
            </w:r>
          </w:p>
        </w:tc>
        <w:tc>
          <w:tcPr>
            <w:tcW w:w="1840"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pPr>
            <w:r>
              <w:rPr>
                <w:rFonts w:eastAsia="Times New Roman" w:cs="Arial" w:ascii="Arial" w:hAnsi="Arial"/>
                <w:b/>
              </w:rPr>
              <w:t>3-</w:t>
            </w:r>
            <w:r>
              <w:rPr>
                <w:rFonts w:eastAsia="TimesNewRoman" w:cs="Arial" w:ascii="Arial" w:hAnsi="Arial"/>
                <w:b/>
              </w:rPr>
              <w:t>го</w:t>
            </w:r>
          </w:p>
        </w:tc>
        <w:tc>
          <w:tcPr>
            <w:tcW w:w="14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Style53"/>
              <w:snapToGrid w:val="false"/>
              <w:jc w:val="center"/>
              <w:rPr/>
            </w:pPr>
            <w:r>
              <w:rPr>
                <w:rFonts w:eastAsia="Times New Roman" w:cs="Arial" w:ascii="Arial" w:hAnsi="Arial"/>
                <w:b/>
              </w:rPr>
              <w:t>4-</w:t>
            </w:r>
            <w:r>
              <w:rPr>
                <w:rFonts w:eastAsia="TimesNewRoman" w:cs="Arial" w:ascii="Arial" w:hAnsi="Arial"/>
                <w:b/>
              </w:rPr>
              <w:t>го</w:t>
            </w:r>
          </w:p>
        </w:tc>
      </w:tr>
      <w:tr>
        <w:trPr/>
        <w:tc>
          <w:tcPr>
            <w:tcW w:w="311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Предельно допустимая концентрация (ПДК) вредных веществ в воздухе рабочей зоны, мг/м3</w:t>
            </w:r>
          </w:p>
        </w:tc>
        <w:tc>
          <w:tcPr>
            <w:tcW w:w="1732"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NewRoman" w:cs="Arial"/>
              </w:rPr>
            </w:pPr>
            <w:r>
              <w:rPr>
                <w:rFonts w:eastAsia="TimesNewRoman" w:cs="Arial" w:ascii="Arial" w:hAnsi="Arial"/>
              </w:rPr>
              <w:t>Менее 0,1</w:t>
            </w:r>
          </w:p>
        </w:tc>
        <w:tc>
          <w:tcPr>
            <w:tcW w:w="183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0,1 - 1,0</w:t>
            </w:r>
          </w:p>
        </w:tc>
        <w:tc>
          <w:tcPr>
            <w:tcW w:w="184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1,1 - 10,0</w:t>
            </w:r>
          </w:p>
        </w:tc>
        <w:tc>
          <w:tcPr>
            <w:tcW w:w="14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Более 10,0</w:t>
            </w:r>
          </w:p>
        </w:tc>
      </w:tr>
      <w:tr>
        <w:trPr/>
        <w:tc>
          <w:tcPr>
            <w:tcW w:w="311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Средняя смертельная доза при введении</w:t>
            </w:r>
          </w:p>
          <w:p>
            <w:pPr>
              <w:pStyle w:val="Style53"/>
              <w:rPr>
                <w:rFonts w:ascii="Arial" w:hAnsi="Arial" w:cs="Arial"/>
              </w:rPr>
            </w:pPr>
            <w:r>
              <w:rPr>
                <w:rFonts w:cs="Arial" w:ascii="Arial" w:hAnsi="Arial"/>
              </w:rPr>
              <w:t>в желудок, мг/кг</w:t>
            </w:r>
          </w:p>
        </w:tc>
        <w:tc>
          <w:tcPr>
            <w:tcW w:w="1732"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Менее 15</w:t>
            </w:r>
          </w:p>
        </w:tc>
        <w:tc>
          <w:tcPr>
            <w:tcW w:w="183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 New Roman" w:cs="Arial"/>
              </w:rPr>
            </w:pPr>
            <w:r>
              <w:rPr>
                <w:rFonts w:eastAsia="Times New Roman" w:cs="Arial" w:ascii="Arial" w:hAnsi="Arial"/>
              </w:rPr>
              <w:t>15 – 150</w:t>
            </w:r>
          </w:p>
        </w:tc>
        <w:tc>
          <w:tcPr>
            <w:tcW w:w="184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151 – 5000</w:t>
            </w:r>
          </w:p>
        </w:tc>
        <w:tc>
          <w:tcPr>
            <w:tcW w:w="14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Более 5000</w:t>
            </w:r>
          </w:p>
        </w:tc>
      </w:tr>
      <w:tr>
        <w:trPr/>
        <w:tc>
          <w:tcPr>
            <w:tcW w:w="311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Средняя смертельная доза при нанесении</w:t>
            </w:r>
          </w:p>
          <w:p>
            <w:pPr>
              <w:pStyle w:val="Style53"/>
              <w:rPr>
                <w:rFonts w:ascii="Arial" w:hAnsi="Arial" w:cs="Arial"/>
              </w:rPr>
            </w:pPr>
            <w:r>
              <w:rPr>
                <w:rFonts w:cs="Arial" w:ascii="Arial" w:hAnsi="Arial"/>
              </w:rPr>
              <w:t>на кожу, мг/кг</w:t>
            </w:r>
          </w:p>
        </w:tc>
        <w:tc>
          <w:tcPr>
            <w:tcW w:w="1732"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Менее 100</w:t>
            </w:r>
          </w:p>
        </w:tc>
        <w:tc>
          <w:tcPr>
            <w:tcW w:w="183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100 – 500</w:t>
            </w:r>
          </w:p>
        </w:tc>
        <w:tc>
          <w:tcPr>
            <w:tcW w:w="184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501 – 2500</w:t>
            </w:r>
          </w:p>
        </w:tc>
        <w:tc>
          <w:tcPr>
            <w:tcW w:w="14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pPr>
            <w:r>
              <w:rPr>
                <w:rFonts w:eastAsia="TimesNewRoman" w:cs="Arial" w:ascii="Arial" w:hAnsi="Arial"/>
              </w:rPr>
              <w:t xml:space="preserve">Более </w:t>
            </w:r>
            <w:r>
              <w:rPr>
                <w:rFonts w:eastAsia="Times New Roman" w:cs="Arial" w:ascii="Arial" w:hAnsi="Arial"/>
              </w:rPr>
              <w:t>2500</w:t>
            </w:r>
          </w:p>
        </w:tc>
      </w:tr>
      <w:tr>
        <w:trPr/>
        <w:tc>
          <w:tcPr>
            <w:tcW w:w="311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Средняя смертельная концентрация в воздухе, мг/м3</w:t>
            </w:r>
          </w:p>
        </w:tc>
        <w:tc>
          <w:tcPr>
            <w:tcW w:w="1732"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Менее 500</w:t>
            </w:r>
          </w:p>
        </w:tc>
        <w:tc>
          <w:tcPr>
            <w:tcW w:w="183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500 – 5000</w:t>
            </w:r>
          </w:p>
        </w:tc>
        <w:tc>
          <w:tcPr>
            <w:tcW w:w="184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5001 – 50000</w:t>
            </w:r>
          </w:p>
        </w:tc>
        <w:tc>
          <w:tcPr>
            <w:tcW w:w="14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Более 50000</w:t>
            </w:r>
          </w:p>
        </w:tc>
      </w:tr>
      <w:tr>
        <w:trPr/>
        <w:tc>
          <w:tcPr>
            <w:tcW w:w="311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Коэффициент возможности ингаляционного</w:t>
            </w:r>
          </w:p>
          <w:p>
            <w:pPr>
              <w:pStyle w:val="Style53"/>
              <w:rPr>
                <w:rFonts w:ascii="Arial" w:hAnsi="Arial" w:cs="Arial"/>
              </w:rPr>
            </w:pPr>
            <w:r>
              <w:rPr>
                <w:rFonts w:cs="Arial" w:ascii="Arial" w:hAnsi="Arial"/>
              </w:rPr>
              <w:t>отравления (КВИО)</w:t>
            </w:r>
          </w:p>
        </w:tc>
        <w:tc>
          <w:tcPr>
            <w:tcW w:w="1732"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Более 300</w:t>
            </w:r>
          </w:p>
        </w:tc>
        <w:tc>
          <w:tcPr>
            <w:tcW w:w="183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300 – 30</w:t>
            </w:r>
          </w:p>
        </w:tc>
        <w:tc>
          <w:tcPr>
            <w:tcW w:w="184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29 – 3</w:t>
            </w:r>
          </w:p>
        </w:tc>
        <w:tc>
          <w:tcPr>
            <w:tcW w:w="14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Менее 3</w:t>
            </w:r>
          </w:p>
        </w:tc>
      </w:tr>
      <w:tr>
        <w:trPr/>
        <w:tc>
          <w:tcPr>
            <w:tcW w:w="311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NewRoman" w:cs="Arial"/>
              </w:rPr>
            </w:pPr>
            <w:r>
              <w:rPr>
                <w:rFonts w:eastAsia="TimesNewRoman" w:cs="Arial" w:ascii="Arial" w:hAnsi="Arial"/>
              </w:rPr>
              <w:t>Зона острого действия</w:t>
            </w:r>
          </w:p>
        </w:tc>
        <w:tc>
          <w:tcPr>
            <w:tcW w:w="1732"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Менее 6,0</w:t>
            </w:r>
          </w:p>
        </w:tc>
        <w:tc>
          <w:tcPr>
            <w:tcW w:w="183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6,0 - 18,0</w:t>
            </w:r>
          </w:p>
        </w:tc>
        <w:tc>
          <w:tcPr>
            <w:tcW w:w="184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 New Roman" w:cs="Arial"/>
              </w:rPr>
            </w:pPr>
            <w:r>
              <w:rPr>
                <w:rFonts w:eastAsia="Times New Roman" w:cs="Arial" w:ascii="Arial" w:hAnsi="Arial"/>
              </w:rPr>
              <w:t>18,1 - 54,0</w:t>
            </w:r>
          </w:p>
        </w:tc>
        <w:tc>
          <w:tcPr>
            <w:tcW w:w="14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pPr>
            <w:r>
              <w:rPr>
                <w:rFonts w:eastAsia="TimesNewRoman" w:cs="Arial" w:ascii="Arial" w:hAnsi="Arial"/>
              </w:rPr>
              <w:t xml:space="preserve">Более </w:t>
            </w:r>
            <w:r>
              <w:rPr>
                <w:rFonts w:eastAsia="Times New Roman" w:cs="Arial" w:ascii="Arial" w:hAnsi="Arial"/>
              </w:rPr>
              <w:t>54,0</w:t>
            </w:r>
          </w:p>
        </w:tc>
      </w:tr>
      <w:tr>
        <w:trPr/>
        <w:tc>
          <w:tcPr>
            <w:tcW w:w="311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NewRoman" w:cs="Arial"/>
              </w:rPr>
            </w:pPr>
            <w:r>
              <w:rPr>
                <w:rFonts w:eastAsia="TimesNewRoman" w:cs="Arial" w:ascii="Arial" w:hAnsi="Arial"/>
              </w:rPr>
              <w:t>Зона хронического действия</w:t>
            </w:r>
          </w:p>
        </w:tc>
        <w:tc>
          <w:tcPr>
            <w:tcW w:w="1732"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Более 10,0</w:t>
            </w:r>
          </w:p>
        </w:tc>
        <w:tc>
          <w:tcPr>
            <w:tcW w:w="183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 New Roman" w:cs="Arial"/>
              </w:rPr>
            </w:pPr>
            <w:r>
              <w:rPr>
                <w:rFonts w:eastAsia="Times New Roman" w:cs="Arial" w:ascii="Arial" w:hAnsi="Arial"/>
              </w:rPr>
              <w:t>10,0 - 5,0</w:t>
            </w:r>
          </w:p>
        </w:tc>
        <w:tc>
          <w:tcPr>
            <w:tcW w:w="184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4,9 - 2,5</w:t>
            </w:r>
          </w:p>
        </w:tc>
        <w:tc>
          <w:tcPr>
            <w:tcW w:w="14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pPr>
            <w:r>
              <w:rPr>
                <w:rFonts w:eastAsia="TimesNewRoman" w:cs="Arial" w:ascii="Arial" w:hAnsi="Arial"/>
              </w:rPr>
              <w:t xml:space="preserve">Менее </w:t>
            </w:r>
            <w:r>
              <w:rPr>
                <w:rFonts w:eastAsia="Times New Roman" w:cs="Arial" w:ascii="Arial" w:hAnsi="Arial"/>
              </w:rPr>
              <w:t>2,5</w:t>
            </w:r>
          </w:p>
        </w:tc>
      </w:tr>
    </w:tbl>
    <w:p>
      <w:pPr>
        <w:pStyle w:val="5551"/>
        <w:rPr>
          <w:rFonts w:ascii="Arial" w:hAnsi="Arial" w:cs="Arial"/>
        </w:rPr>
      </w:pPr>
      <w:r>
        <w:rPr>
          <w:rFonts w:cs="Arial" w:ascii="Arial" w:hAnsi="Arial"/>
        </w:rPr>
        <w:t>16.3.5. Животноводческие и птицеводческие предприятия, склады по хранению ядохимикатов, биопрепаратов, удобрений, ветеринарные учреждения, объекты и предприятия по утилизации отходов, котельные, очистные сооружения, следует располагать с подветренной стороны (для ветров преобладающего направления) по отношению к селитебной территории.</w:t>
      </w:r>
    </w:p>
    <w:p>
      <w:pPr>
        <w:pStyle w:val="5551"/>
        <w:rPr/>
      </w:pPr>
      <w:r>
        <w:rPr>
          <w:rFonts w:eastAsia="TimesNewRoman" w:cs="Arial" w:ascii="Arial" w:hAnsi="Arial"/>
        </w:rPr>
        <w:t>16.3.6. Запрещается проектирование и размещение объектов</w:t>
      </w:r>
      <w:r>
        <w:rPr>
          <w:rFonts w:cs="Arial" w:ascii="Arial" w:hAnsi="Arial"/>
        </w:rPr>
        <w:t xml:space="preserve">, </w:t>
      </w:r>
      <w:r>
        <w:rPr>
          <w:rFonts w:eastAsia="TimesNewRoman" w:cs="Arial" w:ascii="Arial" w:hAnsi="Arial"/>
        </w:rPr>
        <w:t>если в составе выбросов присутствуют вещества</w:t>
      </w:r>
      <w:r>
        <w:rPr>
          <w:rFonts w:cs="Arial" w:ascii="Arial" w:hAnsi="Arial"/>
        </w:rPr>
        <w:t xml:space="preserve">, </w:t>
      </w:r>
      <w:r>
        <w:rPr>
          <w:rFonts w:eastAsia="TimesNewRoman" w:cs="Arial" w:ascii="Arial" w:hAnsi="Arial"/>
        </w:rPr>
        <w:t>не имеющие утвержденных ПДК или ориентировочных уровней воздействия</w:t>
      </w:r>
      <w:r>
        <w:rPr>
          <w:rFonts w:cs="Arial" w:ascii="Arial" w:hAnsi="Arial"/>
        </w:rPr>
        <w:t>.</w:t>
      </w:r>
    </w:p>
    <w:p>
      <w:pPr>
        <w:pStyle w:val="5551"/>
        <w:rPr/>
      </w:pPr>
      <w:r>
        <w:rPr>
          <w:rFonts w:eastAsia="TimesNewRoman" w:cs="Arial" w:ascii="Arial" w:hAnsi="Arial"/>
        </w:rPr>
        <w:t>16.3.7. Площадки для размещения и расширения объектов</w:t>
      </w:r>
      <w:r>
        <w:rPr>
          <w:rFonts w:cs="Arial" w:ascii="Arial" w:hAnsi="Arial"/>
        </w:rPr>
        <w:t xml:space="preserve">, </w:t>
      </w:r>
      <w:r>
        <w:rPr>
          <w:rFonts w:eastAsia="TimesNewRoman" w:cs="Arial" w:ascii="Arial" w:hAnsi="Arial"/>
        </w:rPr>
        <w:t>которые могут быть источниками вредного воздействия на здоровье населения и условия его проживания</w:t>
      </w:r>
      <w:r>
        <w:rPr>
          <w:rFonts w:cs="Arial" w:ascii="Arial" w:hAnsi="Arial"/>
        </w:rPr>
        <w:t xml:space="preserve">, </w:t>
      </w:r>
      <w:r>
        <w:rPr>
          <w:rFonts w:eastAsia="TimesNewRoman" w:cs="Arial" w:ascii="Arial" w:hAnsi="Arial"/>
        </w:rPr>
        <w:t>выбираются с учетом аэроклиматической характеристики</w:t>
      </w:r>
      <w:r>
        <w:rPr>
          <w:rFonts w:cs="Arial" w:ascii="Arial" w:hAnsi="Arial"/>
        </w:rPr>
        <w:t xml:space="preserve">, </w:t>
      </w:r>
      <w:r>
        <w:rPr>
          <w:rFonts w:eastAsia="TimesNewRoman" w:cs="Arial" w:ascii="Arial" w:hAnsi="Arial"/>
        </w:rPr>
        <w:t>рельефа местности</w:t>
      </w:r>
      <w:r>
        <w:rPr>
          <w:rFonts w:cs="Arial" w:ascii="Arial" w:hAnsi="Arial"/>
        </w:rPr>
        <w:t xml:space="preserve">, </w:t>
      </w:r>
      <w:r>
        <w:rPr>
          <w:rFonts w:eastAsia="TimesNewRoman" w:cs="Arial" w:ascii="Arial" w:hAnsi="Arial"/>
        </w:rPr>
        <w:t>закономерностей распространения промышленных выбросов в атмосфере</w:t>
      </w:r>
      <w:r>
        <w:rPr>
          <w:rFonts w:cs="Arial" w:ascii="Arial" w:hAnsi="Arial"/>
        </w:rPr>
        <w:t xml:space="preserve">, </w:t>
      </w:r>
      <w:r>
        <w:rPr>
          <w:rFonts w:eastAsia="TimesNewRoman" w:cs="Arial" w:ascii="Arial" w:hAnsi="Arial"/>
        </w:rPr>
        <w:t>а также потенциала загрязнения атмосферы</w:t>
      </w:r>
      <w:r>
        <w:rPr>
          <w:rFonts w:cs="Arial" w:ascii="Arial" w:hAnsi="Arial"/>
        </w:rPr>
        <w:t>.</w:t>
      </w:r>
    </w:p>
    <w:p>
      <w:pPr>
        <w:pStyle w:val="5551"/>
        <w:rPr/>
      </w:pPr>
      <w:r>
        <w:rPr>
          <w:rFonts w:eastAsia="TimesNewRoman" w:cs="Arial" w:ascii="Arial" w:hAnsi="Arial"/>
        </w:rPr>
        <w:t>16.3.8. Обязательным условием проектирования таких объектов является организация санитарно</w:t>
      </w:r>
      <w:r>
        <w:rPr>
          <w:rFonts w:cs="Arial" w:ascii="Arial" w:hAnsi="Arial"/>
        </w:rPr>
        <w:t>-</w:t>
      </w:r>
      <w:r>
        <w:rPr>
          <w:rFonts w:eastAsia="TimesNewRoman" w:cs="Arial" w:ascii="Arial" w:hAnsi="Arial"/>
        </w:rPr>
        <w:t xml:space="preserve">защитных зон в соответствии с требованиями СанПиН </w:t>
      </w:r>
      <w:r>
        <w:rPr>
          <w:rFonts w:cs="Arial" w:ascii="Arial" w:hAnsi="Arial"/>
        </w:rPr>
        <w:t>2.2.1/2.1.1.1200-03 «</w:t>
      </w:r>
      <w:r>
        <w:rPr>
          <w:rFonts w:eastAsia="TimesNewRoman" w:cs="Arial" w:ascii="Arial" w:hAnsi="Arial"/>
        </w:rPr>
        <w:t>Санитарно</w:t>
      </w:r>
      <w:r>
        <w:rPr>
          <w:rFonts w:cs="Arial" w:ascii="Arial" w:hAnsi="Arial"/>
        </w:rPr>
        <w:t>-</w:t>
      </w:r>
      <w:r>
        <w:rPr>
          <w:rFonts w:eastAsia="TimesNewRoman" w:cs="Arial" w:ascii="Arial" w:hAnsi="Arial"/>
        </w:rPr>
        <w:t>защитные зоны и санитарная классификация предприятий</w:t>
      </w:r>
      <w:r>
        <w:rPr>
          <w:rFonts w:cs="Arial" w:ascii="Arial" w:hAnsi="Arial"/>
        </w:rPr>
        <w:t xml:space="preserve">, </w:t>
      </w:r>
      <w:r>
        <w:rPr>
          <w:rFonts w:eastAsia="TimesNewRoman" w:cs="Arial" w:ascii="Arial" w:hAnsi="Arial"/>
        </w:rPr>
        <w:t>сооружений и иных объектов</w:t>
      </w:r>
      <w:r>
        <w:rPr>
          <w:rFonts w:cs="Arial" w:ascii="Arial" w:hAnsi="Arial"/>
        </w:rPr>
        <w:t xml:space="preserve">» </w:t>
      </w:r>
      <w:r>
        <w:rPr>
          <w:rFonts w:eastAsia="TimesNewRoman" w:cs="Arial" w:ascii="Arial" w:hAnsi="Arial"/>
        </w:rPr>
        <w:t>и настоящих местных нормативов</w:t>
      </w:r>
      <w:r>
        <w:rPr>
          <w:rFonts w:cs="Arial" w:ascii="Arial" w:hAnsi="Arial"/>
        </w:rPr>
        <w:t>.</w:t>
      </w:r>
    </w:p>
    <w:p>
      <w:pPr>
        <w:pStyle w:val="5551"/>
        <w:rPr>
          <w:rFonts w:ascii="Arial" w:hAnsi="Arial" w:cs="Arial"/>
        </w:rPr>
      </w:pPr>
      <w:r>
        <w:rPr>
          <w:rFonts w:cs="Arial" w:ascii="Arial" w:hAnsi="Arial"/>
        </w:rPr>
        <w:t>16.3.9. Потенциал загрязнения атмосферы (ПЗА) - способность атмосферы рассеивать примеси. ПЗА определяется по среднегодовым значениям метеорологических параметров в соответствии с таблицей 16.3.</w:t>
      </w:r>
    </w:p>
    <w:p>
      <w:pPr>
        <w:pStyle w:val="Normal"/>
        <w:spacing w:lineRule="atLeast" w:line="100" w:before="0" w:after="0"/>
        <w:ind w:left="0" w:right="0" w:firstLine="714"/>
        <w:jc w:val="right"/>
        <w:rPr>
          <w:rFonts w:ascii="Arial" w:hAnsi="Arial" w:eastAsia="TimesNewRoman" w:cs="Arial"/>
          <w:color w:val="000000"/>
          <w:sz w:val="24"/>
          <w:szCs w:val="24"/>
        </w:rPr>
      </w:pPr>
      <w:r>
        <w:rPr>
          <w:rFonts w:eastAsia="TimesNewRoman" w:cs="Arial" w:ascii="Arial" w:hAnsi="Arial"/>
          <w:color w:val="000000"/>
          <w:sz w:val="24"/>
          <w:szCs w:val="24"/>
        </w:rPr>
        <w:t>Таблица 16.3</w:t>
      </w:r>
    </w:p>
    <w:tbl>
      <w:tblPr>
        <w:tblW w:w="10431" w:type="dxa"/>
        <w:jc w:val="left"/>
        <w:tblInd w:w="-92" w:type="dxa"/>
        <w:tblBorders>
          <w:top w:val="single" w:sz="4" w:space="0" w:color="00000A"/>
          <w:left w:val="single" w:sz="4" w:space="0" w:color="00000A"/>
          <w:bottom w:val="single" w:sz="4" w:space="0" w:color="00000A"/>
          <w:insideH w:val="single" w:sz="4" w:space="0" w:color="00000A"/>
        </w:tblBorders>
        <w:tblCellMar>
          <w:top w:w="55" w:type="dxa"/>
          <w:left w:w="55" w:type="dxa"/>
          <w:bottom w:w="55" w:type="dxa"/>
          <w:right w:w="55" w:type="dxa"/>
        </w:tblCellMar>
      </w:tblPr>
      <w:tblGrid>
        <w:gridCol w:w="2127"/>
        <w:gridCol w:w="1215"/>
        <w:gridCol w:w="1197"/>
        <w:gridCol w:w="1064"/>
        <w:gridCol w:w="1"/>
        <w:gridCol w:w="1134"/>
        <w:gridCol w:w="1275"/>
        <w:gridCol w:w="1"/>
        <w:gridCol w:w="1274"/>
        <w:gridCol w:w="2"/>
        <w:gridCol w:w="1141"/>
      </w:tblGrid>
      <w:tr>
        <w:trPr/>
        <w:tc>
          <w:tcPr>
            <w:tcW w:w="2127" w:type="dxa"/>
            <w:vMerge w:val="restart"/>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pPr>
            <w:r>
              <w:rPr>
                <w:rFonts w:eastAsia="TimesNewRoman" w:cs="Arial" w:ascii="Arial" w:hAnsi="Arial"/>
                <w:b/>
              </w:rPr>
              <w:t xml:space="preserve">Потенциал загрязнения атмосферы </w:t>
            </w:r>
            <w:r>
              <w:rPr>
                <w:rFonts w:eastAsia="Times New Roman" w:cs="Arial" w:ascii="Arial" w:hAnsi="Arial"/>
                <w:b/>
              </w:rPr>
              <w:t>(</w:t>
            </w:r>
            <w:r>
              <w:rPr>
                <w:rFonts w:eastAsia="TimesNewRoman" w:cs="Arial" w:ascii="Arial" w:hAnsi="Arial"/>
                <w:b/>
              </w:rPr>
              <w:t>ПЗА</w:t>
            </w:r>
            <w:r>
              <w:rPr>
                <w:rFonts w:eastAsia="Times New Roman" w:cs="Arial" w:ascii="Arial" w:hAnsi="Arial"/>
                <w:b/>
              </w:rPr>
              <w:t>)</w:t>
            </w:r>
          </w:p>
        </w:tc>
        <w:tc>
          <w:tcPr>
            <w:tcW w:w="3476" w:type="dxa"/>
            <w:gridSpan w:val="3"/>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eastAsia="TimesNewRoman" w:cs="Arial"/>
                <w:b/>
                <w:b/>
              </w:rPr>
            </w:pPr>
            <w:r>
              <w:rPr>
                <w:rFonts w:eastAsia="TimesNewRoman" w:cs="Arial" w:ascii="Arial" w:hAnsi="Arial"/>
                <w:b/>
              </w:rPr>
              <w:t>Приземные инверсии</w:t>
            </w:r>
          </w:p>
        </w:tc>
        <w:tc>
          <w:tcPr>
            <w:tcW w:w="2410" w:type="dxa"/>
            <w:gridSpan w:val="3"/>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eastAsia="TimesNewRoman" w:cs="Arial"/>
                <w:b/>
                <w:b/>
              </w:rPr>
            </w:pPr>
            <w:r>
              <w:rPr>
                <w:rFonts w:eastAsia="TimesNewRoman" w:cs="Arial" w:ascii="Arial" w:hAnsi="Arial"/>
                <w:b/>
              </w:rPr>
              <w:t>Повторяемость, %</w:t>
            </w:r>
          </w:p>
        </w:tc>
        <w:tc>
          <w:tcPr>
            <w:tcW w:w="1275" w:type="dxa"/>
            <w:gridSpan w:val="2"/>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eastAsia="TimesNewRoman" w:cs="Arial"/>
                <w:b/>
                <w:b/>
              </w:rPr>
            </w:pPr>
            <w:r>
              <w:rPr>
                <w:rFonts w:eastAsia="TimesNewRoman" w:cs="Arial" w:ascii="Arial" w:hAnsi="Arial"/>
                <w:b/>
              </w:rPr>
              <w:t>Высота слоя</w:t>
            </w:r>
          </w:p>
        </w:tc>
        <w:tc>
          <w:tcPr>
            <w:tcW w:w="114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Style53"/>
              <w:snapToGrid w:val="false"/>
              <w:jc w:val="center"/>
              <w:rPr>
                <w:rFonts w:ascii="Arial" w:hAnsi="Arial" w:eastAsia="TimesNewRoman" w:cs="Arial"/>
                <w:b/>
                <w:b/>
              </w:rPr>
            </w:pPr>
            <w:r>
              <w:rPr>
                <w:rFonts w:eastAsia="TimesNewRoman" w:cs="Arial" w:ascii="Arial" w:hAnsi="Arial"/>
                <w:b/>
              </w:rPr>
              <w:t>Продолжительность</w:t>
            </w:r>
          </w:p>
        </w:tc>
      </w:tr>
      <w:tr>
        <w:trPr/>
        <w:tc>
          <w:tcPr>
            <w:tcW w:w="2127" w:type="dxa"/>
            <w:vMerge w:val="continue"/>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rFonts w:ascii="Arial" w:hAnsi="Arial" w:cs="Arial"/>
                <w:b/>
                <w:b/>
              </w:rPr>
            </w:pPr>
            <w:r>
              <w:rPr>
                <w:rFonts w:cs="Arial" w:ascii="Arial" w:hAnsi="Arial"/>
                <w:b/>
              </w:rPr>
            </w:r>
          </w:p>
        </w:tc>
        <w:tc>
          <w:tcPr>
            <w:tcW w:w="1215"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Normal"/>
              <w:snapToGrid w:val="false"/>
              <w:spacing w:lineRule="auto" w:line="240" w:before="0" w:after="0"/>
              <w:rPr/>
            </w:pPr>
            <w:r>
              <w:rPr>
                <w:rFonts w:eastAsia="TimesNewRoman" w:cs="Arial" w:ascii="Arial" w:hAnsi="Arial"/>
                <w:b/>
                <w:sz w:val="24"/>
                <w:szCs w:val="24"/>
              </w:rPr>
              <w:t>Повторяемость</w:t>
            </w:r>
            <w:r>
              <w:rPr>
                <w:rFonts w:cs="Arial" w:ascii="Arial" w:hAnsi="Arial"/>
                <w:b/>
                <w:sz w:val="24"/>
                <w:szCs w:val="24"/>
              </w:rPr>
              <w:t>, %</w:t>
            </w:r>
          </w:p>
        </w:tc>
        <w:tc>
          <w:tcPr>
            <w:tcW w:w="1197"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Normal"/>
              <w:snapToGrid w:val="false"/>
              <w:spacing w:lineRule="auto" w:line="240" w:before="0" w:after="0"/>
              <w:rPr/>
            </w:pPr>
            <w:r>
              <w:rPr>
                <w:rFonts w:eastAsia="TimesNewRoman" w:cs="Arial" w:ascii="Arial" w:hAnsi="Arial"/>
                <w:b/>
                <w:sz w:val="24"/>
                <w:szCs w:val="24"/>
              </w:rPr>
              <w:t>Мощность</w:t>
            </w:r>
            <w:r>
              <w:rPr>
                <w:rFonts w:cs="Arial" w:ascii="Arial" w:hAnsi="Arial"/>
                <w:b/>
                <w:sz w:val="24"/>
                <w:szCs w:val="24"/>
              </w:rPr>
              <w:t xml:space="preserve">, </w:t>
            </w:r>
            <w:r>
              <w:rPr>
                <w:rFonts w:eastAsia="TimesNewRoman" w:cs="Arial" w:ascii="Arial" w:hAnsi="Arial"/>
                <w:b/>
                <w:sz w:val="24"/>
                <w:szCs w:val="24"/>
              </w:rPr>
              <w:t>км</w:t>
            </w:r>
          </w:p>
        </w:tc>
        <w:tc>
          <w:tcPr>
            <w:tcW w:w="1065" w:type="dxa"/>
            <w:gridSpan w:val="2"/>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Normal"/>
              <w:snapToGrid w:val="false"/>
              <w:spacing w:lineRule="auto" w:line="240" w:before="0" w:after="0"/>
              <w:rPr/>
            </w:pPr>
            <w:r>
              <w:rPr>
                <w:rFonts w:eastAsia="TimesNewRoman" w:cs="Arial" w:ascii="Arial" w:hAnsi="Arial"/>
                <w:b/>
                <w:sz w:val="24"/>
                <w:szCs w:val="24"/>
              </w:rPr>
              <w:t>Интенсивность</w:t>
            </w:r>
            <w:r>
              <w:rPr>
                <w:rFonts w:cs="Arial" w:ascii="Arial" w:hAnsi="Arial"/>
                <w:b/>
                <w:sz w:val="24"/>
                <w:szCs w:val="24"/>
              </w:rPr>
              <w:t xml:space="preserve">, </w:t>
            </w:r>
            <w:r>
              <w:rPr>
                <w:rFonts w:eastAsia="TimesNewRoman" w:cs="Arial" w:ascii="Arial" w:hAnsi="Arial"/>
                <w:b/>
                <w:sz w:val="24"/>
                <w:szCs w:val="24"/>
              </w:rPr>
              <w:t>С</w:t>
            </w:r>
          </w:p>
        </w:tc>
        <w:tc>
          <w:tcPr>
            <w:tcW w:w="1134"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Normal"/>
              <w:snapToGrid w:val="false"/>
              <w:spacing w:lineRule="auto" w:line="240" w:before="0" w:after="0"/>
              <w:rPr/>
            </w:pPr>
            <w:r>
              <w:rPr>
                <w:rFonts w:eastAsia="TimesNewRoman" w:cs="Arial" w:ascii="Arial" w:hAnsi="Arial"/>
                <w:b/>
                <w:sz w:val="24"/>
                <w:szCs w:val="24"/>
              </w:rPr>
              <w:t xml:space="preserve">Скорость ветра,        </w:t>
            </w:r>
            <w:r>
              <w:rPr>
                <w:rFonts w:cs="Arial" w:ascii="Arial" w:hAnsi="Arial"/>
                <w:b/>
                <w:sz w:val="24"/>
                <w:szCs w:val="24"/>
              </w:rPr>
              <w:t xml:space="preserve">0 - 1 </w:t>
            </w:r>
            <w:r>
              <w:rPr>
                <w:rFonts w:eastAsia="TimesNewRoman" w:cs="Arial" w:ascii="Arial" w:hAnsi="Arial"/>
                <w:b/>
                <w:sz w:val="24"/>
                <w:szCs w:val="24"/>
              </w:rPr>
              <w:t>м</w:t>
            </w:r>
            <w:r>
              <w:rPr>
                <w:rFonts w:cs="Arial" w:ascii="Arial" w:hAnsi="Arial"/>
                <w:b/>
                <w:sz w:val="24"/>
                <w:szCs w:val="24"/>
              </w:rPr>
              <w:t>/</w:t>
            </w:r>
            <w:r>
              <w:rPr>
                <w:rFonts w:eastAsia="TimesNewRoman" w:cs="Arial" w:ascii="Arial" w:hAnsi="Arial"/>
                <w:b/>
                <w:sz w:val="24"/>
                <w:szCs w:val="24"/>
              </w:rPr>
              <w:t>с</w:t>
            </w:r>
          </w:p>
        </w:tc>
        <w:tc>
          <w:tcPr>
            <w:tcW w:w="1276" w:type="dxa"/>
            <w:gridSpan w:val="2"/>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Normal"/>
              <w:snapToGrid w:val="false"/>
              <w:spacing w:lineRule="auto" w:line="240" w:before="0" w:after="0"/>
              <w:rPr>
                <w:rFonts w:ascii="Arial" w:hAnsi="Arial" w:eastAsia="TimesNewRoman" w:cs="Arial"/>
                <w:b/>
                <w:b/>
                <w:sz w:val="24"/>
                <w:szCs w:val="24"/>
              </w:rPr>
            </w:pPr>
            <w:r>
              <w:rPr>
                <w:rFonts w:eastAsia="TimesNewRoman" w:cs="Arial" w:ascii="Arial" w:hAnsi="Arial"/>
                <w:b/>
                <w:sz w:val="24"/>
                <w:szCs w:val="24"/>
              </w:rPr>
              <w:t>в том числе, непрерывно</w:t>
            </w:r>
          </w:p>
          <w:p>
            <w:pPr>
              <w:pStyle w:val="Normal"/>
              <w:spacing w:lineRule="auto" w:line="240" w:before="0" w:after="0"/>
              <w:rPr>
                <w:rFonts w:ascii="Arial" w:hAnsi="Arial" w:eastAsia="TimesNewRoman" w:cs="Arial"/>
                <w:b/>
                <w:b/>
                <w:sz w:val="24"/>
                <w:szCs w:val="24"/>
              </w:rPr>
            </w:pPr>
            <w:r>
              <w:rPr>
                <w:rFonts w:eastAsia="TimesNewRoman" w:cs="Arial" w:ascii="Arial" w:hAnsi="Arial"/>
                <w:b/>
                <w:sz w:val="24"/>
                <w:szCs w:val="24"/>
              </w:rPr>
              <w:t>подряд дней застоя воздуха</w:t>
            </w:r>
          </w:p>
        </w:tc>
        <w:tc>
          <w:tcPr>
            <w:tcW w:w="1276" w:type="dxa"/>
            <w:gridSpan w:val="2"/>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Normal"/>
              <w:snapToGrid w:val="false"/>
              <w:spacing w:lineRule="auto" w:line="240" w:before="0" w:after="0"/>
              <w:rPr/>
            </w:pPr>
            <w:r>
              <w:rPr>
                <w:rFonts w:eastAsia="TimesNewRoman" w:cs="Arial" w:ascii="Arial" w:hAnsi="Arial"/>
                <w:b/>
                <w:sz w:val="24"/>
                <w:szCs w:val="24"/>
              </w:rPr>
              <w:t>Перемещения</w:t>
            </w:r>
            <w:r>
              <w:rPr>
                <w:rFonts w:cs="Arial" w:ascii="Arial" w:hAnsi="Arial"/>
                <w:b/>
                <w:sz w:val="24"/>
                <w:szCs w:val="24"/>
              </w:rPr>
              <w:t xml:space="preserve">, </w:t>
            </w:r>
            <w:r>
              <w:rPr>
                <w:rFonts w:eastAsia="TimesNewRoman" w:cs="Arial" w:ascii="Arial" w:hAnsi="Arial"/>
                <w:b/>
                <w:sz w:val="24"/>
                <w:szCs w:val="24"/>
              </w:rPr>
              <w:t>км</w:t>
            </w:r>
          </w:p>
        </w:tc>
        <w:tc>
          <w:tcPr>
            <w:tcW w:w="114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Style53"/>
              <w:snapToGrid w:val="false"/>
              <w:rPr/>
            </w:pPr>
            <w:r>
              <w:rPr>
                <w:rFonts w:eastAsia="TimesNewRoman" w:cs="Arial" w:ascii="Arial" w:hAnsi="Arial"/>
                <w:b/>
              </w:rPr>
              <w:t>тумана</w:t>
            </w:r>
            <w:r>
              <w:rPr>
                <w:rFonts w:eastAsia="Times New Roman" w:cs="Arial" w:ascii="Arial" w:hAnsi="Arial"/>
                <w:b/>
              </w:rPr>
              <w:t xml:space="preserve">, </w:t>
            </w:r>
            <w:r>
              <w:rPr>
                <w:rFonts w:eastAsia="TimesNewRoman" w:cs="Arial" w:ascii="Arial" w:hAnsi="Arial"/>
                <w:b/>
              </w:rPr>
              <w:t>Ч</w:t>
            </w:r>
          </w:p>
        </w:tc>
      </w:tr>
      <w:tr>
        <w:trPr/>
        <w:tc>
          <w:tcPr>
            <w:tcW w:w="212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NewRoman" w:cs="Arial"/>
              </w:rPr>
            </w:pPr>
            <w:r>
              <w:rPr>
                <w:rFonts w:eastAsia="TimesNewRoman" w:cs="Arial" w:ascii="Arial" w:hAnsi="Arial"/>
              </w:rPr>
              <w:t>Низкий</w:t>
            </w:r>
          </w:p>
        </w:tc>
        <w:tc>
          <w:tcPr>
            <w:tcW w:w="1215"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20-30</w:t>
            </w:r>
          </w:p>
        </w:tc>
        <w:tc>
          <w:tcPr>
            <w:tcW w:w="119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0,3-0,4</w:t>
            </w:r>
          </w:p>
        </w:tc>
        <w:tc>
          <w:tcPr>
            <w:tcW w:w="1065"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2-3</w:t>
            </w:r>
          </w:p>
        </w:tc>
        <w:tc>
          <w:tcPr>
            <w:tcW w:w="1134"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10-20</w:t>
            </w:r>
          </w:p>
        </w:tc>
        <w:tc>
          <w:tcPr>
            <w:tcW w:w="1276"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5-10</w:t>
            </w:r>
          </w:p>
        </w:tc>
        <w:tc>
          <w:tcPr>
            <w:tcW w:w="1276"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0,7-0,8</w:t>
            </w:r>
          </w:p>
        </w:tc>
        <w:tc>
          <w:tcPr>
            <w:tcW w:w="114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80-350</w:t>
            </w:r>
          </w:p>
        </w:tc>
      </w:tr>
      <w:tr>
        <w:trPr/>
        <w:tc>
          <w:tcPr>
            <w:tcW w:w="212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NewRoman" w:cs="Arial"/>
              </w:rPr>
            </w:pPr>
            <w:r>
              <w:rPr>
                <w:rFonts w:eastAsia="TimesNewRoman" w:cs="Arial" w:ascii="Arial" w:hAnsi="Arial"/>
              </w:rPr>
              <w:t>Умеренный</w:t>
            </w:r>
          </w:p>
        </w:tc>
        <w:tc>
          <w:tcPr>
            <w:tcW w:w="1215"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30-40</w:t>
            </w:r>
          </w:p>
        </w:tc>
        <w:tc>
          <w:tcPr>
            <w:tcW w:w="119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0,4-0,5</w:t>
            </w:r>
          </w:p>
        </w:tc>
        <w:tc>
          <w:tcPr>
            <w:tcW w:w="1065"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3-5</w:t>
            </w:r>
          </w:p>
        </w:tc>
        <w:tc>
          <w:tcPr>
            <w:tcW w:w="1134"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20-30</w:t>
            </w:r>
          </w:p>
        </w:tc>
        <w:tc>
          <w:tcPr>
            <w:tcW w:w="1276"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7-12</w:t>
            </w:r>
          </w:p>
        </w:tc>
        <w:tc>
          <w:tcPr>
            <w:tcW w:w="1276"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0,8-1,0</w:t>
            </w:r>
          </w:p>
        </w:tc>
        <w:tc>
          <w:tcPr>
            <w:tcW w:w="114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100-550</w:t>
            </w:r>
          </w:p>
        </w:tc>
      </w:tr>
      <w:tr>
        <w:trPr/>
        <w:tc>
          <w:tcPr>
            <w:tcW w:w="212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Повышенный:</w:t>
            </w:r>
          </w:p>
          <w:p>
            <w:pPr>
              <w:pStyle w:val="Style53"/>
              <w:rPr>
                <w:rFonts w:ascii="Arial" w:hAnsi="Arial" w:cs="Arial"/>
              </w:rPr>
            </w:pPr>
            <w:r>
              <w:rPr>
                <w:rFonts w:cs="Arial" w:ascii="Arial" w:hAnsi="Arial"/>
              </w:rPr>
              <w:t>Континентальный</w:t>
            </w:r>
          </w:p>
        </w:tc>
        <w:tc>
          <w:tcPr>
            <w:tcW w:w="1215"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30-45</w:t>
            </w:r>
          </w:p>
        </w:tc>
        <w:tc>
          <w:tcPr>
            <w:tcW w:w="119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0,3-0,6</w:t>
            </w:r>
          </w:p>
        </w:tc>
        <w:tc>
          <w:tcPr>
            <w:tcW w:w="1065"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2-6</w:t>
            </w:r>
          </w:p>
        </w:tc>
        <w:tc>
          <w:tcPr>
            <w:tcW w:w="1134"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20-40</w:t>
            </w:r>
          </w:p>
        </w:tc>
        <w:tc>
          <w:tcPr>
            <w:tcW w:w="1276"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3-18</w:t>
            </w:r>
          </w:p>
        </w:tc>
        <w:tc>
          <w:tcPr>
            <w:tcW w:w="1276"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0,7-1,0</w:t>
            </w:r>
          </w:p>
        </w:tc>
        <w:tc>
          <w:tcPr>
            <w:tcW w:w="114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100-600</w:t>
            </w:r>
          </w:p>
        </w:tc>
      </w:tr>
      <w:tr>
        <w:trPr/>
        <w:tc>
          <w:tcPr>
            <w:tcW w:w="212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NewRoman" w:cs="Arial"/>
              </w:rPr>
            </w:pPr>
            <w:r>
              <w:rPr>
                <w:rFonts w:eastAsia="TimesNewRoman" w:cs="Arial" w:ascii="Arial" w:hAnsi="Arial"/>
              </w:rPr>
              <w:t>Высокий</w:t>
            </w:r>
          </w:p>
        </w:tc>
        <w:tc>
          <w:tcPr>
            <w:tcW w:w="1215"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40-60</w:t>
            </w:r>
          </w:p>
        </w:tc>
        <w:tc>
          <w:tcPr>
            <w:tcW w:w="119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0,3-0,7</w:t>
            </w:r>
          </w:p>
        </w:tc>
        <w:tc>
          <w:tcPr>
            <w:tcW w:w="1065"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3-6</w:t>
            </w:r>
          </w:p>
        </w:tc>
        <w:tc>
          <w:tcPr>
            <w:tcW w:w="1134"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30-60</w:t>
            </w:r>
          </w:p>
        </w:tc>
        <w:tc>
          <w:tcPr>
            <w:tcW w:w="1276"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10-30</w:t>
            </w:r>
          </w:p>
        </w:tc>
        <w:tc>
          <w:tcPr>
            <w:tcW w:w="1276"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0,7-1,6</w:t>
            </w:r>
          </w:p>
        </w:tc>
        <w:tc>
          <w:tcPr>
            <w:tcW w:w="114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50-200</w:t>
            </w:r>
          </w:p>
        </w:tc>
      </w:tr>
      <w:tr>
        <w:trPr/>
        <w:tc>
          <w:tcPr>
            <w:tcW w:w="212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NewRoman" w:cs="Arial"/>
              </w:rPr>
            </w:pPr>
            <w:r>
              <w:rPr>
                <w:rFonts w:eastAsia="TimesNewRoman" w:cs="Arial" w:ascii="Arial" w:hAnsi="Arial"/>
              </w:rPr>
              <w:t>Очень высокий</w:t>
            </w:r>
          </w:p>
        </w:tc>
        <w:tc>
          <w:tcPr>
            <w:tcW w:w="1215"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40-60</w:t>
            </w:r>
          </w:p>
        </w:tc>
        <w:tc>
          <w:tcPr>
            <w:tcW w:w="119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0,3-0,9</w:t>
            </w:r>
          </w:p>
        </w:tc>
        <w:tc>
          <w:tcPr>
            <w:tcW w:w="1065"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3-10</w:t>
            </w:r>
          </w:p>
        </w:tc>
        <w:tc>
          <w:tcPr>
            <w:tcW w:w="1134"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50-70</w:t>
            </w:r>
          </w:p>
        </w:tc>
        <w:tc>
          <w:tcPr>
            <w:tcW w:w="1276"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20-45</w:t>
            </w:r>
          </w:p>
        </w:tc>
        <w:tc>
          <w:tcPr>
            <w:tcW w:w="1276"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0,8-1,6</w:t>
            </w:r>
          </w:p>
        </w:tc>
        <w:tc>
          <w:tcPr>
            <w:tcW w:w="114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10-600</w:t>
            </w:r>
          </w:p>
        </w:tc>
      </w:tr>
    </w:tbl>
    <w:p>
      <w:pPr>
        <w:pStyle w:val="5551"/>
        <w:rPr>
          <w:rFonts w:ascii="Arial" w:hAnsi="Arial" w:cs="Arial"/>
        </w:rPr>
      </w:pPr>
      <w:r>
        <w:rPr>
          <w:rFonts w:cs="Arial" w:ascii="Arial" w:hAnsi="Arial"/>
        </w:rPr>
        <w:t>16.3.10. Для защиты атмосферного воздуха от загрязнений следует предусматривать:</w:t>
      </w:r>
    </w:p>
    <w:p>
      <w:pPr>
        <w:pStyle w:val="5551"/>
        <w:rPr>
          <w:rFonts w:ascii="Arial" w:hAnsi="Arial" w:cs="Arial"/>
        </w:rPr>
      </w:pPr>
      <w:r>
        <w:rPr>
          <w:rFonts w:cs="Arial" w:ascii="Arial" w:hAnsi="Arial"/>
        </w:rPr>
        <w:t xml:space="preserve">- при проектировании и размещении новых и реконструированных объектов, техническом перевооружении действующих объектов - меры по максимально возможному снижению выброса загрязняющих веществ с использованием малоотходной и безотходной технологии, комплексного использования природных ресурсов, мероприятия по улавливанию, обезвреживанию и утилизации вредных выбросов и отходов; </w:t>
      </w:r>
    </w:p>
    <w:p>
      <w:pPr>
        <w:pStyle w:val="5551"/>
        <w:rPr>
          <w:rFonts w:ascii="Arial" w:hAnsi="Arial" w:cs="Arial"/>
        </w:rPr>
      </w:pPr>
      <w:r>
        <w:rPr>
          <w:rFonts w:cs="Arial" w:ascii="Arial" w:hAnsi="Arial"/>
        </w:rPr>
        <w:t xml:space="preserve">- защитные мероприятия от влияния транспорта, в том числе использование природного газа в качестве моторного топлива, мероприятия по предотвращению образования зон повышенной загазованности или их ликвидация с учетом условий аэрации межмагистральных и внутридворовых территорий; </w:t>
      </w:r>
    </w:p>
    <w:p>
      <w:pPr>
        <w:pStyle w:val="5551"/>
        <w:rPr>
          <w:rFonts w:ascii="Arial" w:hAnsi="Arial" w:cs="Arial"/>
        </w:rPr>
      </w:pPr>
      <w:r>
        <w:rPr>
          <w:rFonts w:cs="Arial" w:ascii="Arial" w:hAnsi="Arial"/>
        </w:rPr>
        <w:t xml:space="preserve">- использование нетрадиционных источников энергии; </w:t>
      </w:r>
    </w:p>
    <w:p>
      <w:pPr>
        <w:pStyle w:val="5551"/>
        <w:rPr>
          <w:rFonts w:ascii="Arial" w:hAnsi="Arial" w:cs="Arial"/>
        </w:rPr>
      </w:pPr>
      <w:r>
        <w:rPr>
          <w:rFonts w:cs="Arial" w:ascii="Arial" w:hAnsi="Arial"/>
        </w:rPr>
        <w:t xml:space="preserve">- ликвидацию неорганизованных источников загрязнения. </w:t>
      </w:r>
    </w:p>
    <w:p>
      <w:pPr>
        <w:pStyle w:val="5551"/>
        <w:rPr/>
      </w:pPr>
      <w:r>
        <w:rPr>
          <w:rFonts w:cs="Arial" w:ascii="Arial" w:hAnsi="Arial"/>
        </w:rPr>
        <w:t xml:space="preserve">16.4. </w:t>
      </w:r>
      <w:r>
        <w:rPr>
          <w:rFonts w:cs="Arial" w:ascii="Arial" w:hAnsi="Arial"/>
          <w:i/>
        </w:rPr>
        <w:t>Охрана водных объектов.</w:t>
      </w:r>
    </w:p>
    <w:p>
      <w:pPr>
        <w:pStyle w:val="5551"/>
        <w:rPr>
          <w:rFonts w:ascii="Arial" w:hAnsi="Arial" w:cs="Arial"/>
        </w:rPr>
      </w:pPr>
      <w:r>
        <w:rPr>
          <w:rFonts w:cs="Arial" w:ascii="Arial" w:hAnsi="Arial"/>
        </w:rPr>
        <w:t>16.4.1.</w:t>
        <w:tab/>
        <w:t xml:space="preserve">Охрана водных объектов необходима для предотвращения и устранения загрязнения поверхностных и подземных вод, которое может привести к нарушению здоровья населения, развитию массовых инфекционных, паразитарных и неинфекционных заболеваний, ухудшению условий водопользования или его ограничению для питьевых, хозяйственно-бытовых и лечебных целей. </w:t>
      </w:r>
    </w:p>
    <w:p>
      <w:pPr>
        <w:pStyle w:val="5551"/>
        <w:rPr>
          <w:rFonts w:ascii="Arial" w:hAnsi="Arial" w:cs="Arial"/>
        </w:rPr>
      </w:pPr>
      <w:r>
        <w:rPr>
          <w:rFonts w:cs="Arial" w:ascii="Arial" w:hAnsi="Arial"/>
        </w:rPr>
        <w:t>16.4.2.</w:t>
        <w:tab/>
        <w:t xml:space="preserve">Качество воды водных объектов, используемых для хозяйственно-питьевого водоснабжения, рекреационного водопользования, а также в границах населенных пунктов должно соответствовать требованиям СанПиН 2.1.5.980-00 «Гигиенические требования к охране поверхностных вод», ГН 2.1.5.1315-03 «Предельно допустимые концентрации (ПДК) химических веществ в воде водных объектов хозяйственно-питьевого и культурно-бытового водопользования», ГН 2.1.5.2307-07 «Ориентировочно допустимые уровни (ОДУ) химических веществ в воде водных объектов хозяйственно-питьевого и культурно-бытового водопользования». </w:t>
      </w:r>
    </w:p>
    <w:p>
      <w:pPr>
        <w:pStyle w:val="5551"/>
        <w:rPr>
          <w:rFonts w:ascii="Arial" w:hAnsi="Arial" w:cs="Arial"/>
        </w:rPr>
      </w:pPr>
      <w:r>
        <w:rPr>
          <w:rFonts w:cs="Arial" w:ascii="Arial" w:hAnsi="Arial"/>
        </w:rPr>
        <w:t>16.4.3.</w:t>
        <w:tab/>
        <w:t xml:space="preserve">Селитебные территории, рекреационные и курортные зоны следует размещать выше по течению водотоков относительно сбросов производственно-хозяйственных и бытовых сточных вод. </w:t>
      </w:r>
    </w:p>
    <w:p>
      <w:pPr>
        <w:pStyle w:val="5551"/>
        <w:rPr>
          <w:rFonts w:ascii="Arial" w:hAnsi="Arial" w:cs="Arial"/>
        </w:rPr>
      </w:pPr>
      <w:r>
        <w:rPr>
          <w:rFonts w:cs="Arial" w:ascii="Arial" w:hAnsi="Arial"/>
        </w:rPr>
        <w:t>16.4.4.</w:t>
        <w:tab/>
        <w:t xml:space="preserve">При размещении сельскохозяйственных предприятий вблизи водоемов следует учитывать незастроенную прибрежную защитную полосу водного объекта в соответствии с требованиями статьи 65 Водного кодекса Российской Федерации. </w:t>
      </w:r>
    </w:p>
    <w:p>
      <w:pPr>
        <w:pStyle w:val="5551"/>
        <w:rPr>
          <w:rFonts w:ascii="Arial" w:hAnsi="Arial" w:cs="Arial"/>
        </w:rPr>
      </w:pPr>
      <w:r>
        <w:rPr>
          <w:rFonts w:cs="Arial" w:ascii="Arial" w:hAnsi="Arial"/>
        </w:rPr>
        <w:t>16.4.5.</w:t>
        <w:tab/>
        <w:t xml:space="preserve">Склады минеральных удобрений и химических средств защиты растений следует располагать на расстоянии не менее 2 км от рыбохозяйственных водоемов. При необходимости допускается уменьшать указанные расстояния при согласовании с органами, осуществляющими охрану рыбных запасов. </w:t>
      </w:r>
    </w:p>
    <w:p>
      <w:pPr>
        <w:pStyle w:val="5551"/>
        <w:rPr>
          <w:rFonts w:ascii="Arial" w:hAnsi="Arial" w:cs="Arial"/>
        </w:rPr>
      </w:pPr>
      <w:r>
        <w:rPr>
          <w:rFonts w:cs="Arial" w:ascii="Arial" w:hAnsi="Arial"/>
        </w:rPr>
        <w:t>16.4.6.</w:t>
        <w:tab/>
        <w:t xml:space="preserve">Хранения пестицидов и агрохимикатов осуществляется в соответствии с требованиями СанПиН 1.2.1077-01 «Гигиенические требования к хранению, применению и транспортировке пестицидов и агрохимикатов». </w:t>
      </w:r>
    </w:p>
    <w:p>
      <w:pPr>
        <w:pStyle w:val="5551"/>
        <w:rPr/>
      </w:pPr>
      <w:r>
        <w:rPr>
          <w:rFonts w:cs="Arial" w:ascii="Arial" w:hAnsi="Arial"/>
        </w:rPr>
        <w:t>16.4.7.</w:t>
        <w:tab/>
      </w:r>
      <w:r>
        <w:rPr>
          <w:rFonts w:cs="Arial" w:ascii="Arial" w:hAnsi="Arial"/>
          <w:i/>
        </w:rPr>
        <w:t>В целях охраны поверхностных вод от загрязнения не допускается:</w:t>
      </w:r>
      <w:r>
        <w:rPr>
          <w:rFonts w:cs="Arial" w:ascii="Arial" w:hAnsi="Arial"/>
        </w:rPr>
        <w:t xml:space="preserve"> </w:t>
      </w:r>
    </w:p>
    <w:p>
      <w:pPr>
        <w:pStyle w:val="5551"/>
        <w:rPr/>
      </w:pPr>
      <w:r>
        <w:rPr>
          <w:rFonts w:cs="Arial" w:ascii="Arial" w:hAnsi="Arial"/>
        </w:rPr>
        <w:t>- сбрасывать в водные объекты сточные воды (производственные, сельскохозяйственные, хозяйственно-бытовые, поверхностные и т.д.), которые могут быть устранены или</w:t>
      </w:r>
      <w:bookmarkStart w:id="63" w:name="page421"/>
      <w:bookmarkEnd w:id="63"/>
      <w:r>
        <w:rPr>
          <w:rFonts w:cs="Arial" w:ascii="Arial" w:hAnsi="Arial"/>
        </w:rPr>
        <w:t xml:space="preserve"> использованы в системах оборотного и повторного водоснабжения, а также содержат возбудителей инфекционных заболеваний, чрезвычайно опасные вещества или вещества, для которых не установлены ПДК и ориентировочно допустимые уровни;</w:t>
      </w:r>
    </w:p>
    <w:p>
      <w:pPr>
        <w:pStyle w:val="5551"/>
        <w:rPr>
          <w:rFonts w:ascii="Arial" w:hAnsi="Arial" w:cs="Arial"/>
        </w:rPr>
      </w:pPr>
      <w:r>
        <w:rPr>
          <w:rFonts w:cs="Arial" w:ascii="Arial" w:hAnsi="Arial"/>
        </w:rPr>
        <w:t xml:space="preserve">- сбрасывать в водные объекты, на поверхность ледяного покрова и водосборную территорию пульпу, снег, кубовые осадки, другие отходы и мусор, формирующиеся на территории населенных мест и производственных площадок; </w:t>
      </w:r>
    </w:p>
    <w:p>
      <w:pPr>
        <w:pStyle w:val="5551"/>
        <w:rPr>
          <w:rFonts w:ascii="Arial" w:hAnsi="Arial" w:cs="Arial"/>
        </w:rPr>
      </w:pPr>
      <w:r>
        <w:rPr>
          <w:rFonts w:cs="Arial" w:ascii="Arial" w:hAnsi="Arial"/>
        </w:rPr>
        <w:t xml:space="preserve">- осуществлять сплав леса, а также сплав древесины в пучках и кошелях без судовой тяги на водных объектах, используемых населением для питьевых, хозяйственно-бытовых и рекреационных целей; </w:t>
      </w:r>
    </w:p>
    <w:p>
      <w:pPr>
        <w:pStyle w:val="5551"/>
        <w:rPr>
          <w:rFonts w:ascii="Arial" w:hAnsi="Arial" w:cs="Arial"/>
        </w:rPr>
      </w:pPr>
      <w:r>
        <w:rPr>
          <w:rFonts w:cs="Arial" w:ascii="Arial" w:hAnsi="Arial"/>
        </w:rPr>
        <w:t xml:space="preserve">- проведение работ по добыче полезных ископаемых, использованию недр со дна водных объектов или возведение сооружений с опорой на дно такими способами, которые могут оказывать вредное воздействие на состояние водных объектов и водные биоресурсы; </w:t>
      </w:r>
    </w:p>
    <w:p>
      <w:pPr>
        <w:pStyle w:val="5551"/>
        <w:rPr>
          <w:rFonts w:ascii="Arial" w:hAnsi="Arial" w:cs="Arial"/>
        </w:rPr>
      </w:pPr>
      <w:r>
        <w:rPr>
          <w:rFonts w:cs="Arial" w:ascii="Arial" w:hAnsi="Arial"/>
        </w:rPr>
        <w:t xml:space="preserve">- производить мойку транспортных средств и других механизмов в водных объектах и на их берегах, а также проводить работы, которые могут явиться источником загрязнения вод; </w:t>
      </w:r>
    </w:p>
    <w:p>
      <w:pPr>
        <w:pStyle w:val="5551"/>
        <w:rPr>
          <w:rFonts w:ascii="Arial" w:hAnsi="Arial" w:cs="Arial"/>
        </w:rPr>
      </w:pPr>
      <w:r>
        <w:rPr>
          <w:rFonts w:cs="Arial" w:ascii="Arial" w:hAnsi="Arial"/>
        </w:rPr>
        <w:t xml:space="preserve">- утечка от нефте- и продуктопроводов, нефтепромыслов, а также сброс мусора, неочищенных сточных, подсланевых, балластных вод и утечка других веществ с плавучих средств водного транспорта. </w:t>
      </w:r>
    </w:p>
    <w:p>
      <w:pPr>
        <w:pStyle w:val="5551"/>
        <w:rPr/>
      </w:pPr>
      <w:r>
        <w:rPr>
          <w:rFonts w:cs="Arial" w:ascii="Arial" w:hAnsi="Arial"/>
        </w:rPr>
        <w:t>16.4.8.</w:t>
        <w:tab/>
      </w:r>
      <w:r>
        <w:rPr>
          <w:rFonts w:cs="Arial" w:ascii="Arial" w:hAnsi="Arial"/>
          <w:i/>
        </w:rPr>
        <w:t xml:space="preserve">Запрещается сброс сточных и/или дренажных вод в водные объекты: </w:t>
      </w:r>
    </w:p>
    <w:p>
      <w:pPr>
        <w:pStyle w:val="5551"/>
        <w:rPr>
          <w:rFonts w:ascii="Arial" w:hAnsi="Arial" w:cs="Arial"/>
        </w:rPr>
      </w:pPr>
      <w:r>
        <w:rPr>
          <w:rFonts w:cs="Arial" w:ascii="Arial" w:hAnsi="Arial"/>
        </w:rPr>
        <w:t xml:space="preserve">- содержащие природные лечебные ресурсы; </w:t>
      </w:r>
    </w:p>
    <w:p>
      <w:pPr>
        <w:pStyle w:val="5551"/>
        <w:rPr>
          <w:rFonts w:ascii="Arial" w:hAnsi="Arial" w:cs="Arial"/>
        </w:rPr>
      </w:pPr>
      <w:r>
        <w:rPr>
          <w:rFonts w:cs="Arial" w:ascii="Arial" w:hAnsi="Arial"/>
        </w:rPr>
        <w:t xml:space="preserve">- отнесенные к особо охраняемым водным объектам; </w:t>
      </w:r>
    </w:p>
    <w:p>
      <w:pPr>
        <w:pStyle w:val="5551"/>
        <w:rPr>
          <w:rFonts w:ascii="Arial" w:hAnsi="Arial" w:cs="Arial"/>
        </w:rPr>
      </w:pPr>
      <w:r>
        <w:rPr>
          <w:rFonts w:cs="Arial" w:ascii="Arial" w:hAnsi="Arial"/>
        </w:rPr>
        <w:t xml:space="preserve">- в границах зон, округов санитарной охраны источников питьевого, хозяйственно-бытового водоснабжения; </w:t>
      </w:r>
    </w:p>
    <w:p>
      <w:pPr>
        <w:pStyle w:val="5551"/>
        <w:rPr>
          <w:rFonts w:ascii="Arial" w:hAnsi="Arial" w:cs="Arial"/>
        </w:rPr>
      </w:pPr>
      <w:r>
        <w:rPr>
          <w:rFonts w:cs="Arial" w:ascii="Arial" w:hAnsi="Arial"/>
        </w:rPr>
        <w:t xml:space="preserve">- в границах первого и второго поясов округов санитарной (горно-санитарной) охраны лечебно-оздоровительных местностей и курортов; </w:t>
      </w:r>
    </w:p>
    <w:p>
      <w:pPr>
        <w:pStyle w:val="5551"/>
        <w:rPr>
          <w:rFonts w:ascii="Arial" w:hAnsi="Arial" w:cs="Arial"/>
        </w:rPr>
      </w:pPr>
      <w:r>
        <w:rPr>
          <w:rFonts w:cs="Arial" w:ascii="Arial" w:hAnsi="Arial"/>
        </w:rPr>
        <w:t xml:space="preserve">- в границах рыбоохранных зон, рыбохозяйственных заповедных зон. </w:t>
      </w:r>
    </w:p>
    <w:p>
      <w:pPr>
        <w:pStyle w:val="5551"/>
        <w:rPr>
          <w:rFonts w:ascii="Arial" w:hAnsi="Arial" w:cs="Arial"/>
        </w:rPr>
      </w:pPr>
      <w:r>
        <w:rPr>
          <w:rFonts w:cs="Arial" w:ascii="Arial" w:hAnsi="Arial"/>
        </w:rPr>
        <w:t>16.4.9.</w:t>
        <w:tab/>
        <w:t>Сброс, удаление и обезвреживание сточных вод, содержащих радионуклиды, должен осуществляться в соответствии с действующими нормами радиационной безопасности.</w:t>
      </w:r>
    </w:p>
    <w:p>
      <w:pPr>
        <w:pStyle w:val="5551"/>
        <w:rPr>
          <w:rFonts w:ascii="Arial" w:hAnsi="Arial" w:cs="Arial"/>
        </w:rPr>
      </w:pPr>
      <w:r>
        <w:rPr>
          <w:rFonts w:cs="Arial" w:ascii="Arial" w:hAnsi="Arial"/>
        </w:rPr>
        <w:t>Сброс сточных и/или дренажных вод может быть ограничен, приостановлен или запрещен по основаниям и в порядке, установленным Федеральным законодательством.</w:t>
      </w:r>
    </w:p>
    <w:p>
      <w:pPr>
        <w:pStyle w:val="5551"/>
        <w:rPr>
          <w:rFonts w:ascii="Arial" w:hAnsi="Arial" w:cs="Arial"/>
        </w:rPr>
      </w:pPr>
      <w:r>
        <w:rPr>
          <w:rFonts w:cs="Arial" w:ascii="Arial" w:hAnsi="Arial"/>
        </w:rPr>
        <w:t>16.4.10.</w:t>
        <w:tab/>
        <w:t>Мероприятия по защите поверхностных вод от загрязнения разрабатываются в каждом конкретном случае и предусматривают:</w:t>
      </w:r>
    </w:p>
    <w:p>
      <w:pPr>
        <w:pStyle w:val="5551"/>
        <w:rPr>
          <w:rFonts w:ascii="Arial" w:hAnsi="Arial" w:cs="Arial"/>
        </w:rPr>
      </w:pPr>
      <w:r>
        <w:rPr>
          <w:rFonts w:cs="Arial" w:ascii="Arial" w:hAnsi="Arial"/>
        </w:rPr>
        <w:t xml:space="preserve">- устройство прибрежных водоохранных зон и защитных полос водных объектов (в соответствии с требованиями статьи 65 Водного кодекса Российской Федерации, зон санитарной охраны источников водоснабжения и водопроводов питьевого назначения, а также контроль за соблюдением установленного режима использования указанных зон; </w:t>
      </w:r>
    </w:p>
    <w:p>
      <w:pPr>
        <w:pStyle w:val="5551"/>
        <w:rPr>
          <w:rFonts w:ascii="Arial" w:hAnsi="Arial" w:cs="Arial"/>
        </w:rPr>
      </w:pPr>
      <w:r>
        <w:rPr>
          <w:rFonts w:cs="Arial" w:ascii="Arial" w:hAnsi="Arial"/>
        </w:rPr>
        <w:t xml:space="preserve">- устройство и содержание в исправном состоянии сооружений для очистки сточных вод до нормативных показателей качества воды; </w:t>
      </w:r>
    </w:p>
    <w:p>
      <w:pPr>
        <w:pStyle w:val="5551"/>
        <w:rPr>
          <w:rFonts w:ascii="Arial" w:hAnsi="Arial" w:cs="Arial"/>
        </w:rPr>
      </w:pPr>
      <w:r>
        <w:rPr>
          <w:rFonts w:cs="Arial" w:ascii="Arial" w:hAnsi="Arial"/>
        </w:rPr>
        <w:t xml:space="preserve">- содержание в исправном состоянии гидротехнических и других водохозяйственных сооружений и технических устройств; </w:t>
      </w:r>
    </w:p>
    <w:p>
      <w:pPr>
        <w:pStyle w:val="5551"/>
        <w:rPr>
          <w:rFonts w:ascii="Arial" w:hAnsi="Arial" w:cs="Arial"/>
        </w:rPr>
      </w:pPr>
      <w:r>
        <w:rPr>
          <w:rFonts w:cs="Arial" w:ascii="Arial" w:hAnsi="Arial"/>
        </w:rPr>
        <w:t xml:space="preserve">- предотвращение сбросов сточных вод, содержание радиоактивных веществ, пестицидов, агрохимикатов и других опасных для здоровья человека веществ и соединений, в которых превышает нормативы допустимого воздействия на водные объекты; </w:t>
      </w:r>
    </w:p>
    <w:p>
      <w:pPr>
        <w:pStyle w:val="5551"/>
        <w:rPr>
          <w:rFonts w:ascii="Arial" w:hAnsi="Arial" w:cs="Arial"/>
        </w:rPr>
      </w:pPr>
      <w:r>
        <w:rPr>
          <w:rFonts w:cs="Arial" w:ascii="Arial" w:hAnsi="Arial"/>
        </w:rPr>
        <w:t xml:space="preserve">- предотвращение сброса в водные объекты и захоронения в них отходов производства и потребления, в том числе выведенных из эксплуатации судов и иных плавучих средств (их частей и механизмов); </w:t>
      </w:r>
    </w:p>
    <w:p>
      <w:pPr>
        <w:pStyle w:val="5551"/>
        <w:rPr>
          <w:rFonts w:ascii="Arial" w:hAnsi="Arial" w:cs="Arial"/>
        </w:rPr>
      </w:pPr>
      <w:r>
        <w:rPr>
          <w:rFonts w:cs="Arial" w:ascii="Arial" w:hAnsi="Arial"/>
        </w:rPr>
        <w:t>- предотвращение захоронения в водных объектах ядерных материалов, радиоактивных веществ;</w:t>
      </w:r>
    </w:p>
    <w:p>
      <w:pPr>
        <w:pStyle w:val="5551"/>
        <w:rPr>
          <w:rFonts w:ascii="Arial" w:hAnsi="Arial" w:cs="Arial"/>
        </w:rPr>
      </w:pPr>
      <w:bookmarkStart w:id="64" w:name="page423"/>
      <w:bookmarkEnd w:id="64"/>
      <w:r>
        <w:rPr>
          <w:rFonts w:cs="Arial" w:ascii="Arial" w:hAnsi="Arial"/>
        </w:rPr>
        <w:t xml:space="preserve">- предотвращение загрязнения водных объектов при проведении всех видов работ, в том числе радиоактивными и/или токсичными веществами; </w:t>
      </w:r>
    </w:p>
    <w:p>
      <w:pPr>
        <w:pStyle w:val="5551"/>
        <w:rPr>
          <w:rFonts w:ascii="Arial" w:hAnsi="Arial" w:cs="Arial"/>
        </w:rPr>
      </w:pPr>
      <w:r>
        <w:rPr>
          <w:rFonts w:cs="Arial" w:ascii="Arial" w:hAnsi="Arial"/>
        </w:rPr>
        <w:t xml:space="preserve">- ограничение поступления биогенных элементов для предотвращения эвтрофирования вод, в особенности водоемов, предназначенных для централизованного хозяйственно-питьевого водоснабжения; </w:t>
      </w:r>
    </w:p>
    <w:p>
      <w:pPr>
        <w:pStyle w:val="5551"/>
        <w:rPr>
          <w:rFonts w:ascii="Arial" w:hAnsi="Arial" w:cs="Arial"/>
        </w:rPr>
      </w:pPr>
      <w:r>
        <w:rPr>
          <w:rFonts w:cs="Arial" w:ascii="Arial" w:hAnsi="Arial"/>
        </w:rPr>
        <w:t xml:space="preserve">- разработку планов мероприятий и инструкций по предотвращению аварий на объектах, представляющих потенциальную угрозу загрязнения; </w:t>
      </w:r>
    </w:p>
    <w:p>
      <w:pPr>
        <w:pStyle w:val="5551"/>
        <w:rPr>
          <w:rFonts w:ascii="Arial" w:hAnsi="Arial" w:cs="Arial"/>
        </w:rPr>
      </w:pPr>
      <w:r>
        <w:rPr>
          <w:rFonts w:cs="Arial" w:ascii="Arial" w:hAnsi="Arial"/>
        </w:rPr>
        <w:t xml:space="preserve">- установление зон рекреации водных объектов, в том числе мест для купания, туризма, водного спорта, рыбной ловли и т.п.; </w:t>
      </w:r>
    </w:p>
    <w:p>
      <w:pPr>
        <w:pStyle w:val="5551"/>
        <w:rPr>
          <w:rFonts w:ascii="Arial" w:hAnsi="Arial" w:cs="Arial"/>
        </w:rPr>
      </w:pPr>
      <w:r>
        <w:rPr>
          <w:rFonts w:cs="Arial" w:ascii="Arial" w:hAnsi="Arial"/>
        </w:rPr>
        <w:t xml:space="preserve">- мониторинг забираемых, используемых и сбрасываемых вод, количества загрязняющих веществ в них, а также систематические наблюдения за водными объектами и их водоохранными зонами. </w:t>
      </w:r>
    </w:p>
    <w:p>
      <w:pPr>
        <w:pStyle w:val="5551"/>
        <w:rPr/>
      </w:pPr>
      <w:r>
        <w:rPr>
          <w:rFonts w:cs="Arial" w:ascii="Arial" w:hAnsi="Arial"/>
        </w:rPr>
        <w:t>16.4.11.</w:t>
        <w:tab/>
      </w:r>
      <w:r>
        <w:rPr>
          <w:rFonts w:cs="Arial" w:ascii="Arial" w:hAnsi="Arial"/>
          <w:i/>
        </w:rPr>
        <w:t xml:space="preserve">В целях охраны подземных вод от загрязнения запрещается: </w:t>
      </w:r>
    </w:p>
    <w:p>
      <w:pPr>
        <w:pStyle w:val="5551"/>
        <w:rPr>
          <w:rFonts w:ascii="Arial" w:hAnsi="Arial" w:cs="Arial"/>
        </w:rPr>
      </w:pPr>
      <w:r>
        <w:rPr>
          <w:rFonts w:cs="Arial" w:ascii="Arial" w:hAnsi="Arial"/>
        </w:rPr>
        <w:t xml:space="preserve">- размещение на водосборных площадях подземных водных объектов, которые используются или могут быть использованы для целей питьевого и хозяйственно-бытового водоснабжения, мест захоронения отходов производства и потребления, кладбищ, скотомогильников и других объектов, оказывающих негативное воздействие на состояние подземных вод; </w:t>
      </w:r>
    </w:p>
    <w:p>
      <w:pPr>
        <w:pStyle w:val="5551"/>
        <w:rPr>
          <w:rFonts w:ascii="Arial" w:hAnsi="Arial" w:cs="Arial"/>
        </w:rPr>
      </w:pPr>
      <w:r>
        <w:rPr>
          <w:rFonts w:cs="Arial" w:ascii="Arial" w:hAnsi="Arial"/>
        </w:rPr>
        <w:t xml:space="preserve">- использование сточных вод для орошения и удобрения земель с нарушением федерального законодательства; </w:t>
      </w:r>
    </w:p>
    <w:p>
      <w:pPr>
        <w:pStyle w:val="5551"/>
        <w:rPr>
          <w:rFonts w:ascii="Arial" w:hAnsi="Arial" w:cs="Arial"/>
        </w:rPr>
      </w:pPr>
      <w:r>
        <w:rPr>
          <w:rFonts w:cs="Arial" w:ascii="Arial" w:hAnsi="Arial"/>
        </w:rPr>
        <w:t xml:space="preserve">- отвод без очистки дренажных вод с полей и поверхностных сточных вод с территорий населенных мест в овраги и балки; </w:t>
      </w:r>
    </w:p>
    <w:p>
      <w:pPr>
        <w:pStyle w:val="5551"/>
        <w:rPr>
          <w:rFonts w:ascii="Arial" w:hAnsi="Arial" w:cs="Arial"/>
        </w:rPr>
      </w:pPr>
      <w:r>
        <w:rPr>
          <w:rFonts w:cs="Arial" w:ascii="Arial" w:hAnsi="Arial"/>
        </w:rPr>
        <w:t xml:space="preserve">- закачка отработанных вод в подземные горизонты подземное складирование твердых отходов; </w:t>
      </w:r>
    </w:p>
    <w:p>
      <w:pPr>
        <w:pStyle w:val="5551"/>
        <w:rPr>
          <w:rFonts w:ascii="Arial" w:hAnsi="Arial" w:cs="Arial"/>
        </w:rPr>
      </w:pPr>
      <w:r>
        <w:rPr>
          <w:rFonts w:cs="Arial" w:ascii="Arial" w:hAnsi="Arial"/>
        </w:rPr>
        <w:t xml:space="preserve">- применение, хранение ядохимикатов и удобрений в пределах водосборов грунтовых вод, используемых при нецентрализованном водоснабжении; </w:t>
      </w:r>
    </w:p>
    <w:p>
      <w:pPr>
        <w:pStyle w:val="5551"/>
        <w:rPr>
          <w:rFonts w:ascii="Arial" w:hAnsi="Arial" w:cs="Arial"/>
        </w:rPr>
      </w:pPr>
      <w:r>
        <w:rPr>
          <w:rFonts w:cs="Arial" w:ascii="Arial" w:hAnsi="Arial"/>
        </w:rPr>
        <w:t xml:space="preserve">- размещение складов горюче-смазочных материалов, ядохимикатов и минеральных веществ, и других объектов, обуславливающих опасность химического загрязнения подземных вод; </w:t>
      </w:r>
    </w:p>
    <w:p>
      <w:pPr>
        <w:pStyle w:val="5551"/>
        <w:rPr>
          <w:rFonts w:ascii="Arial" w:hAnsi="Arial" w:cs="Arial"/>
        </w:rPr>
      </w:pPr>
      <w:r>
        <w:rPr>
          <w:rFonts w:cs="Arial" w:ascii="Arial" w:hAnsi="Arial"/>
        </w:rPr>
        <w:t xml:space="preserve">- выполнение мероприятий по санитарному благоустройству территорий населенных пунктов и других объектов (устройство канализации, выгребов, отвод поверхностных вод и др.) на территории зон санитарной охраны. </w:t>
      </w:r>
    </w:p>
    <w:p>
      <w:pPr>
        <w:pStyle w:val="5551"/>
        <w:rPr>
          <w:rFonts w:ascii="Arial" w:hAnsi="Arial" w:cs="Arial"/>
        </w:rPr>
      </w:pPr>
      <w:r>
        <w:rPr>
          <w:rFonts w:cs="Arial" w:ascii="Arial" w:hAnsi="Arial"/>
        </w:rPr>
        <w:t>16.4.12.</w:t>
        <w:tab/>
        <w:t xml:space="preserve">Мероприятия по защите подземных вод от загрязнения разрабатываются в каждом конкретном случае и предусматривают: </w:t>
      </w:r>
    </w:p>
    <w:p>
      <w:pPr>
        <w:pStyle w:val="5551"/>
        <w:rPr>
          <w:rFonts w:ascii="Arial" w:hAnsi="Arial" w:cs="Arial"/>
        </w:rPr>
      </w:pPr>
      <w:r>
        <w:rPr>
          <w:rFonts w:cs="Arial" w:ascii="Arial" w:hAnsi="Arial"/>
        </w:rPr>
        <w:t xml:space="preserve">- устройство зон санитарной охраны источников водоснабжения, а также контроль за соблюдением установленного режима использования указанных зон; </w:t>
      </w:r>
    </w:p>
    <w:p>
      <w:pPr>
        <w:pStyle w:val="5551"/>
        <w:rPr>
          <w:rFonts w:ascii="Arial" w:hAnsi="Arial" w:cs="Arial"/>
        </w:rPr>
      </w:pPr>
      <w:r>
        <w:rPr>
          <w:rFonts w:cs="Arial" w:ascii="Arial" w:hAnsi="Arial"/>
        </w:rPr>
        <w:t xml:space="preserve">- устройство зон санитарной и горно-санитарной охраны вокруг источников минеральных вод, месторождения лечебных грязей; </w:t>
      </w:r>
    </w:p>
    <w:p>
      <w:pPr>
        <w:pStyle w:val="5551"/>
        <w:rPr>
          <w:rFonts w:ascii="Arial" w:hAnsi="Arial" w:cs="Arial"/>
        </w:rPr>
      </w:pPr>
      <w:r>
        <w:rPr>
          <w:rFonts w:cs="Arial" w:ascii="Arial" w:hAnsi="Arial"/>
        </w:rPr>
        <w:t xml:space="preserve">- предотвращение загрязнения, засорения подземных водных объектов и истощения вод, а также контроль за соблюдением нормативов допустимого воздействия на подземные водные объекты; </w:t>
      </w:r>
    </w:p>
    <w:p>
      <w:pPr>
        <w:pStyle w:val="5551"/>
        <w:rPr>
          <w:rFonts w:ascii="Arial" w:hAnsi="Arial" w:cs="Arial"/>
        </w:rPr>
      </w:pPr>
      <w:r>
        <w:rPr>
          <w:rFonts w:cs="Arial" w:ascii="Arial" w:hAnsi="Arial"/>
        </w:rPr>
        <w:t xml:space="preserve">- обязательную герметизацию оголовков всех эксплуатируемых и резервных скважин; </w:t>
      </w:r>
    </w:p>
    <w:p>
      <w:pPr>
        <w:pStyle w:val="5551"/>
        <w:rPr>
          <w:rFonts w:ascii="Arial" w:hAnsi="Arial" w:cs="Arial"/>
        </w:rPr>
      </w:pPr>
      <w:r>
        <w:rPr>
          <w:rFonts w:cs="Arial" w:ascii="Arial" w:hAnsi="Arial"/>
        </w:rPr>
        <w:t>- выявление скважин, не пригодных к эксплуатации или использование которых прекращено, оборудование их регулирующими устройствами, консервация или ликвидация;</w:t>
      </w:r>
    </w:p>
    <w:p>
      <w:pPr>
        <w:pStyle w:val="5551"/>
        <w:rPr>
          <w:rFonts w:ascii="Arial" w:hAnsi="Arial" w:cs="Arial"/>
        </w:rPr>
      </w:pPr>
      <w:bookmarkStart w:id="65" w:name="page425"/>
      <w:bookmarkEnd w:id="65"/>
      <w:r>
        <w:rPr>
          <w:rFonts w:cs="Arial" w:ascii="Arial" w:hAnsi="Arial"/>
        </w:rPr>
        <w:t xml:space="preserve">- предотвращение негативного воздействия водозаборных сооружений, связанных с использованием подземных водных объектов, на поверхностные водные объекты и другие объекты окружающей среды; </w:t>
      </w:r>
    </w:p>
    <w:p>
      <w:pPr>
        <w:pStyle w:val="5551"/>
        <w:rPr>
          <w:rFonts w:ascii="Arial" w:hAnsi="Arial" w:cs="Arial"/>
        </w:rPr>
      </w:pPr>
      <w:r>
        <w:rPr>
          <w:rFonts w:cs="Arial" w:ascii="Arial" w:hAnsi="Arial"/>
        </w:rPr>
        <w:t xml:space="preserve">- предупреждение фильтрации загрязненных вод с поверхности почвы, а также при бурении скважин различного назначения в водоносные горизонты; </w:t>
      </w:r>
    </w:p>
    <w:p>
      <w:pPr>
        <w:pStyle w:val="5551"/>
        <w:rPr>
          <w:rFonts w:ascii="Arial" w:hAnsi="Arial" w:cs="Arial"/>
        </w:rPr>
      </w:pPr>
      <w:r>
        <w:rPr>
          <w:rFonts w:cs="Arial" w:ascii="Arial" w:hAnsi="Arial"/>
        </w:rPr>
        <w:t xml:space="preserve">- использование водонепроницаемых емкостей для хранения сырья, продуктов производства, химических реагентов, отходов промышленных и сельскохозяйственных производств, твердых и жидких бытовых отходов; </w:t>
      </w:r>
    </w:p>
    <w:p>
      <w:pPr>
        <w:pStyle w:val="5551"/>
        <w:rPr>
          <w:rFonts w:ascii="Arial" w:hAnsi="Arial" w:cs="Arial"/>
        </w:rPr>
      </w:pPr>
      <w:r>
        <w:rPr>
          <w:rFonts w:cs="Arial" w:ascii="Arial" w:hAnsi="Arial"/>
        </w:rPr>
        <w:t xml:space="preserve">- мониторинг состояния и режима эксплуатации водозаборов подземных вод, ограничение водозабора. </w:t>
      </w:r>
    </w:p>
    <w:p>
      <w:pPr>
        <w:pStyle w:val="5551"/>
        <w:rPr/>
      </w:pPr>
      <w:r>
        <w:rPr>
          <w:rFonts w:cs="Arial" w:ascii="Arial" w:hAnsi="Arial"/>
        </w:rPr>
        <w:t>16.5.</w:t>
        <w:tab/>
      </w:r>
      <w:r>
        <w:rPr>
          <w:rFonts w:cs="Arial" w:ascii="Arial" w:hAnsi="Arial"/>
          <w:i/>
        </w:rPr>
        <w:t>Охрана почв.</w:t>
      </w:r>
    </w:p>
    <w:p>
      <w:pPr>
        <w:pStyle w:val="5551"/>
        <w:rPr>
          <w:rFonts w:ascii="Arial" w:hAnsi="Arial" w:cs="Arial"/>
        </w:rPr>
      </w:pPr>
      <w:r>
        <w:rPr>
          <w:rFonts w:cs="Arial" w:ascii="Arial" w:hAnsi="Arial"/>
        </w:rPr>
        <w:t>16.5.1.</w:t>
        <w:tab/>
        <w:t xml:space="preserve">Требования по охране почв предъявляются к жилым, рекреационным и курортным зонам, зонам санитарной охраны водоемов, территориям сельскохозяйственного назначения и другим, где возможно влияние загрязненных почв на здоровье человека и условия проживания. Гигиенические требования к качеству почв устанавливаются с учетом их специфики, почвенно-климатических особенностей населенных мест, фонового содержания химических соединений и элементов. </w:t>
      </w:r>
    </w:p>
    <w:p>
      <w:pPr>
        <w:pStyle w:val="5551"/>
        <w:rPr/>
      </w:pPr>
      <w:r>
        <w:rPr>
          <w:rFonts w:cs="Arial" w:ascii="Arial" w:hAnsi="Arial"/>
        </w:rPr>
        <w:t>16.5.2.</w:t>
        <w:tab/>
        <w:t xml:space="preserve">В почвах </w:t>
      </w:r>
      <w:r>
        <w:rPr>
          <w:rFonts w:eastAsia="Times New Roman" w:cs="Arial" w:ascii="Arial" w:hAnsi="Arial"/>
          <w:lang w:eastAsia="ar-SA"/>
        </w:rPr>
        <w:t>сельского</w:t>
      </w:r>
      <w:r>
        <w:rPr>
          <w:rFonts w:cs="Arial" w:ascii="Arial" w:hAnsi="Arial"/>
        </w:rPr>
        <w:t xml:space="preserve"> поселения и сельскохозяйственных угодий содержание потенциально опасных для человека химических и биологических веществ, биологических и микробиологических организмов, а также уровень радиационного фона не должны превышать предельно допустимые концентрации (уровни), установленные санитарными правилами и гигиеническими нормативами. </w:t>
      </w:r>
    </w:p>
    <w:p>
      <w:pPr>
        <w:pStyle w:val="5551"/>
        <w:rPr>
          <w:rFonts w:ascii="Arial" w:hAnsi="Arial" w:cs="Arial"/>
        </w:rPr>
      </w:pPr>
      <w:r>
        <w:rPr>
          <w:rFonts w:cs="Arial" w:ascii="Arial" w:hAnsi="Arial"/>
        </w:rPr>
        <w:t>16.5.3.</w:t>
        <w:tab/>
        <w:t xml:space="preserve">Гигиенические требования к качеству почв территорий жилых зон устанавливается в первую очередь для наиболее значимых территорий (зон повышенного риска): детских и образовательных учреждений, спортивных, игровых, детских площадок жилой застройки, площадок отдыха, зон рекреации, зон санитарной охраны водоемов, прибрежных зон, санитарно-защитных зон. </w:t>
      </w:r>
    </w:p>
    <w:p>
      <w:pPr>
        <w:pStyle w:val="5551"/>
        <w:rPr>
          <w:rFonts w:ascii="Arial" w:hAnsi="Arial" w:cs="Arial"/>
        </w:rPr>
      </w:pPr>
      <w:r>
        <w:rPr>
          <w:rFonts w:cs="Arial" w:ascii="Arial" w:hAnsi="Arial"/>
        </w:rPr>
        <w:t>16.5.4.</w:t>
        <w:tab/>
        <w:t xml:space="preserve">Выбор площадки для размещения объектов проводится с учетом: </w:t>
      </w:r>
    </w:p>
    <w:p>
      <w:pPr>
        <w:pStyle w:val="5551"/>
        <w:rPr>
          <w:rFonts w:ascii="Arial" w:hAnsi="Arial" w:cs="Arial"/>
        </w:rPr>
      </w:pPr>
      <w:r>
        <w:rPr>
          <w:rFonts w:cs="Arial" w:ascii="Arial" w:hAnsi="Arial"/>
        </w:rPr>
        <w:t xml:space="preserve">- физико-химических свойств почв, их механического состава, содержания органического вещества, кислотности и т.д.; </w:t>
      </w:r>
    </w:p>
    <w:p>
      <w:pPr>
        <w:pStyle w:val="5551"/>
        <w:rPr>
          <w:rFonts w:ascii="Arial" w:hAnsi="Arial" w:cs="Arial"/>
        </w:rPr>
      </w:pPr>
      <w:r>
        <w:rPr>
          <w:rFonts w:cs="Arial" w:ascii="Arial" w:hAnsi="Arial"/>
        </w:rPr>
        <w:t xml:space="preserve">- природно-климатических характеристик (роза ветров, количество осадков, температурный режим района); </w:t>
      </w:r>
    </w:p>
    <w:p>
      <w:pPr>
        <w:pStyle w:val="5551"/>
        <w:rPr>
          <w:rFonts w:ascii="Arial" w:hAnsi="Arial" w:cs="Arial"/>
        </w:rPr>
      </w:pPr>
      <w:r>
        <w:rPr>
          <w:rFonts w:cs="Arial" w:ascii="Arial" w:hAnsi="Arial"/>
        </w:rPr>
        <w:t xml:space="preserve">- ландшафтной, геологической и гидрологической характеристики почв; </w:t>
      </w:r>
    </w:p>
    <w:p>
      <w:pPr>
        <w:pStyle w:val="5551"/>
        <w:rPr>
          <w:rFonts w:ascii="Arial" w:hAnsi="Arial" w:cs="Arial"/>
        </w:rPr>
      </w:pPr>
      <w:r>
        <w:rPr>
          <w:rFonts w:cs="Arial" w:ascii="Arial" w:hAnsi="Arial"/>
        </w:rPr>
        <w:t xml:space="preserve">- их хозяйственного использования. </w:t>
      </w:r>
    </w:p>
    <w:p>
      <w:pPr>
        <w:pStyle w:val="5551"/>
        <w:rPr>
          <w:rFonts w:ascii="Arial" w:hAnsi="Arial" w:cs="Arial"/>
        </w:rPr>
      </w:pPr>
      <w:r>
        <w:rPr>
          <w:rFonts w:cs="Arial" w:ascii="Arial" w:hAnsi="Arial"/>
        </w:rPr>
        <w:t>16.5.5.</w:t>
        <w:tab/>
        <w:t>По степени опасности в санитарно-эпидемиологическом отношении почвы населенных мест могут быть разделены на следующие категории по уровню загрязнения: чистая, допустимая, умеренно опасная, опасная и чрезвычайно опасная.</w:t>
      </w:r>
    </w:p>
    <w:p>
      <w:pPr>
        <w:pStyle w:val="5551"/>
        <w:rPr>
          <w:rFonts w:ascii="Arial" w:hAnsi="Arial" w:cs="Arial"/>
        </w:rPr>
      </w:pPr>
      <w:r>
        <w:rPr>
          <w:rFonts w:cs="Arial" w:ascii="Arial" w:hAnsi="Arial"/>
        </w:rPr>
        <w:t>16.5.6.</w:t>
        <w:tab/>
        <w:t>Требования к почвам по химическим показателям представлены в таблице  16.4.</w:t>
      </w:r>
    </w:p>
    <w:p>
      <w:pPr>
        <w:pStyle w:val="5551"/>
        <w:jc w:val="right"/>
        <w:rPr/>
      </w:pPr>
      <w:r>
        <w:rPr>
          <w:rFonts w:cs="Arial" w:ascii="Arial" w:hAnsi="Arial"/>
          <w:lang w:val="en-US"/>
        </w:rPr>
        <w:t>Таблица</w:t>
      </w:r>
      <w:r>
        <w:rPr>
          <w:rFonts w:cs="Arial" w:ascii="Arial" w:hAnsi="Arial"/>
        </w:rPr>
        <w:t xml:space="preserve"> 16.4</w:t>
      </w:r>
    </w:p>
    <w:tbl>
      <w:tblPr>
        <w:tblW w:w="10356" w:type="dxa"/>
        <w:jc w:val="left"/>
        <w:tblInd w:w="50" w:type="dxa"/>
        <w:tblBorders>
          <w:top w:val="single" w:sz="4" w:space="0" w:color="00000A"/>
          <w:left w:val="single" w:sz="4" w:space="0" w:color="00000A"/>
          <w:bottom w:val="single" w:sz="4" w:space="0" w:color="00000A"/>
          <w:insideH w:val="single" w:sz="4" w:space="0" w:color="00000A"/>
        </w:tblBorders>
        <w:tblCellMar>
          <w:top w:w="55" w:type="dxa"/>
          <w:left w:w="55" w:type="dxa"/>
          <w:bottom w:w="55" w:type="dxa"/>
          <w:right w:w="55" w:type="dxa"/>
        </w:tblCellMar>
      </w:tblPr>
      <w:tblGrid>
        <w:gridCol w:w="1560"/>
        <w:gridCol w:w="1559"/>
        <w:gridCol w:w="1198"/>
        <w:gridCol w:w="1212"/>
        <w:gridCol w:w="2"/>
        <w:gridCol w:w="1196"/>
        <w:gridCol w:w="1214"/>
        <w:gridCol w:w="1"/>
        <w:gridCol w:w="1196"/>
        <w:gridCol w:w="1218"/>
      </w:tblGrid>
      <w:tr>
        <w:trPr/>
        <w:tc>
          <w:tcPr>
            <w:tcW w:w="1560" w:type="dxa"/>
            <w:vMerge w:val="restart"/>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Категории</w:t>
            </w:r>
          </w:p>
          <w:p>
            <w:pPr>
              <w:pStyle w:val="Style53"/>
              <w:rPr>
                <w:rFonts w:ascii="Arial" w:hAnsi="Arial" w:cs="Arial"/>
                <w:b/>
                <w:b/>
              </w:rPr>
            </w:pPr>
            <w:r>
              <w:rPr>
                <w:rFonts w:cs="Arial" w:ascii="Arial" w:hAnsi="Arial"/>
                <w:b/>
              </w:rPr>
              <w:t>загрязнения</w:t>
            </w:r>
          </w:p>
        </w:tc>
        <w:tc>
          <w:tcPr>
            <w:tcW w:w="1559" w:type="dxa"/>
            <w:vMerge w:val="restart"/>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Суммарный</w:t>
            </w:r>
          </w:p>
          <w:p>
            <w:pPr>
              <w:pStyle w:val="Style53"/>
              <w:jc w:val="center"/>
              <w:rPr>
                <w:rFonts w:ascii="Arial" w:hAnsi="Arial" w:cs="Arial"/>
                <w:b/>
                <w:b/>
              </w:rPr>
            </w:pPr>
            <w:r>
              <w:rPr>
                <w:rFonts w:cs="Arial" w:ascii="Arial" w:hAnsi="Arial"/>
                <w:b/>
              </w:rPr>
              <w:t>показатель</w:t>
            </w:r>
          </w:p>
          <w:p>
            <w:pPr>
              <w:pStyle w:val="Style53"/>
              <w:jc w:val="center"/>
              <w:rPr>
                <w:rFonts w:ascii="Arial" w:hAnsi="Arial" w:cs="Arial"/>
                <w:b/>
                <w:b/>
              </w:rPr>
            </w:pPr>
            <w:r>
              <w:rPr>
                <w:rFonts w:cs="Arial" w:ascii="Arial" w:hAnsi="Arial"/>
                <w:b/>
              </w:rPr>
              <w:t>загрязнения</w:t>
            </w:r>
          </w:p>
          <w:p>
            <w:pPr>
              <w:pStyle w:val="Style53"/>
              <w:jc w:val="center"/>
              <w:rPr>
                <w:rFonts w:ascii="Arial" w:hAnsi="Arial" w:cs="Arial"/>
                <w:b/>
                <w:b/>
              </w:rPr>
            </w:pPr>
            <w:r>
              <w:rPr>
                <w:rFonts w:cs="Arial" w:ascii="Arial" w:hAnsi="Arial"/>
                <w:b/>
              </w:rPr>
              <w:t>(Zc)</w:t>
            </w:r>
          </w:p>
        </w:tc>
        <w:tc>
          <w:tcPr>
            <w:tcW w:w="7237" w:type="dxa"/>
            <w:gridSpan w:val="8"/>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Содержание в почве (мг/кг)</w:t>
            </w:r>
          </w:p>
        </w:tc>
      </w:tr>
      <w:tr>
        <w:trPr/>
        <w:tc>
          <w:tcPr>
            <w:tcW w:w="1560" w:type="dxa"/>
            <w:vMerge w:val="continue"/>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rFonts w:ascii="Arial" w:hAnsi="Arial" w:eastAsia="TimesNewRoman" w:cs="Arial"/>
                <w:b/>
                <w:b/>
              </w:rPr>
            </w:pPr>
            <w:r>
              <w:rPr>
                <w:rFonts w:eastAsia="TimesNewRoman" w:cs="Arial" w:ascii="Arial" w:hAnsi="Arial"/>
                <w:b/>
              </w:rPr>
            </w:r>
          </w:p>
        </w:tc>
        <w:tc>
          <w:tcPr>
            <w:tcW w:w="1559" w:type="dxa"/>
            <w:vMerge w:val="continue"/>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rFonts w:ascii="Arial" w:hAnsi="Arial" w:eastAsia="TimesNewRoman" w:cs="Arial"/>
                <w:b/>
                <w:b/>
              </w:rPr>
            </w:pPr>
            <w:r>
              <w:rPr>
                <w:rFonts w:eastAsia="TimesNewRoman" w:cs="Arial" w:ascii="Arial" w:hAnsi="Arial"/>
                <w:b/>
              </w:rPr>
            </w:r>
          </w:p>
        </w:tc>
        <w:tc>
          <w:tcPr>
            <w:tcW w:w="2410" w:type="dxa"/>
            <w:gridSpan w:val="2"/>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I класс опасности</w:t>
            </w:r>
          </w:p>
        </w:tc>
        <w:tc>
          <w:tcPr>
            <w:tcW w:w="2412" w:type="dxa"/>
            <w:gridSpan w:val="3"/>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pPr>
            <w:r>
              <w:rPr>
                <w:rFonts w:cs="Arial" w:ascii="Arial" w:hAnsi="Arial"/>
                <w:b/>
                <w:lang w:val="en-US"/>
              </w:rPr>
              <w:t>I</w:t>
            </w:r>
            <w:r>
              <w:rPr>
                <w:rFonts w:cs="Arial" w:ascii="Arial" w:hAnsi="Arial"/>
                <w:b/>
              </w:rPr>
              <w:t>I класс опасности</w:t>
            </w:r>
          </w:p>
        </w:tc>
        <w:tc>
          <w:tcPr>
            <w:tcW w:w="241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Style53"/>
              <w:snapToGrid w:val="false"/>
              <w:jc w:val="center"/>
              <w:rPr/>
            </w:pPr>
            <w:r>
              <w:rPr>
                <w:rFonts w:cs="Arial" w:ascii="Arial" w:hAnsi="Arial"/>
                <w:b/>
                <w:lang w:val="en-US"/>
              </w:rPr>
              <w:t>II</w:t>
            </w:r>
            <w:r>
              <w:rPr>
                <w:rFonts w:cs="Arial" w:ascii="Arial" w:hAnsi="Arial"/>
                <w:b/>
              </w:rPr>
              <w:t>I класс опасности</w:t>
            </w:r>
          </w:p>
        </w:tc>
      </w:tr>
      <w:tr>
        <w:trPr/>
        <w:tc>
          <w:tcPr>
            <w:tcW w:w="1560" w:type="dxa"/>
            <w:vMerge w:val="continue"/>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rFonts w:ascii="Arial" w:hAnsi="Arial" w:eastAsia="TimesNewRoman" w:cs="Arial"/>
                <w:b/>
                <w:b/>
              </w:rPr>
            </w:pPr>
            <w:r>
              <w:rPr>
                <w:rFonts w:eastAsia="TimesNewRoman" w:cs="Arial" w:ascii="Arial" w:hAnsi="Arial"/>
                <w:b/>
              </w:rPr>
            </w:r>
          </w:p>
        </w:tc>
        <w:tc>
          <w:tcPr>
            <w:tcW w:w="1559" w:type="dxa"/>
            <w:vMerge w:val="continue"/>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rFonts w:ascii="Arial" w:hAnsi="Arial" w:eastAsia="TimesNewRoman" w:cs="Arial"/>
                <w:b/>
                <w:b/>
              </w:rPr>
            </w:pPr>
            <w:r>
              <w:rPr>
                <w:rFonts w:eastAsia="TimesNewRoman" w:cs="Arial" w:ascii="Arial" w:hAnsi="Arial"/>
                <w:b/>
              </w:rPr>
            </w:r>
          </w:p>
        </w:tc>
        <w:tc>
          <w:tcPr>
            <w:tcW w:w="2410" w:type="dxa"/>
            <w:gridSpan w:val="2"/>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Соединения</w:t>
            </w:r>
          </w:p>
        </w:tc>
        <w:tc>
          <w:tcPr>
            <w:tcW w:w="2412" w:type="dxa"/>
            <w:gridSpan w:val="3"/>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соединения</w:t>
            </w:r>
          </w:p>
        </w:tc>
        <w:tc>
          <w:tcPr>
            <w:tcW w:w="241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Соединения</w:t>
            </w:r>
          </w:p>
        </w:tc>
      </w:tr>
      <w:tr>
        <w:trPr/>
        <w:tc>
          <w:tcPr>
            <w:tcW w:w="1560" w:type="dxa"/>
            <w:vMerge w:val="continue"/>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rFonts w:ascii="Arial" w:hAnsi="Arial" w:cs="Arial"/>
                <w:b/>
                <w:b/>
              </w:rPr>
            </w:pPr>
            <w:r>
              <w:rPr>
                <w:rFonts w:cs="Arial" w:ascii="Arial" w:hAnsi="Arial"/>
                <w:b/>
              </w:rPr>
            </w:r>
          </w:p>
        </w:tc>
        <w:tc>
          <w:tcPr>
            <w:tcW w:w="1559" w:type="dxa"/>
            <w:vMerge w:val="continue"/>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rFonts w:ascii="Arial" w:hAnsi="Arial" w:cs="Arial"/>
                <w:b/>
                <w:b/>
              </w:rPr>
            </w:pPr>
            <w:r>
              <w:rPr>
                <w:rFonts w:cs="Arial" w:ascii="Arial" w:hAnsi="Arial"/>
                <w:b/>
              </w:rPr>
            </w:r>
          </w:p>
        </w:tc>
        <w:tc>
          <w:tcPr>
            <w:tcW w:w="1198"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Органические</w:t>
            </w:r>
          </w:p>
        </w:tc>
        <w:tc>
          <w:tcPr>
            <w:tcW w:w="1214" w:type="dxa"/>
            <w:gridSpan w:val="2"/>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неорганические</w:t>
            </w:r>
          </w:p>
        </w:tc>
        <w:tc>
          <w:tcPr>
            <w:tcW w:w="1196"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Органические</w:t>
            </w:r>
          </w:p>
        </w:tc>
        <w:tc>
          <w:tcPr>
            <w:tcW w:w="1215" w:type="dxa"/>
            <w:gridSpan w:val="2"/>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неорганические</w:t>
            </w:r>
          </w:p>
        </w:tc>
        <w:tc>
          <w:tcPr>
            <w:tcW w:w="1196"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Органические</w:t>
            </w:r>
          </w:p>
        </w:tc>
        <w:tc>
          <w:tcPr>
            <w:tcW w:w="121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неорганические</w:t>
            </w:r>
          </w:p>
        </w:tc>
      </w:tr>
      <w:tr>
        <w:trPr/>
        <w:tc>
          <w:tcPr>
            <w:tcW w:w="156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NewRoman" w:cs="Arial"/>
              </w:rPr>
            </w:pPr>
            <w:r>
              <w:rPr>
                <w:rFonts w:eastAsia="TimesNewRoman" w:cs="Arial" w:ascii="Arial" w:hAnsi="Arial"/>
              </w:rPr>
              <w:t>Чистая</w:t>
            </w:r>
          </w:p>
        </w:tc>
        <w:tc>
          <w:tcPr>
            <w:tcW w:w="155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w:t>
            </w:r>
          </w:p>
        </w:tc>
        <w:tc>
          <w:tcPr>
            <w:tcW w:w="119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фона</w:t>
            </w:r>
          </w:p>
          <w:p>
            <w:pPr>
              <w:pStyle w:val="Style53"/>
              <w:rPr>
                <w:rFonts w:ascii="Arial" w:hAnsi="Arial" w:cs="Arial"/>
              </w:rPr>
            </w:pPr>
            <w:r>
              <w:rPr>
                <w:rFonts w:cs="Arial" w:ascii="Arial" w:hAnsi="Arial"/>
              </w:rPr>
              <w:t>до ПДК</w:t>
            </w:r>
          </w:p>
        </w:tc>
        <w:tc>
          <w:tcPr>
            <w:tcW w:w="1214"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фона</w:t>
            </w:r>
          </w:p>
          <w:p>
            <w:pPr>
              <w:pStyle w:val="Style53"/>
              <w:rPr>
                <w:rFonts w:ascii="Arial" w:hAnsi="Arial" w:cs="Arial"/>
              </w:rPr>
            </w:pPr>
            <w:r>
              <w:rPr>
                <w:rFonts w:cs="Arial" w:ascii="Arial" w:hAnsi="Arial"/>
              </w:rPr>
              <w:t>до ПДК</w:t>
            </w:r>
          </w:p>
        </w:tc>
        <w:tc>
          <w:tcPr>
            <w:tcW w:w="119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фона</w:t>
            </w:r>
          </w:p>
          <w:p>
            <w:pPr>
              <w:pStyle w:val="Style53"/>
              <w:rPr>
                <w:rFonts w:ascii="Arial" w:hAnsi="Arial" w:cs="Arial"/>
              </w:rPr>
            </w:pPr>
            <w:r>
              <w:rPr>
                <w:rFonts w:cs="Arial" w:ascii="Arial" w:hAnsi="Arial"/>
              </w:rPr>
              <w:t>до ПДК</w:t>
            </w:r>
          </w:p>
        </w:tc>
        <w:tc>
          <w:tcPr>
            <w:tcW w:w="1215"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фона</w:t>
            </w:r>
          </w:p>
          <w:p>
            <w:pPr>
              <w:pStyle w:val="Style53"/>
              <w:rPr>
                <w:rFonts w:ascii="Arial" w:hAnsi="Arial" w:cs="Arial"/>
              </w:rPr>
            </w:pPr>
            <w:r>
              <w:rPr>
                <w:rFonts w:cs="Arial" w:ascii="Arial" w:hAnsi="Arial"/>
              </w:rPr>
              <w:t>до ПДК</w:t>
            </w:r>
          </w:p>
        </w:tc>
        <w:tc>
          <w:tcPr>
            <w:tcW w:w="119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фона</w:t>
            </w:r>
          </w:p>
          <w:p>
            <w:pPr>
              <w:pStyle w:val="Style53"/>
              <w:rPr>
                <w:rFonts w:ascii="Arial" w:hAnsi="Arial" w:cs="Arial"/>
              </w:rPr>
            </w:pPr>
            <w:r>
              <w:rPr>
                <w:rFonts w:cs="Arial" w:ascii="Arial" w:hAnsi="Arial"/>
              </w:rPr>
              <w:t>до ПДК</w:t>
            </w:r>
          </w:p>
        </w:tc>
        <w:tc>
          <w:tcPr>
            <w:tcW w:w="121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фона</w:t>
            </w:r>
          </w:p>
          <w:p>
            <w:pPr>
              <w:pStyle w:val="Style53"/>
              <w:rPr>
                <w:rFonts w:ascii="Arial" w:hAnsi="Arial" w:cs="Arial"/>
              </w:rPr>
            </w:pPr>
            <w:r>
              <w:rPr>
                <w:rFonts w:cs="Arial" w:ascii="Arial" w:hAnsi="Arial"/>
              </w:rPr>
              <w:t>до ПДК</w:t>
            </w:r>
          </w:p>
        </w:tc>
      </w:tr>
      <w:tr>
        <w:trPr>
          <w:trHeight w:val="1054" w:hRule="atLeast"/>
        </w:trPr>
        <w:tc>
          <w:tcPr>
            <w:tcW w:w="156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NewRoman" w:cs="Arial"/>
              </w:rPr>
            </w:pPr>
            <w:r>
              <w:rPr>
                <w:rFonts w:eastAsia="TimesNewRoman" w:cs="Arial" w:ascii="Arial" w:hAnsi="Arial"/>
              </w:rPr>
              <w:t>Допустимая</w:t>
            </w:r>
          </w:p>
        </w:tc>
        <w:tc>
          <w:tcPr>
            <w:tcW w:w="155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&lt; 16</w:t>
            </w:r>
          </w:p>
        </w:tc>
        <w:tc>
          <w:tcPr>
            <w:tcW w:w="119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1 до 2</w:t>
            </w:r>
          </w:p>
          <w:p>
            <w:pPr>
              <w:pStyle w:val="Style53"/>
              <w:rPr>
                <w:rFonts w:ascii="Arial" w:hAnsi="Arial" w:cs="Arial"/>
              </w:rPr>
            </w:pPr>
            <w:r>
              <w:rPr>
                <w:rFonts w:cs="Arial" w:ascii="Arial" w:hAnsi="Arial"/>
              </w:rPr>
              <w:t>ПДК</w:t>
            </w:r>
          </w:p>
        </w:tc>
        <w:tc>
          <w:tcPr>
            <w:tcW w:w="1214"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rPr/>
            </w:pPr>
            <w:r>
              <w:rPr>
                <w:rFonts w:eastAsia="TimesNewRoman" w:cs="Arial" w:ascii="Arial" w:hAnsi="Arial"/>
                <w:sz w:val="24"/>
                <w:szCs w:val="24"/>
              </w:rPr>
              <w:t xml:space="preserve">от </w:t>
            </w:r>
            <w:r>
              <w:rPr>
                <w:rFonts w:cs="Arial" w:ascii="Arial" w:hAnsi="Arial"/>
                <w:sz w:val="24"/>
                <w:szCs w:val="24"/>
              </w:rPr>
              <w:t xml:space="preserve">2 </w:t>
            </w:r>
            <w:r>
              <w:rPr>
                <w:rFonts w:eastAsia="TimesNewRoman" w:cs="Arial" w:ascii="Arial" w:hAnsi="Arial"/>
                <w:sz w:val="24"/>
                <w:szCs w:val="24"/>
              </w:rPr>
              <w:t>фоновых значений до ПДК</w:t>
            </w:r>
          </w:p>
        </w:tc>
        <w:tc>
          <w:tcPr>
            <w:tcW w:w="119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1 до 2</w:t>
            </w:r>
          </w:p>
          <w:p>
            <w:pPr>
              <w:pStyle w:val="Style53"/>
              <w:rPr>
                <w:rFonts w:ascii="Arial" w:hAnsi="Arial" w:cs="Arial"/>
              </w:rPr>
            </w:pPr>
            <w:r>
              <w:rPr>
                <w:rFonts w:cs="Arial" w:ascii="Arial" w:hAnsi="Arial"/>
              </w:rPr>
              <w:t>ПДК</w:t>
            </w:r>
          </w:p>
        </w:tc>
        <w:tc>
          <w:tcPr>
            <w:tcW w:w="1215"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rPr/>
            </w:pPr>
            <w:r>
              <w:rPr>
                <w:rFonts w:eastAsia="TimesNewRoman" w:cs="Arial" w:ascii="Arial" w:hAnsi="Arial"/>
                <w:sz w:val="24"/>
                <w:szCs w:val="24"/>
              </w:rPr>
              <w:t xml:space="preserve">от </w:t>
            </w:r>
            <w:r>
              <w:rPr>
                <w:rFonts w:cs="Arial" w:ascii="Arial" w:hAnsi="Arial"/>
                <w:sz w:val="24"/>
                <w:szCs w:val="24"/>
              </w:rPr>
              <w:t xml:space="preserve">2 </w:t>
            </w:r>
            <w:r>
              <w:rPr>
                <w:rFonts w:eastAsia="TimesNewRoman" w:cs="Arial" w:ascii="Arial" w:hAnsi="Arial"/>
                <w:sz w:val="24"/>
                <w:szCs w:val="24"/>
              </w:rPr>
              <w:t>фоновых значений до ПДК</w:t>
            </w:r>
          </w:p>
        </w:tc>
        <w:tc>
          <w:tcPr>
            <w:tcW w:w="119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1 до 2</w:t>
            </w:r>
          </w:p>
          <w:p>
            <w:pPr>
              <w:pStyle w:val="Style53"/>
              <w:rPr>
                <w:rFonts w:ascii="Arial" w:hAnsi="Arial" w:cs="Arial"/>
              </w:rPr>
            </w:pPr>
            <w:r>
              <w:rPr>
                <w:rFonts w:cs="Arial" w:ascii="Arial" w:hAnsi="Arial"/>
              </w:rPr>
              <w:t>ПДК</w:t>
            </w:r>
          </w:p>
        </w:tc>
        <w:tc>
          <w:tcPr>
            <w:tcW w:w="121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Normal"/>
              <w:snapToGrid w:val="false"/>
              <w:spacing w:lineRule="auto" w:line="240" w:before="0" w:after="0"/>
              <w:rPr/>
            </w:pPr>
            <w:r>
              <w:rPr>
                <w:rFonts w:eastAsia="TimesNewRoman" w:cs="Arial" w:ascii="Arial" w:hAnsi="Arial"/>
                <w:sz w:val="24"/>
                <w:szCs w:val="24"/>
              </w:rPr>
              <w:t xml:space="preserve">от </w:t>
            </w:r>
            <w:r>
              <w:rPr>
                <w:rFonts w:cs="Arial" w:ascii="Arial" w:hAnsi="Arial"/>
                <w:sz w:val="24"/>
                <w:szCs w:val="24"/>
              </w:rPr>
              <w:t xml:space="preserve">2 </w:t>
            </w:r>
            <w:r>
              <w:rPr>
                <w:rFonts w:eastAsia="TimesNewRoman" w:cs="Arial" w:ascii="Arial" w:hAnsi="Arial"/>
                <w:sz w:val="24"/>
                <w:szCs w:val="24"/>
              </w:rPr>
              <w:t>фоновых значений до ПДК</w:t>
            </w:r>
          </w:p>
        </w:tc>
      </w:tr>
      <w:tr>
        <w:trPr/>
        <w:tc>
          <w:tcPr>
            <w:tcW w:w="156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Умеренно опасная</w:t>
            </w:r>
          </w:p>
        </w:tc>
        <w:tc>
          <w:tcPr>
            <w:tcW w:w="155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16 – 32</w:t>
            </w:r>
          </w:p>
        </w:tc>
        <w:tc>
          <w:tcPr>
            <w:tcW w:w="119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r>
          </w:p>
        </w:tc>
        <w:tc>
          <w:tcPr>
            <w:tcW w:w="1214"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r>
          </w:p>
        </w:tc>
        <w:tc>
          <w:tcPr>
            <w:tcW w:w="119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r>
          </w:p>
        </w:tc>
        <w:tc>
          <w:tcPr>
            <w:tcW w:w="1215"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r>
          </w:p>
        </w:tc>
        <w:tc>
          <w:tcPr>
            <w:tcW w:w="119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1 до 2</w:t>
            </w:r>
          </w:p>
          <w:p>
            <w:pPr>
              <w:pStyle w:val="Style53"/>
              <w:rPr>
                <w:rFonts w:ascii="Arial" w:hAnsi="Arial" w:cs="Arial"/>
              </w:rPr>
            </w:pPr>
            <w:r>
              <w:rPr>
                <w:rFonts w:cs="Arial" w:ascii="Arial" w:hAnsi="Arial"/>
              </w:rPr>
              <w:t>ПДК</w:t>
            </w:r>
          </w:p>
        </w:tc>
        <w:tc>
          <w:tcPr>
            <w:tcW w:w="121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от ПДК</w:t>
            </w:r>
          </w:p>
          <w:p>
            <w:pPr>
              <w:pStyle w:val="Style53"/>
              <w:rPr>
                <w:rFonts w:ascii="Arial" w:hAnsi="Arial" w:cs="Arial"/>
              </w:rPr>
            </w:pPr>
            <w:r>
              <w:rPr>
                <w:rFonts w:cs="Arial" w:ascii="Arial" w:hAnsi="Arial"/>
              </w:rPr>
              <w:t>до Kmax</w:t>
            </w:r>
          </w:p>
        </w:tc>
      </w:tr>
      <w:tr>
        <w:trPr/>
        <w:tc>
          <w:tcPr>
            <w:tcW w:w="156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Опасная</w:t>
            </w:r>
          </w:p>
        </w:tc>
        <w:tc>
          <w:tcPr>
            <w:tcW w:w="155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32 – 128</w:t>
            </w:r>
          </w:p>
        </w:tc>
        <w:tc>
          <w:tcPr>
            <w:tcW w:w="119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rPr/>
            </w:pPr>
            <w:r>
              <w:rPr>
                <w:rFonts w:eastAsia="TimesNewRoman" w:cs="Arial" w:ascii="Arial" w:hAnsi="Arial"/>
                <w:sz w:val="24"/>
                <w:szCs w:val="24"/>
              </w:rPr>
              <w:t xml:space="preserve">от </w:t>
            </w:r>
            <w:r>
              <w:rPr>
                <w:rFonts w:cs="Arial" w:ascii="Arial" w:hAnsi="Arial"/>
                <w:sz w:val="24"/>
                <w:szCs w:val="24"/>
              </w:rPr>
              <w:t xml:space="preserve">2 </w:t>
            </w:r>
            <w:r>
              <w:rPr>
                <w:rFonts w:eastAsia="TimesNewRoman" w:cs="Arial" w:ascii="Arial" w:hAnsi="Arial"/>
                <w:sz w:val="24"/>
                <w:szCs w:val="24"/>
              </w:rPr>
              <w:t xml:space="preserve">до </w:t>
            </w:r>
            <w:r>
              <w:rPr>
                <w:rFonts w:cs="Arial" w:ascii="Arial" w:hAnsi="Arial"/>
                <w:sz w:val="24"/>
                <w:szCs w:val="24"/>
              </w:rPr>
              <w:t xml:space="preserve">5 </w:t>
            </w:r>
            <w:r>
              <w:rPr>
                <w:rFonts w:eastAsia="TimesNewRoman" w:cs="Arial" w:ascii="Arial" w:hAnsi="Arial"/>
                <w:sz w:val="24"/>
                <w:szCs w:val="24"/>
              </w:rPr>
              <w:t>ПДК</w:t>
            </w:r>
          </w:p>
        </w:tc>
        <w:tc>
          <w:tcPr>
            <w:tcW w:w="1214"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rPr/>
            </w:pPr>
            <w:r>
              <w:rPr>
                <w:rFonts w:eastAsia="TimesNewRoman" w:cs="Arial" w:ascii="Arial" w:hAnsi="Arial"/>
                <w:sz w:val="24"/>
                <w:szCs w:val="24"/>
              </w:rPr>
              <w:t xml:space="preserve">от ПДК до </w:t>
            </w:r>
            <w:r>
              <w:rPr>
                <w:rFonts w:cs="Arial" w:ascii="Arial" w:hAnsi="Arial"/>
                <w:sz w:val="24"/>
                <w:szCs w:val="24"/>
              </w:rPr>
              <w:t>Kmax</w:t>
            </w:r>
          </w:p>
        </w:tc>
        <w:tc>
          <w:tcPr>
            <w:tcW w:w="119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rPr/>
            </w:pPr>
            <w:r>
              <w:rPr>
                <w:rFonts w:eastAsia="TimesNewRoman" w:cs="Arial" w:ascii="Arial" w:hAnsi="Arial"/>
                <w:sz w:val="24"/>
                <w:szCs w:val="24"/>
              </w:rPr>
              <w:t xml:space="preserve">от </w:t>
            </w:r>
            <w:r>
              <w:rPr>
                <w:rFonts w:cs="Arial" w:ascii="Arial" w:hAnsi="Arial"/>
                <w:sz w:val="24"/>
                <w:szCs w:val="24"/>
              </w:rPr>
              <w:t xml:space="preserve">2 </w:t>
            </w:r>
            <w:r>
              <w:rPr>
                <w:rFonts w:eastAsia="TimesNewRoman" w:cs="Arial" w:ascii="Arial" w:hAnsi="Arial"/>
                <w:sz w:val="24"/>
                <w:szCs w:val="24"/>
              </w:rPr>
              <w:t xml:space="preserve">до </w:t>
            </w:r>
            <w:r>
              <w:rPr>
                <w:rFonts w:cs="Arial" w:ascii="Arial" w:hAnsi="Arial"/>
                <w:sz w:val="24"/>
                <w:szCs w:val="24"/>
              </w:rPr>
              <w:t xml:space="preserve">5 </w:t>
            </w:r>
            <w:r>
              <w:rPr>
                <w:rFonts w:eastAsia="TimesNewRoman" w:cs="Arial" w:ascii="Arial" w:hAnsi="Arial"/>
                <w:sz w:val="24"/>
                <w:szCs w:val="24"/>
              </w:rPr>
              <w:t>ПДК</w:t>
            </w:r>
          </w:p>
        </w:tc>
        <w:tc>
          <w:tcPr>
            <w:tcW w:w="1215"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rPr/>
            </w:pPr>
            <w:r>
              <w:rPr>
                <w:rFonts w:eastAsia="TimesNewRoman" w:cs="Arial" w:ascii="Arial" w:hAnsi="Arial"/>
                <w:sz w:val="24"/>
                <w:szCs w:val="24"/>
              </w:rPr>
              <w:t xml:space="preserve">от ПДК до </w:t>
            </w:r>
            <w:r>
              <w:rPr>
                <w:rFonts w:cs="Arial" w:ascii="Arial" w:hAnsi="Arial"/>
                <w:sz w:val="24"/>
                <w:szCs w:val="24"/>
              </w:rPr>
              <w:t>Kmax</w:t>
            </w:r>
          </w:p>
        </w:tc>
        <w:tc>
          <w:tcPr>
            <w:tcW w:w="119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pPr>
            <w:r>
              <w:rPr>
                <w:rFonts w:eastAsia="Times New Roman" w:cs="Arial" w:ascii="Arial" w:hAnsi="Arial"/>
              </w:rPr>
              <w:t xml:space="preserve">&gt; 5 </w:t>
            </w:r>
            <w:r>
              <w:rPr>
                <w:rFonts w:eastAsia="TimesNewRoman" w:cs="Arial" w:ascii="Arial" w:hAnsi="Arial"/>
              </w:rPr>
              <w:t>ПДК</w:t>
            </w:r>
          </w:p>
        </w:tc>
        <w:tc>
          <w:tcPr>
            <w:tcW w:w="121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&gt;Kmax</w:t>
            </w:r>
          </w:p>
        </w:tc>
      </w:tr>
      <w:tr>
        <w:trPr/>
        <w:tc>
          <w:tcPr>
            <w:tcW w:w="156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Чрезвычайно</w:t>
            </w:r>
          </w:p>
          <w:p>
            <w:pPr>
              <w:pStyle w:val="Style53"/>
              <w:rPr>
                <w:rFonts w:ascii="Arial" w:hAnsi="Arial" w:cs="Arial"/>
              </w:rPr>
            </w:pPr>
            <w:r>
              <w:rPr>
                <w:rFonts w:cs="Arial" w:ascii="Arial" w:hAnsi="Arial"/>
              </w:rPr>
              <w:t>опасная</w:t>
            </w:r>
          </w:p>
        </w:tc>
        <w:tc>
          <w:tcPr>
            <w:tcW w:w="155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&gt; 128</w:t>
            </w:r>
          </w:p>
        </w:tc>
        <w:tc>
          <w:tcPr>
            <w:tcW w:w="1198"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pPr>
            <w:r>
              <w:rPr>
                <w:rFonts w:eastAsia="Times New Roman" w:cs="Arial" w:ascii="Arial" w:hAnsi="Arial"/>
              </w:rPr>
              <w:t xml:space="preserve">&gt; 5 </w:t>
            </w:r>
            <w:r>
              <w:rPr>
                <w:rFonts w:eastAsia="TimesNewRoman" w:cs="Arial" w:ascii="Arial" w:hAnsi="Arial"/>
              </w:rPr>
              <w:t>ПДК</w:t>
            </w:r>
          </w:p>
        </w:tc>
        <w:tc>
          <w:tcPr>
            <w:tcW w:w="1214"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&gt;Kmax</w:t>
            </w:r>
          </w:p>
        </w:tc>
        <w:tc>
          <w:tcPr>
            <w:tcW w:w="119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r>
          </w:p>
        </w:tc>
        <w:tc>
          <w:tcPr>
            <w:tcW w:w="1215" w:type="dxa"/>
            <w:gridSpan w:val="2"/>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&gt;Kmax</w:t>
            </w:r>
          </w:p>
        </w:tc>
        <w:tc>
          <w:tcPr>
            <w:tcW w:w="119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r>
          </w:p>
        </w:tc>
        <w:tc>
          <w:tcPr>
            <w:tcW w:w="121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r>
          </w:p>
        </w:tc>
      </w:tr>
    </w:tbl>
    <w:p>
      <w:pPr>
        <w:pStyle w:val="NoSpacing"/>
        <w:ind w:left="0" w:right="0" w:firstLine="708"/>
        <w:jc w:val="both"/>
        <w:rPr/>
      </w:pPr>
      <w:r>
        <w:rPr>
          <w:rFonts w:cs="Arial" w:ascii="Arial" w:hAnsi="Arial"/>
          <w:i/>
          <w:sz w:val="24"/>
          <w:szCs w:val="24"/>
        </w:rPr>
        <w:t>Kmax</w:t>
      </w:r>
      <w:r>
        <w:rPr>
          <w:rFonts w:cs="Arial" w:ascii="Arial" w:hAnsi="Arial"/>
          <w:sz w:val="24"/>
          <w:szCs w:val="24"/>
        </w:rPr>
        <w:t xml:space="preserve"> - максимальное значение допустимого уровня содержания элемента по одному из четырех показателей вредности;</w:t>
      </w:r>
    </w:p>
    <w:p>
      <w:pPr>
        <w:pStyle w:val="NoSpacing"/>
        <w:ind w:left="0" w:right="0" w:firstLine="708"/>
        <w:jc w:val="both"/>
        <w:rPr/>
      </w:pPr>
      <w:r>
        <w:rPr>
          <w:rFonts w:cs="Arial" w:ascii="Arial" w:hAnsi="Arial"/>
          <w:i/>
          <w:sz w:val="24"/>
          <w:szCs w:val="24"/>
        </w:rPr>
        <w:t>Zc</w:t>
      </w:r>
      <w:r>
        <w:rPr>
          <w:rFonts w:cs="Arial" w:ascii="Arial" w:hAnsi="Arial"/>
          <w:sz w:val="24"/>
          <w:szCs w:val="24"/>
        </w:rPr>
        <w:t xml:space="preserve"> - расчет проводится в соответствии с методическими указаниями по гигиенической оценке качества почвы населенных мест.</w:t>
      </w:r>
    </w:p>
    <w:p>
      <w:pPr>
        <w:pStyle w:val="NoSpacing"/>
        <w:ind w:left="0" w:right="0" w:firstLine="708"/>
        <w:jc w:val="both"/>
        <w:rPr>
          <w:rFonts w:ascii="Arial" w:hAnsi="Arial" w:cs="Arial"/>
          <w:sz w:val="24"/>
          <w:szCs w:val="24"/>
        </w:rPr>
      </w:pPr>
      <w:r>
        <w:rPr>
          <w:rFonts w:cs="Arial" w:ascii="Arial" w:hAnsi="Arial"/>
          <w:sz w:val="24"/>
          <w:szCs w:val="24"/>
        </w:rPr>
        <w:t>20.5.7. Химические загрязняющие вещества разделяются на следующие классы опасности:</w:t>
      </w:r>
    </w:p>
    <w:p>
      <w:pPr>
        <w:pStyle w:val="NoSpacing"/>
        <w:ind w:left="0" w:right="0" w:firstLine="708"/>
        <w:jc w:val="both"/>
        <w:rPr>
          <w:rFonts w:ascii="Arial" w:hAnsi="Arial" w:cs="Arial"/>
          <w:sz w:val="24"/>
          <w:szCs w:val="24"/>
        </w:rPr>
      </w:pPr>
      <w:r>
        <w:rPr>
          <w:rFonts w:cs="Arial" w:ascii="Arial" w:hAnsi="Arial"/>
          <w:sz w:val="24"/>
          <w:szCs w:val="24"/>
        </w:rPr>
        <w:t>I - мышьяк, кадмий, ртуть, свинец, цинк, фтор, 3,4-бензапирен;</w:t>
      </w:r>
    </w:p>
    <w:p>
      <w:pPr>
        <w:pStyle w:val="NoSpacing"/>
        <w:ind w:left="0" w:right="0" w:firstLine="708"/>
        <w:jc w:val="both"/>
        <w:rPr>
          <w:rFonts w:ascii="Arial" w:hAnsi="Arial" w:cs="Arial"/>
          <w:sz w:val="24"/>
          <w:szCs w:val="24"/>
        </w:rPr>
      </w:pPr>
      <w:r>
        <w:rPr>
          <w:rFonts w:cs="Arial" w:ascii="Arial" w:hAnsi="Arial"/>
          <w:sz w:val="24"/>
          <w:szCs w:val="24"/>
        </w:rPr>
        <w:t>II - бор, кобальт, никель, молибден, медь, сурьма, хром;</w:t>
      </w:r>
    </w:p>
    <w:p>
      <w:pPr>
        <w:pStyle w:val="NoSpacing"/>
        <w:ind w:left="0" w:right="0" w:firstLine="708"/>
        <w:jc w:val="both"/>
        <w:rPr>
          <w:rFonts w:ascii="Arial" w:hAnsi="Arial" w:cs="Arial"/>
          <w:sz w:val="24"/>
          <w:szCs w:val="24"/>
        </w:rPr>
      </w:pPr>
      <w:r>
        <w:rPr>
          <w:rFonts w:cs="Arial" w:ascii="Arial" w:hAnsi="Arial"/>
          <w:sz w:val="24"/>
          <w:szCs w:val="24"/>
        </w:rPr>
        <w:t>III - барий, ванадий, вольфрам, марганец, стронций, ацетофенон.</w:t>
      </w:r>
    </w:p>
    <w:p>
      <w:pPr>
        <w:pStyle w:val="5551"/>
        <w:rPr>
          <w:rFonts w:ascii="Arial" w:hAnsi="Arial" w:cs="Arial"/>
        </w:rPr>
      </w:pPr>
      <w:r>
        <w:rPr>
          <w:rFonts w:cs="Arial" w:ascii="Arial" w:hAnsi="Arial"/>
        </w:rPr>
        <w:t>16.5.8. Требования к почвам по эпидемиологическим показателям представлены в таблице 16.5.</w:t>
      </w:r>
    </w:p>
    <w:p>
      <w:pPr>
        <w:pStyle w:val="5551"/>
        <w:rPr>
          <w:rFonts w:ascii="Arial" w:hAnsi="Arial" w:cs="Arial"/>
        </w:rPr>
      </w:pPr>
      <w:r>
        <w:rPr>
          <w:rFonts w:cs="Arial" w:ascii="Arial" w:hAnsi="Arial"/>
        </w:rPr>
      </w:r>
    </w:p>
    <w:p>
      <w:pPr>
        <w:pStyle w:val="5551"/>
        <w:jc w:val="right"/>
        <w:rPr>
          <w:rFonts w:ascii="Arial" w:hAnsi="Arial" w:cs="Arial"/>
        </w:rPr>
      </w:pPr>
      <w:r>
        <w:rPr>
          <w:rFonts w:cs="Arial" w:ascii="Arial" w:hAnsi="Arial"/>
        </w:rPr>
        <w:t>Таблица 16.5</w:t>
      </w:r>
    </w:p>
    <w:tbl>
      <w:tblPr>
        <w:tblW w:w="10127" w:type="dxa"/>
        <w:jc w:val="left"/>
        <w:tblInd w:w="192" w:type="dxa"/>
        <w:tblBorders>
          <w:top w:val="single" w:sz="4" w:space="0" w:color="00000A"/>
          <w:left w:val="single" w:sz="4" w:space="0" w:color="00000A"/>
          <w:bottom w:val="single" w:sz="4" w:space="0" w:color="00000A"/>
          <w:insideH w:val="single" w:sz="4" w:space="0" w:color="00000A"/>
        </w:tblBorders>
        <w:tblCellMar>
          <w:top w:w="55" w:type="dxa"/>
          <w:left w:w="55" w:type="dxa"/>
          <w:bottom w:w="55" w:type="dxa"/>
          <w:right w:w="55" w:type="dxa"/>
        </w:tblCellMar>
      </w:tblPr>
      <w:tblGrid>
        <w:gridCol w:w="1559"/>
        <w:gridCol w:w="1417"/>
        <w:gridCol w:w="1795"/>
        <w:gridCol w:w="1890"/>
        <w:gridCol w:w="1560"/>
        <w:gridCol w:w="1906"/>
      </w:tblGrid>
      <w:tr>
        <w:trPr/>
        <w:tc>
          <w:tcPr>
            <w:tcW w:w="1559"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5551"/>
              <w:ind w:left="0" w:right="0" w:hanging="0"/>
              <w:rPr>
                <w:rFonts w:ascii="Arial" w:hAnsi="Arial" w:eastAsia="TimesNewRoman" w:cs="Arial"/>
                <w:b/>
                <w:b/>
              </w:rPr>
            </w:pPr>
            <w:r>
              <w:rPr>
                <w:rFonts w:eastAsia="TimesNewRoman" w:cs="Arial" w:ascii="Arial" w:hAnsi="Arial"/>
                <w:b/>
              </w:rPr>
              <w:t>Категория загрязненияпочв</w:t>
            </w:r>
          </w:p>
        </w:tc>
        <w:tc>
          <w:tcPr>
            <w:tcW w:w="1417"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5551"/>
              <w:ind w:left="0" w:right="0" w:hanging="0"/>
              <w:rPr>
                <w:rFonts w:ascii="Arial" w:hAnsi="Arial" w:cs="Arial"/>
                <w:b/>
                <w:b/>
              </w:rPr>
            </w:pPr>
            <w:r>
              <w:rPr>
                <w:rFonts w:cs="Arial" w:ascii="Arial" w:hAnsi="Arial"/>
                <w:b/>
              </w:rPr>
              <w:t>Индекс</w:t>
            </w:r>
          </w:p>
          <w:p>
            <w:pPr>
              <w:pStyle w:val="5551"/>
              <w:ind w:left="0" w:right="0" w:hanging="0"/>
              <w:rPr>
                <w:rFonts w:ascii="Arial" w:hAnsi="Arial" w:cs="Arial"/>
                <w:b/>
                <w:b/>
              </w:rPr>
            </w:pPr>
            <w:r>
              <w:rPr>
                <w:rFonts w:cs="Arial" w:ascii="Arial" w:hAnsi="Arial"/>
                <w:b/>
              </w:rPr>
              <w:t>БГКП</w:t>
            </w:r>
          </w:p>
        </w:tc>
        <w:tc>
          <w:tcPr>
            <w:tcW w:w="1795"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5551"/>
              <w:ind w:left="0" w:right="0" w:hanging="0"/>
              <w:rPr>
                <w:rFonts w:ascii="Arial" w:hAnsi="Arial" w:cs="Arial"/>
                <w:b/>
                <w:b/>
              </w:rPr>
            </w:pPr>
            <w:r>
              <w:rPr>
                <w:rFonts w:cs="Arial" w:ascii="Arial" w:hAnsi="Arial"/>
                <w:b/>
              </w:rPr>
              <w:t>Индекс</w:t>
            </w:r>
          </w:p>
          <w:p>
            <w:pPr>
              <w:pStyle w:val="5551"/>
              <w:ind w:left="0" w:right="0" w:hanging="0"/>
              <w:rPr>
                <w:rFonts w:ascii="Arial" w:hAnsi="Arial" w:cs="Arial"/>
                <w:b/>
                <w:b/>
              </w:rPr>
            </w:pPr>
            <w:r>
              <w:rPr>
                <w:rFonts w:cs="Arial" w:ascii="Arial" w:hAnsi="Arial"/>
                <w:b/>
              </w:rPr>
              <w:t>энтерококков</w:t>
            </w:r>
          </w:p>
        </w:tc>
        <w:tc>
          <w:tcPr>
            <w:tcW w:w="1890"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5551"/>
              <w:ind w:left="0" w:right="0" w:hanging="0"/>
              <w:rPr>
                <w:rFonts w:ascii="Arial" w:hAnsi="Arial" w:eastAsia="TimesNewRoman" w:cs="Arial"/>
                <w:b/>
                <w:b/>
              </w:rPr>
            </w:pPr>
            <w:r>
              <w:rPr>
                <w:rFonts w:eastAsia="TimesNewRoman" w:cs="Arial" w:ascii="Arial" w:hAnsi="Arial"/>
                <w:b/>
              </w:rPr>
              <w:t>Патогенные</w:t>
            </w:r>
          </w:p>
          <w:p>
            <w:pPr>
              <w:pStyle w:val="5551"/>
              <w:ind w:left="0" w:right="0" w:hanging="0"/>
              <w:rPr/>
            </w:pPr>
            <w:r>
              <w:rPr>
                <w:rFonts w:eastAsia="TimesNewRoman" w:cs="Arial" w:ascii="Arial" w:hAnsi="Arial"/>
                <w:b/>
              </w:rPr>
              <w:t>бактерии</w:t>
            </w:r>
            <w:r>
              <w:rPr>
                <w:rFonts w:cs="Arial" w:ascii="Arial" w:hAnsi="Arial"/>
                <w:b/>
              </w:rPr>
              <w:t xml:space="preserve">, </w:t>
            </w:r>
            <w:r>
              <w:rPr>
                <w:rFonts w:eastAsia="TimesNewRoman" w:cs="Arial" w:ascii="Arial" w:hAnsi="Arial"/>
                <w:b/>
              </w:rPr>
              <w:t>в том</w:t>
            </w:r>
          </w:p>
          <w:p>
            <w:pPr>
              <w:pStyle w:val="5551"/>
              <w:ind w:left="0" w:right="0" w:hanging="0"/>
              <w:rPr>
                <w:rFonts w:ascii="Arial" w:hAnsi="Arial" w:eastAsia="TimesNewRoman" w:cs="Arial"/>
                <w:b/>
                <w:b/>
              </w:rPr>
            </w:pPr>
            <w:r>
              <w:rPr>
                <w:rFonts w:eastAsia="TimesNewRoman" w:cs="Arial" w:ascii="Arial" w:hAnsi="Arial"/>
                <w:b/>
              </w:rPr>
              <w:t>числе сальмонеллы</w:t>
            </w:r>
          </w:p>
        </w:tc>
        <w:tc>
          <w:tcPr>
            <w:tcW w:w="1560"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5551"/>
              <w:ind w:left="0" w:right="0" w:hanging="0"/>
              <w:rPr>
                <w:rFonts w:ascii="Arial" w:hAnsi="Arial" w:cs="Arial"/>
                <w:b/>
                <w:b/>
              </w:rPr>
            </w:pPr>
            <w:r>
              <w:rPr>
                <w:rFonts w:cs="Arial" w:ascii="Arial" w:hAnsi="Arial"/>
                <w:b/>
              </w:rPr>
              <w:t>Яйца</w:t>
            </w:r>
          </w:p>
          <w:p>
            <w:pPr>
              <w:pStyle w:val="5551"/>
              <w:ind w:left="0" w:right="0" w:hanging="0"/>
              <w:rPr>
                <w:rFonts w:ascii="Arial" w:hAnsi="Arial" w:cs="Arial"/>
                <w:b/>
                <w:b/>
              </w:rPr>
            </w:pPr>
            <w:r>
              <w:rPr>
                <w:rFonts w:cs="Arial" w:ascii="Arial" w:hAnsi="Arial"/>
                <w:b/>
              </w:rPr>
              <w:t>гельминтов,</w:t>
            </w:r>
          </w:p>
          <w:p>
            <w:pPr>
              <w:pStyle w:val="5551"/>
              <w:ind w:left="0" w:right="0" w:hanging="0"/>
              <w:rPr>
                <w:rFonts w:ascii="Arial" w:hAnsi="Arial" w:cs="Arial"/>
                <w:b/>
                <w:b/>
              </w:rPr>
            </w:pPr>
            <w:r>
              <w:rPr>
                <w:rFonts w:cs="Arial" w:ascii="Arial" w:hAnsi="Arial"/>
                <w:b/>
              </w:rPr>
              <w:t>экз./кг</w:t>
            </w:r>
          </w:p>
        </w:tc>
        <w:tc>
          <w:tcPr>
            <w:tcW w:w="190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5551"/>
              <w:ind w:left="0" w:right="0" w:hanging="0"/>
              <w:rPr>
                <w:rFonts w:ascii="Arial" w:hAnsi="Arial" w:cs="Arial"/>
                <w:b/>
                <w:b/>
              </w:rPr>
            </w:pPr>
            <w:r>
              <w:rPr>
                <w:rFonts w:cs="Arial" w:ascii="Arial" w:hAnsi="Arial"/>
                <w:b/>
              </w:rPr>
              <w:t>Личинки-Л и куколки-К мух, экз. в почве с площадью 20 x 20 см</w:t>
            </w:r>
          </w:p>
        </w:tc>
      </w:tr>
      <w:tr>
        <w:trPr/>
        <w:tc>
          <w:tcPr>
            <w:tcW w:w="155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Чистая</w:t>
            </w:r>
          </w:p>
        </w:tc>
        <w:tc>
          <w:tcPr>
            <w:tcW w:w="141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1 – 10</w:t>
            </w:r>
          </w:p>
        </w:tc>
        <w:tc>
          <w:tcPr>
            <w:tcW w:w="1795"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1 – 10</w:t>
            </w:r>
          </w:p>
        </w:tc>
        <w:tc>
          <w:tcPr>
            <w:tcW w:w="189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0</w:t>
            </w:r>
          </w:p>
        </w:tc>
        <w:tc>
          <w:tcPr>
            <w:tcW w:w="156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0</w:t>
            </w:r>
          </w:p>
        </w:tc>
        <w:tc>
          <w:tcPr>
            <w:tcW w:w="190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0</w:t>
            </w:r>
          </w:p>
        </w:tc>
      </w:tr>
      <w:tr>
        <w:trPr/>
        <w:tc>
          <w:tcPr>
            <w:tcW w:w="155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Умеренно опасная</w:t>
            </w:r>
          </w:p>
        </w:tc>
        <w:tc>
          <w:tcPr>
            <w:tcW w:w="141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10 - 100</w:t>
            </w:r>
          </w:p>
        </w:tc>
        <w:tc>
          <w:tcPr>
            <w:tcW w:w="1795"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10 – 100</w:t>
            </w:r>
          </w:p>
        </w:tc>
        <w:tc>
          <w:tcPr>
            <w:tcW w:w="189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0</w:t>
            </w:r>
          </w:p>
        </w:tc>
        <w:tc>
          <w:tcPr>
            <w:tcW w:w="156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До 10</w:t>
            </w:r>
          </w:p>
        </w:tc>
        <w:tc>
          <w:tcPr>
            <w:tcW w:w="190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Л до 10, К — отс.</w:t>
            </w:r>
          </w:p>
        </w:tc>
      </w:tr>
      <w:tr>
        <w:trPr/>
        <w:tc>
          <w:tcPr>
            <w:tcW w:w="155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Опасная</w:t>
            </w:r>
          </w:p>
        </w:tc>
        <w:tc>
          <w:tcPr>
            <w:tcW w:w="141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100 - 1000</w:t>
            </w:r>
          </w:p>
        </w:tc>
        <w:tc>
          <w:tcPr>
            <w:tcW w:w="1795"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100 - 1000</w:t>
            </w:r>
          </w:p>
        </w:tc>
        <w:tc>
          <w:tcPr>
            <w:tcW w:w="189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0</w:t>
            </w:r>
          </w:p>
        </w:tc>
        <w:tc>
          <w:tcPr>
            <w:tcW w:w="156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До 100</w:t>
            </w:r>
          </w:p>
        </w:tc>
        <w:tc>
          <w:tcPr>
            <w:tcW w:w="190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Л до 100, К до 10</w:t>
            </w:r>
          </w:p>
        </w:tc>
      </w:tr>
      <w:tr>
        <w:trPr/>
        <w:tc>
          <w:tcPr>
            <w:tcW w:w="155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Чрезвычайно опасная</w:t>
            </w:r>
          </w:p>
        </w:tc>
        <w:tc>
          <w:tcPr>
            <w:tcW w:w="141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pPr>
            <w:r>
              <w:rPr>
                <w:rFonts w:cs="Arial" w:ascii="Arial" w:hAnsi="Arial"/>
              </w:rPr>
              <w:t xml:space="preserve">1000 </w:t>
            </w:r>
            <w:r>
              <w:rPr>
                <w:rFonts w:eastAsia="TimesNewRoman" w:cs="Arial" w:ascii="Arial" w:hAnsi="Arial"/>
              </w:rPr>
              <w:t>и</w:t>
            </w:r>
          </w:p>
          <w:p>
            <w:pPr>
              <w:pStyle w:val="5551"/>
              <w:ind w:left="0" w:right="0" w:hanging="0"/>
              <w:rPr>
                <w:rFonts w:ascii="Arial" w:hAnsi="Arial" w:eastAsia="TimesNewRoman" w:cs="Arial"/>
              </w:rPr>
            </w:pPr>
            <w:r>
              <w:rPr>
                <w:rFonts w:eastAsia="TimesNewRoman" w:cs="Arial" w:ascii="Arial" w:hAnsi="Arial"/>
              </w:rPr>
              <w:t>Выше</w:t>
            </w:r>
          </w:p>
        </w:tc>
        <w:tc>
          <w:tcPr>
            <w:tcW w:w="1795"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pPr>
            <w:r>
              <w:rPr>
                <w:rFonts w:cs="Arial" w:ascii="Arial" w:hAnsi="Arial"/>
              </w:rPr>
              <w:t xml:space="preserve">1000 </w:t>
            </w:r>
            <w:r>
              <w:rPr>
                <w:rFonts w:eastAsia="TimesNewRoman" w:cs="Arial" w:ascii="Arial" w:hAnsi="Arial"/>
              </w:rPr>
              <w:t>и</w:t>
            </w:r>
          </w:p>
          <w:p>
            <w:pPr>
              <w:pStyle w:val="5551"/>
              <w:ind w:left="0" w:right="0" w:hanging="0"/>
              <w:rPr>
                <w:rFonts w:ascii="Arial" w:hAnsi="Arial" w:eastAsia="TimesNewRoman" w:cs="Arial"/>
              </w:rPr>
            </w:pPr>
            <w:r>
              <w:rPr>
                <w:rFonts w:eastAsia="TimesNewRoman" w:cs="Arial" w:ascii="Arial" w:hAnsi="Arial"/>
              </w:rPr>
              <w:t>Выше</w:t>
            </w:r>
          </w:p>
        </w:tc>
        <w:tc>
          <w:tcPr>
            <w:tcW w:w="189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0</w:t>
            </w:r>
          </w:p>
        </w:tc>
        <w:tc>
          <w:tcPr>
            <w:tcW w:w="1560"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5551"/>
              <w:ind w:left="0" w:right="0" w:hanging="0"/>
              <w:rPr>
                <w:rFonts w:ascii="Arial" w:hAnsi="Arial" w:cs="Arial"/>
              </w:rPr>
            </w:pPr>
            <w:r>
              <w:rPr>
                <w:rFonts w:cs="Arial" w:ascii="Arial" w:hAnsi="Arial"/>
              </w:rPr>
              <w:t>&gt; 100</w:t>
            </w:r>
          </w:p>
        </w:tc>
        <w:tc>
          <w:tcPr>
            <w:tcW w:w="190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5551"/>
              <w:ind w:left="0" w:right="0" w:hanging="0"/>
              <w:rPr/>
            </w:pPr>
            <w:r>
              <w:rPr>
                <w:rFonts w:eastAsia="TimesNewRoman" w:cs="Arial" w:ascii="Arial" w:hAnsi="Arial"/>
              </w:rPr>
              <w:t xml:space="preserve">Л </w:t>
            </w:r>
            <w:r>
              <w:rPr>
                <w:rFonts w:eastAsia="Times New Roman" w:cs="Arial" w:ascii="Arial" w:hAnsi="Arial"/>
              </w:rPr>
              <w:t xml:space="preserve">&gt; 100, </w:t>
            </w:r>
            <w:r>
              <w:rPr>
                <w:rFonts w:eastAsia="TimesNewRoman" w:cs="Arial" w:ascii="Arial" w:hAnsi="Arial"/>
              </w:rPr>
              <w:t xml:space="preserve">К </w:t>
            </w:r>
            <w:r>
              <w:rPr>
                <w:rFonts w:eastAsia="Times New Roman" w:cs="Arial" w:ascii="Arial" w:hAnsi="Arial"/>
              </w:rPr>
              <w:t>&gt; 10</w:t>
            </w:r>
          </w:p>
        </w:tc>
      </w:tr>
    </w:tbl>
    <w:p>
      <w:pPr>
        <w:pStyle w:val="5551"/>
        <w:rPr>
          <w:rFonts w:ascii="Arial" w:hAnsi="Arial" w:cs="Arial"/>
        </w:rPr>
      </w:pPr>
      <w:r>
        <w:rPr>
          <w:rFonts w:cs="Arial" w:ascii="Arial" w:hAnsi="Arial"/>
        </w:rPr>
        <w:t>16.5.9. В почвах на территориях жилой застройки не допускается:</w:t>
      </w:r>
    </w:p>
    <w:p>
      <w:pPr>
        <w:pStyle w:val="5551"/>
        <w:rPr>
          <w:rFonts w:ascii="Arial" w:hAnsi="Arial" w:cs="Arial"/>
        </w:rPr>
      </w:pPr>
      <w:r>
        <w:rPr>
          <w:rFonts w:cs="Arial" w:ascii="Arial" w:hAnsi="Arial"/>
        </w:rPr>
        <w:t xml:space="preserve">- по санитарно-токсикологическим показателям - превышение предельно допустимых концентраций (ПДК) или ориентировочно допустимых концентраций (ОДК) химических загрязнений; </w:t>
      </w:r>
    </w:p>
    <w:p>
      <w:pPr>
        <w:pStyle w:val="5551"/>
        <w:rPr>
          <w:rFonts w:ascii="Arial" w:hAnsi="Arial" w:cs="Arial"/>
        </w:rPr>
      </w:pPr>
      <w:r>
        <w:rPr>
          <w:rFonts w:cs="Arial" w:ascii="Arial" w:hAnsi="Arial"/>
        </w:rPr>
        <w:t xml:space="preserve">- по санитарно-бактериологическим показателям - наличие возбудителей каких-либо кишечных инфекций, патогенных бактерий, энтеровирусов. Индекс санитарно-показательных организмов должен быть не выше 10 клеток/г почвы; </w:t>
      </w:r>
    </w:p>
    <w:p>
      <w:pPr>
        <w:pStyle w:val="5551"/>
        <w:rPr>
          <w:rFonts w:ascii="Arial" w:hAnsi="Arial" w:cs="Arial"/>
        </w:rPr>
      </w:pPr>
      <w:r>
        <w:rPr>
          <w:rFonts w:cs="Arial" w:ascii="Arial" w:hAnsi="Arial"/>
        </w:rPr>
        <w:t xml:space="preserve">- по санитарно-паразитологическим показателям - наличие возбудителей кишечных паразитарных заболеваний (геогельминтозы, лямблиоз, амебиаз и др.), яиц геогельминтов, цист (ооциты), кишечных, патогенных, простейших; </w:t>
      </w:r>
    </w:p>
    <w:p>
      <w:pPr>
        <w:pStyle w:val="5551"/>
        <w:rPr>
          <w:rFonts w:ascii="Arial" w:hAnsi="Arial" w:cs="Arial"/>
        </w:rPr>
      </w:pPr>
      <w:r>
        <w:rPr>
          <w:rFonts w:cs="Arial" w:ascii="Arial" w:hAnsi="Arial"/>
        </w:rPr>
        <w:t xml:space="preserve">- по санитарно-энтомологическим показателям - наличие преимагинальных форм синантропных мух; </w:t>
      </w:r>
    </w:p>
    <w:p>
      <w:pPr>
        <w:pStyle w:val="5551"/>
        <w:rPr>
          <w:rFonts w:ascii="Arial" w:hAnsi="Arial" w:cs="Arial"/>
        </w:rPr>
      </w:pPr>
      <w:r>
        <w:rPr>
          <w:rFonts w:cs="Arial" w:ascii="Arial" w:hAnsi="Arial"/>
        </w:rPr>
        <w:t xml:space="preserve">- по санитарно-химическим показателям - санитарное число должно быть не ниже 0,98 (относительные единицы). </w:t>
      </w:r>
    </w:p>
    <w:p>
      <w:pPr>
        <w:pStyle w:val="5551"/>
        <w:rPr>
          <w:rFonts w:ascii="Arial" w:hAnsi="Arial" w:cs="Arial"/>
        </w:rPr>
      </w:pPr>
      <w:r>
        <w:rPr>
          <w:rFonts w:cs="Arial" w:ascii="Arial" w:hAnsi="Arial"/>
        </w:rPr>
        <w:t xml:space="preserve">Почвы, отвечающие предъявленным требованиям, следует относить к категории «чистая». </w:t>
      </w:r>
    </w:p>
    <w:p>
      <w:pPr>
        <w:pStyle w:val="5551"/>
        <w:rPr>
          <w:rFonts w:ascii="Arial" w:hAnsi="Arial" w:cs="Arial"/>
        </w:rPr>
      </w:pPr>
      <w:r>
        <w:rPr>
          <w:rFonts w:cs="Arial" w:ascii="Arial" w:hAnsi="Arial"/>
        </w:rPr>
        <w:t xml:space="preserve">16.5.10. Рекомендации по использованию почв обуславливаются степенью их химического, бактериологического, паразитологического и энтомологического загрязнения в таблице 16.6. </w:t>
      </w:r>
    </w:p>
    <w:p>
      <w:pPr>
        <w:pStyle w:val="5551"/>
        <w:rPr>
          <w:rFonts w:ascii="Arial" w:hAnsi="Arial" w:cs="Arial"/>
        </w:rPr>
      </w:pPr>
      <w:r>
        <w:rPr>
          <w:rFonts w:cs="Arial" w:ascii="Arial" w:hAnsi="Arial"/>
        </w:rPr>
      </w:r>
    </w:p>
    <w:p>
      <w:pPr>
        <w:pStyle w:val="5551"/>
        <w:jc w:val="right"/>
        <w:rPr/>
      </w:pPr>
      <w:r>
        <w:rPr>
          <w:rFonts w:cs="Arial" w:ascii="Arial" w:hAnsi="Arial"/>
          <w:lang w:val="en-US"/>
        </w:rPr>
        <w:t>Таблица</w:t>
      </w:r>
      <w:r>
        <w:rPr>
          <w:rFonts w:cs="Arial" w:ascii="Arial" w:hAnsi="Arial"/>
        </w:rPr>
        <w:t xml:space="preserve"> 16.6</w:t>
      </w:r>
    </w:p>
    <w:tbl>
      <w:tblPr>
        <w:tblW w:w="10005" w:type="dxa"/>
        <w:jc w:val="center"/>
        <w:tblInd w:w="0" w:type="dxa"/>
        <w:tblBorders>
          <w:top w:val="single" w:sz="4" w:space="0" w:color="00000A"/>
          <w:left w:val="single" w:sz="4" w:space="0" w:color="00000A"/>
          <w:bottom w:val="single" w:sz="4" w:space="0" w:color="00000A"/>
          <w:insideH w:val="single" w:sz="4" w:space="0" w:color="00000A"/>
        </w:tblBorders>
        <w:tblCellMar>
          <w:top w:w="28" w:type="dxa"/>
          <w:left w:w="28" w:type="dxa"/>
          <w:bottom w:w="28" w:type="dxa"/>
          <w:right w:w="28" w:type="dxa"/>
        </w:tblCellMar>
      </w:tblPr>
      <w:tblGrid>
        <w:gridCol w:w="2244"/>
        <w:gridCol w:w="7761"/>
      </w:tblGrid>
      <w:tr>
        <w:trPr/>
        <w:tc>
          <w:tcPr>
            <w:tcW w:w="2244" w:type="dxa"/>
            <w:tcBorders>
              <w:top w:val="single" w:sz="4" w:space="0" w:color="00000A"/>
              <w:left w:val="single" w:sz="4" w:space="0" w:color="00000A"/>
              <w:bottom w:val="single" w:sz="4" w:space="0" w:color="00000A"/>
              <w:insideH w:val="single" w:sz="4" w:space="0" w:color="00000A"/>
            </w:tcBorders>
            <w:shd w:fill="EEECE1" w:val="clear"/>
            <w:tcMar>
              <w:left w:w="28" w:type="dxa"/>
            </w:tcMar>
          </w:tcPr>
          <w:p>
            <w:pPr>
              <w:pStyle w:val="5551"/>
              <w:ind w:left="46" w:right="0" w:hanging="0"/>
              <w:jc w:val="center"/>
              <w:rPr>
                <w:rFonts w:ascii="Arial" w:hAnsi="Arial" w:cs="Arial"/>
                <w:b/>
                <w:b/>
              </w:rPr>
            </w:pPr>
            <w:r>
              <w:rPr>
                <w:rFonts w:cs="Arial" w:ascii="Arial" w:hAnsi="Arial"/>
                <w:b/>
              </w:rPr>
              <w:t>Категории</w:t>
            </w:r>
          </w:p>
          <w:p>
            <w:pPr>
              <w:pStyle w:val="5551"/>
              <w:ind w:left="46" w:right="0" w:hanging="0"/>
              <w:jc w:val="center"/>
              <w:rPr>
                <w:rFonts w:ascii="Arial" w:hAnsi="Arial" w:cs="Arial"/>
                <w:b/>
                <w:b/>
              </w:rPr>
            </w:pPr>
            <w:r>
              <w:rPr>
                <w:rFonts w:cs="Arial" w:ascii="Arial" w:hAnsi="Arial"/>
                <w:b/>
              </w:rPr>
              <w:t>загрязнения почв</w:t>
            </w:r>
          </w:p>
        </w:tc>
        <w:tc>
          <w:tcPr>
            <w:tcW w:w="776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28" w:type="dxa"/>
            </w:tcMar>
          </w:tcPr>
          <w:p>
            <w:pPr>
              <w:pStyle w:val="5551"/>
              <w:ind w:left="46" w:right="0" w:hanging="0"/>
              <w:jc w:val="center"/>
              <w:rPr>
                <w:rFonts w:ascii="Arial" w:hAnsi="Arial" w:cs="Arial"/>
                <w:b/>
                <w:b/>
              </w:rPr>
            </w:pPr>
            <w:r>
              <w:rPr>
                <w:rFonts w:cs="Arial" w:ascii="Arial" w:hAnsi="Arial"/>
                <w:b/>
              </w:rPr>
              <w:t>Рекомендации по использованию почв</w:t>
            </w:r>
          </w:p>
          <w:p>
            <w:pPr>
              <w:pStyle w:val="5551"/>
              <w:ind w:left="46" w:right="0" w:hanging="0"/>
              <w:jc w:val="center"/>
              <w:rPr>
                <w:rFonts w:ascii="Arial" w:hAnsi="Arial" w:cs="Arial"/>
                <w:b/>
                <w:b/>
              </w:rPr>
            </w:pPr>
            <w:r>
              <w:rPr>
                <w:rFonts w:cs="Arial" w:ascii="Arial" w:hAnsi="Arial"/>
                <w:b/>
              </w:rPr>
            </w:r>
          </w:p>
        </w:tc>
      </w:tr>
      <w:tr>
        <w:trPr/>
        <w:tc>
          <w:tcPr>
            <w:tcW w:w="2244" w:type="dxa"/>
            <w:tcBorders>
              <w:top w:val="single" w:sz="4" w:space="0" w:color="00000A"/>
              <w:left w:val="single" w:sz="4" w:space="0" w:color="00000A"/>
              <w:bottom w:val="single" w:sz="4" w:space="0" w:color="00000A"/>
              <w:insideH w:val="single" w:sz="4" w:space="0" w:color="00000A"/>
            </w:tcBorders>
            <w:shd w:fill="auto" w:val="clear"/>
            <w:tcMar>
              <w:left w:w="28" w:type="dxa"/>
            </w:tcMar>
          </w:tcPr>
          <w:p>
            <w:pPr>
              <w:pStyle w:val="5551"/>
              <w:ind w:left="46" w:right="0" w:hanging="0"/>
              <w:rPr>
                <w:rFonts w:ascii="Arial" w:hAnsi="Arial" w:cs="Arial"/>
              </w:rPr>
            </w:pPr>
            <w:r>
              <w:rPr>
                <w:rFonts w:cs="Arial" w:ascii="Arial" w:hAnsi="Arial"/>
              </w:rPr>
              <w:t>Чистая</w:t>
            </w:r>
          </w:p>
        </w:tc>
        <w:tc>
          <w:tcPr>
            <w:tcW w:w="776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28" w:type="dxa"/>
            </w:tcMar>
          </w:tcPr>
          <w:p>
            <w:pPr>
              <w:pStyle w:val="5551"/>
              <w:ind w:left="46" w:right="0" w:hanging="0"/>
              <w:rPr>
                <w:rFonts w:ascii="Arial" w:hAnsi="Arial" w:cs="Arial"/>
              </w:rPr>
            </w:pPr>
            <w:r>
              <w:rPr>
                <w:rFonts w:cs="Arial" w:ascii="Arial" w:hAnsi="Arial"/>
              </w:rPr>
              <w:t>Использование без ограничений</w:t>
            </w:r>
          </w:p>
        </w:tc>
      </w:tr>
      <w:tr>
        <w:trPr/>
        <w:tc>
          <w:tcPr>
            <w:tcW w:w="2244" w:type="dxa"/>
            <w:tcBorders>
              <w:top w:val="single" w:sz="4" w:space="0" w:color="00000A"/>
              <w:left w:val="single" w:sz="4" w:space="0" w:color="00000A"/>
              <w:bottom w:val="single" w:sz="4" w:space="0" w:color="00000A"/>
              <w:insideH w:val="single" w:sz="4" w:space="0" w:color="00000A"/>
            </w:tcBorders>
            <w:shd w:fill="auto" w:val="clear"/>
            <w:tcMar>
              <w:left w:w="28" w:type="dxa"/>
            </w:tcMar>
          </w:tcPr>
          <w:p>
            <w:pPr>
              <w:pStyle w:val="5551"/>
              <w:ind w:left="46" w:right="0" w:hanging="0"/>
              <w:rPr>
                <w:rFonts w:ascii="Arial" w:hAnsi="Arial" w:cs="Arial"/>
              </w:rPr>
            </w:pPr>
            <w:r>
              <w:rPr>
                <w:rFonts w:cs="Arial" w:ascii="Arial" w:hAnsi="Arial"/>
              </w:rPr>
              <w:t>Допустимая</w:t>
            </w:r>
          </w:p>
        </w:tc>
        <w:tc>
          <w:tcPr>
            <w:tcW w:w="776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28" w:type="dxa"/>
            </w:tcMar>
          </w:tcPr>
          <w:p>
            <w:pPr>
              <w:pStyle w:val="5551"/>
              <w:ind w:left="46" w:right="0" w:hanging="0"/>
              <w:rPr>
                <w:rFonts w:ascii="Arial" w:hAnsi="Arial" w:cs="Arial"/>
              </w:rPr>
            </w:pPr>
            <w:r>
              <w:rPr>
                <w:rFonts w:cs="Arial" w:ascii="Arial" w:hAnsi="Arial"/>
              </w:rPr>
              <w:t>Использование без ограничений, исключая объекты повышенного риска</w:t>
            </w:r>
          </w:p>
        </w:tc>
      </w:tr>
      <w:tr>
        <w:trPr/>
        <w:tc>
          <w:tcPr>
            <w:tcW w:w="2244" w:type="dxa"/>
            <w:tcBorders>
              <w:top w:val="single" w:sz="4" w:space="0" w:color="00000A"/>
              <w:left w:val="single" w:sz="4" w:space="0" w:color="00000A"/>
              <w:bottom w:val="single" w:sz="4" w:space="0" w:color="00000A"/>
              <w:insideH w:val="single" w:sz="4" w:space="0" w:color="00000A"/>
            </w:tcBorders>
            <w:shd w:fill="auto" w:val="clear"/>
            <w:tcMar>
              <w:left w:w="28" w:type="dxa"/>
            </w:tcMar>
          </w:tcPr>
          <w:p>
            <w:pPr>
              <w:pStyle w:val="5551"/>
              <w:ind w:left="46" w:right="0" w:hanging="0"/>
              <w:rPr>
                <w:rFonts w:ascii="Arial" w:hAnsi="Arial" w:cs="Arial"/>
              </w:rPr>
            </w:pPr>
            <w:r>
              <w:rPr>
                <w:rFonts w:cs="Arial" w:ascii="Arial" w:hAnsi="Arial"/>
              </w:rPr>
              <w:t>Умеренно опасная</w:t>
            </w:r>
          </w:p>
        </w:tc>
        <w:tc>
          <w:tcPr>
            <w:tcW w:w="776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28" w:type="dxa"/>
            </w:tcMar>
          </w:tcPr>
          <w:p>
            <w:pPr>
              <w:pStyle w:val="5551"/>
              <w:ind w:left="46" w:right="0" w:hanging="0"/>
              <w:rPr>
                <w:rFonts w:ascii="Arial" w:hAnsi="Arial" w:cs="Arial"/>
              </w:rPr>
            </w:pPr>
            <w:r>
              <w:rPr>
                <w:rFonts w:cs="Arial" w:ascii="Arial" w:hAnsi="Arial"/>
              </w:rPr>
              <w:t>Использование в ходе строительных работ под отсыпки котлованов и выемок, на участках озеленения с подсыпкой слоя чистого грунта не менее 0,2 м</w:t>
            </w:r>
          </w:p>
        </w:tc>
      </w:tr>
      <w:tr>
        <w:trPr/>
        <w:tc>
          <w:tcPr>
            <w:tcW w:w="2244" w:type="dxa"/>
            <w:tcBorders>
              <w:top w:val="single" w:sz="4" w:space="0" w:color="00000A"/>
              <w:left w:val="single" w:sz="4" w:space="0" w:color="00000A"/>
              <w:bottom w:val="single" w:sz="4" w:space="0" w:color="00000A"/>
              <w:insideH w:val="single" w:sz="4" w:space="0" w:color="00000A"/>
            </w:tcBorders>
            <w:shd w:fill="auto" w:val="clear"/>
            <w:tcMar>
              <w:left w:w="28" w:type="dxa"/>
            </w:tcMar>
          </w:tcPr>
          <w:p>
            <w:pPr>
              <w:pStyle w:val="5551"/>
              <w:ind w:left="46" w:right="0" w:hanging="0"/>
              <w:rPr>
                <w:rFonts w:ascii="Arial" w:hAnsi="Arial" w:cs="Arial"/>
              </w:rPr>
            </w:pPr>
            <w:r>
              <w:rPr>
                <w:rFonts w:cs="Arial" w:ascii="Arial" w:hAnsi="Arial"/>
              </w:rPr>
              <w:t>Опасная</w:t>
            </w:r>
          </w:p>
        </w:tc>
        <w:tc>
          <w:tcPr>
            <w:tcW w:w="776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28" w:type="dxa"/>
            </w:tcMar>
          </w:tcPr>
          <w:p>
            <w:pPr>
              <w:pStyle w:val="5551"/>
              <w:ind w:left="46" w:right="0" w:hanging="0"/>
              <w:rPr>
                <w:rFonts w:ascii="Arial" w:hAnsi="Arial" w:cs="Arial"/>
              </w:rPr>
            </w:pPr>
            <w:r>
              <w:rPr>
                <w:rFonts w:cs="Arial" w:ascii="Arial" w:hAnsi="Arial"/>
              </w:rPr>
              <w:t>Ограниченное использование под отсыпки выемок и котлованов с перекрытием слоем чистого грунта не менее 0,5 м. При наличии эпидемиологической опасности - использование после проведения дезинфекции (дезинвазии) по предписанию органов Федеральной службы Роспотребнадзора с последующим лабораторным контролем</w:t>
            </w:r>
          </w:p>
        </w:tc>
      </w:tr>
      <w:tr>
        <w:trPr/>
        <w:tc>
          <w:tcPr>
            <w:tcW w:w="2244" w:type="dxa"/>
            <w:tcBorders>
              <w:top w:val="single" w:sz="4" w:space="0" w:color="00000A"/>
              <w:left w:val="single" w:sz="4" w:space="0" w:color="00000A"/>
              <w:bottom w:val="single" w:sz="4" w:space="0" w:color="00000A"/>
              <w:insideH w:val="single" w:sz="4" w:space="0" w:color="00000A"/>
            </w:tcBorders>
            <w:shd w:fill="auto" w:val="clear"/>
            <w:tcMar>
              <w:left w:w="28" w:type="dxa"/>
            </w:tcMar>
          </w:tcPr>
          <w:p>
            <w:pPr>
              <w:pStyle w:val="5551"/>
              <w:ind w:left="46" w:right="0" w:hanging="0"/>
              <w:rPr>
                <w:rFonts w:ascii="Arial" w:hAnsi="Arial" w:cs="Arial"/>
              </w:rPr>
            </w:pPr>
            <w:r>
              <w:rPr>
                <w:rFonts w:cs="Arial" w:ascii="Arial" w:hAnsi="Arial"/>
              </w:rPr>
              <w:t>Чрезвычайно</w:t>
            </w:r>
          </w:p>
          <w:p>
            <w:pPr>
              <w:pStyle w:val="5551"/>
              <w:ind w:left="46" w:right="0" w:hanging="0"/>
              <w:rPr>
                <w:rFonts w:ascii="Arial" w:hAnsi="Arial" w:cs="Arial"/>
              </w:rPr>
            </w:pPr>
            <w:r>
              <w:rPr>
                <w:rFonts w:cs="Arial" w:ascii="Arial" w:hAnsi="Arial"/>
              </w:rPr>
              <w:t>Опасная</w:t>
            </w:r>
          </w:p>
        </w:tc>
        <w:tc>
          <w:tcPr>
            <w:tcW w:w="776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28" w:type="dxa"/>
            </w:tcMar>
          </w:tcPr>
          <w:p>
            <w:pPr>
              <w:pStyle w:val="5551"/>
              <w:ind w:left="46" w:right="0" w:hanging="0"/>
              <w:rPr>
                <w:rFonts w:ascii="Arial" w:hAnsi="Arial" w:cs="Arial"/>
              </w:rPr>
            </w:pPr>
            <w:r>
              <w:rPr>
                <w:rFonts w:cs="Arial" w:ascii="Arial" w:hAnsi="Arial"/>
              </w:rPr>
              <w:t>Вывоз и утилизация на специализированных полигонах. При наличии эпидемиологической опасности – использование после проведения дезинфекции (дезинвазии) по предписанию органов госсанэпидслужбы с последующим лабораторным контролем</w:t>
            </w:r>
          </w:p>
        </w:tc>
      </w:tr>
    </w:tbl>
    <w:p>
      <w:pPr>
        <w:pStyle w:val="5551"/>
        <w:rPr>
          <w:rFonts w:ascii="Arial" w:hAnsi="Arial" w:cs="Arial"/>
        </w:rPr>
      </w:pPr>
      <w:r>
        <w:rPr>
          <w:rFonts w:cs="Arial" w:ascii="Arial" w:hAnsi="Arial"/>
        </w:rPr>
        <w:t>16.5.11.</w:t>
        <w:tab/>
        <w:t>Почвы, где годовая эффективная доза радиации не превышает 1 куб. м. считаются не загрязненными по радиоактивному фактору.</w:t>
      </w:r>
    </w:p>
    <w:p>
      <w:pPr>
        <w:pStyle w:val="5551"/>
        <w:rPr>
          <w:rFonts w:ascii="Arial" w:hAnsi="Arial" w:cs="Arial"/>
        </w:rPr>
      </w:pPr>
      <w:r>
        <w:rPr>
          <w:rFonts w:cs="Arial" w:ascii="Arial" w:hAnsi="Arial"/>
        </w:rPr>
        <w:t>При обнаружении локальных источников радиоактивного загрязнения с уровнем радиационного воздействия на население:</w:t>
      </w:r>
    </w:p>
    <w:p>
      <w:pPr>
        <w:pStyle w:val="5551"/>
        <w:rPr>
          <w:rFonts w:ascii="Arial" w:hAnsi="Arial" w:cs="Arial"/>
        </w:rPr>
      </w:pPr>
      <w:r>
        <w:rPr>
          <w:rFonts w:cs="Arial" w:ascii="Arial" w:hAnsi="Arial"/>
        </w:rPr>
        <w:t xml:space="preserve">- от 0,01 до 0,3 м3в/год - необходимо провести исследование источника с целью оценки величины годовой эффективной дозы и определения величины дозы, ожидаемой за 70 лет; </w:t>
      </w:r>
    </w:p>
    <w:p>
      <w:pPr>
        <w:pStyle w:val="5551"/>
        <w:rPr>
          <w:rFonts w:ascii="Arial" w:hAnsi="Arial" w:cs="Arial"/>
        </w:rPr>
      </w:pPr>
      <w:r>
        <w:rPr>
          <w:rFonts w:cs="Arial" w:ascii="Arial" w:hAnsi="Arial"/>
        </w:rPr>
        <w:t xml:space="preserve">- более 0,3 м3в/год - необходимо проведение защитных мероприятий с целью ограничения облучения населения. Масштабы и характер мероприятий определяются с учетом интенсивности радиационного воздействия на население по величине ожидаемой коллективной эффективной дозы за 70 лет. </w:t>
      </w:r>
    </w:p>
    <w:p>
      <w:pPr>
        <w:pStyle w:val="5551"/>
        <w:rPr>
          <w:rFonts w:ascii="Arial" w:hAnsi="Arial" w:cs="Arial"/>
        </w:rPr>
      </w:pPr>
      <w:r>
        <w:rPr>
          <w:rFonts w:cs="Arial" w:ascii="Arial" w:hAnsi="Arial"/>
        </w:rPr>
        <w:t>16.5.12.</w:t>
        <w:tab/>
        <w:t xml:space="preserve">Порядок использования земель, подвергшихся радиоактивному и химическому загрязнению, установления охранных зон, сохранения находящихся на этих землях жилых зданий, объектов производственного назначения, объектов социального и культурно-бытового обслуживания населения, проведения на этих землях мелиоративных и других работ определяется Правительством Российской Федерации. </w:t>
      </w:r>
    </w:p>
    <w:p>
      <w:pPr>
        <w:pStyle w:val="5551"/>
        <w:rPr>
          <w:rFonts w:ascii="Arial" w:hAnsi="Arial" w:cs="Arial"/>
        </w:rPr>
      </w:pPr>
      <w:r>
        <w:rPr>
          <w:rFonts w:cs="Arial" w:ascii="Arial" w:hAnsi="Arial"/>
        </w:rPr>
        <w:t>16.5.13.</w:t>
        <w:tab/>
        <w:t xml:space="preserve">Мероприятия по защите почв разрабатываются в каждом конкретном случае, учитывающем категорию их загрязнения, и должны предусматривать: </w:t>
      </w:r>
    </w:p>
    <w:p>
      <w:pPr>
        <w:pStyle w:val="5551"/>
        <w:rPr>
          <w:rFonts w:ascii="Arial" w:hAnsi="Arial" w:cs="Arial"/>
        </w:rPr>
      </w:pPr>
      <w:r>
        <w:rPr>
          <w:rFonts w:cs="Arial" w:ascii="Arial" w:hAnsi="Arial"/>
        </w:rPr>
        <w:t xml:space="preserve">- рекультивацию и мелиорацию почв, восстановление плодородия; </w:t>
      </w:r>
    </w:p>
    <w:p>
      <w:pPr>
        <w:pStyle w:val="5551"/>
        <w:rPr>
          <w:rFonts w:ascii="Arial" w:hAnsi="Arial" w:cs="Arial"/>
        </w:rPr>
      </w:pPr>
      <w:r>
        <w:rPr>
          <w:rFonts w:cs="Arial" w:ascii="Arial" w:hAnsi="Arial"/>
        </w:rPr>
        <w:t xml:space="preserve">- введение специальных режимов использования; - изменение целевого назначения;   </w:t>
      </w:r>
    </w:p>
    <w:p>
      <w:pPr>
        <w:pStyle w:val="5551"/>
        <w:rPr>
          <w:rFonts w:ascii="Arial" w:hAnsi="Arial" w:cs="Arial"/>
        </w:rPr>
      </w:pPr>
      <w:r>
        <w:rPr>
          <w:rFonts w:cs="Arial" w:ascii="Arial" w:hAnsi="Arial"/>
        </w:rPr>
        <w:t xml:space="preserve">- защиту от загрязнения шахтными водами. </w:t>
      </w:r>
    </w:p>
    <w:p>
      <w:pPr>
        <w:pStyle w:val="5551"/>
        <w:rPr>
          <w:rFonts w:ascii="Arial" w:hAnsi="Arial" w:cs="Arial"/>
        </w:rPr>
      </w:pPr>
      <w:r>
        <w:rPr>
          <w:rFonts w:cs="Arial" w:ascii="Arial" w:hAnsi="Arial"/>
        </w:rPr>
        <w:t>16.5.14.</w:t>
        <w:tab/>
        <w:t xml:space="preserve">Кроме того, в жилых зонах, включая территории повышенного риска, в зоне влияния транспорта, захороненных промышленных отходов (почва территорий, прилегающих к полигонам), в местах складирования промышленных и бытовых отходов, на территории сельскохозяйственных угодий, санитарно-защитных зон должен осуществляться мониторинг состояния почвы. Объем исследований и перечень изучаемых показателей при мониторинге определяется в каждом конкретном случае с учетом целей и задач по согласованию с органами Федеральной службы Роспотребнадзора. </w:t>
      </w:r>
    </w:p>
    <w:p>
      <w:pPr>
        <w:pStyle w:val="5551"/>
        <w:rPr>
          <w:rFonts w:ascii="Arial" w:hAnsi="Arial" w:cs="Arial"/>
        </w:rPr>
      </w:pPr>
      <w:r>
        <w:rPr>
          <w:rFonts w:cs="Arial" w:ascii="Arial" w:hAnsi="Arial"/>
        </w:rPr>
        <w:t>16.5.15.</w:t>
        <w:tab/>
        <w:t xml:space="preserve">Допускается консервация земель с изъятием их из оборота в целях предотвращения деградации земель, восстановления плодородия почв и загрязненных территорий. </w:t>
      </w:r>
    </w:p>
    <w:p>
      <w:pPr>
        <w:pStyle w:val="5551"/>
        <w:rPr>
          <w:rFonts w:ascii="Arial" w:hAnsi="Arial" w:cs="Arial"/>
        </w:rPr>
      </w:pPr>
      <w:r>
        <w:rPr>
          <w:rFonts w:cs="Arial" w:ascii="Arial" w:hAnsi="Arial"/>
        </w:rPr>
        <w:t>16.5.16.</w:t>
        <w:tab/>
        <w:t xml:space="preserve">Земли, которые подверглись радиоактивному и химическому загрязнению и на которых не обеспечивается производство продукции, соответствующей установленным законодательством требованиям, подлежат ограничению в использовании, исключению из категории земель сельскохозяйственного назначения и могут переводиться в земли запаса для их консервации. На таких землях запрещаются производство и реализация сельскохозяйственной продукции. </w:t>
      </w:r>
    </w:p>
    <w:p>
      <w:pPr>
        <w:pStyle w:val="5551"/>
        <w:rPr>
          <w:rFonts w:ascii="Arial" w:hAnsi="Arial" w:cs="Arial"/>
        </w:rPr>
      </w:pPr>
      <w:r>
        <w:rPr>
          <w:rFonts w:cs="Arial" w:ascii="Arial" w:hAnsi="Arial"/>
        </w:rPr>
        <w:t>16.5.17.</w:t>
        <w:tab/>
        <w:t xml:space="preserve">Порядок консервации земель устанавливается в соответствии с федеральным законодательством. </w:t>
      </w:r>
    </w:p>
    <w:p>
      <w:pPr>
        <w:pStyle w:val="5551"/>
        <w:rPr>
          <w:rFonts w:ascii="Arial" w:hAnsi="Arial" w:cs="Arial"/>
        </w:rPr>
      </w:pPr>
      <w:r>
        <w:rPr>
          <w:rFonts w:cs="Arial" w:ascii="Arial" w:hAnsi="Arial"/>
        </w:rPr>
        <w:t xml:space="preserve">При санитарно-эпидемиологической оценке состояния почвы выявляются потенциальные источники их загрязнения, устанавливаются границы территории обследования по площади и глубине, определяется схема отбора проб почв. Исследование почв проводится на стадии предпроектной документации, на стадии выбора земельного участка и разработки проектной документации, на стадии выполнения строительных работ, после завершения строительства. </w:t>
      </w:r>
    </w:p>
    <w:p>
      <w:pPr>
        <w:pStyle w:val="5551"/>
        <w:rPr>
          <w:rFonts w:ascii="Arial" w:hAnsi="Arial" w:cs="Arial"/>
        </w:rPr>
      </w:pPr>
      <w:r>
        <w:rPr>
          <w:rFonts w:cs="Arial" w:ascii="Arial" w:hAnsi="Arial"/>
        </w:rPr>
        <w:t>16.6.</w:t>
        <w:tab/>
        <w:t>Защита от шума и вибрации.</w:t>
      </w:r>
    </w:p>
    <w:p>
      <w:pPr>
        <w:pStyle w:val="5551"/>
        <w:rPr>
          <w:rFonts w:ascii="Arial" w:hAnsi="Arial" w:cs="Arial"/>
        </w:rPr>
      </w:pPr>
      <w:r>
        <w:rPr>
          <w:rFonts w:cs="Arial" w:ascii="Arial" w:hAnsi="Arial"/>
        </w:rPr>
        <w:t>16.6.1.</w:t>
        <w:tab/>
        <w:t xml:space="preserve">Объектами защиты от источников внешнего шума являются помещения жилых и общественных зданий, территории жилой застройки, рабочие места производственных предприятий. </w:t>
      </w:r>
    </w:p>
    <w:p>
      <w:pPr>
        <w:pStyle w:val="5551"/>
        <w:rPr>
          <w:rFonts w:ascii="Arial" w:hAnsi="Arial" w:cs="Arial"/>
        </w:rPr>
      </w:pPr>
      <w:r>
        <w:rPr>
          <w:rFonts w:cs="Arial" w:ascii="Arial" w:hAnsi="Arial"/>
        </w:rPr>
        <w:t>16.6.2.</w:t>
        <w:tab/>
        <w:t xml:space="preserve">Планировку и застройку селитебных территорий сельского поселения следует осуществлять с учетом обеспечения допустимых уровней шума. </w:t>
      </w:r>
    </w:p>
    <w:p>
      <w:pPr>
        <w:pStyle w:val="5551"/>
        <w:rPr>
          <w:rFonts w:ascii="Arial" w:hAnsi="Arial" w:cs="Arial"/>
        </w:rPr>
      </w:pPr>
      <w:r>
        <w:rPr>
          <w:rFonts w:cs="Arial" w:ascii="Arial" w:hAnsi="Arial"/>
        </w:rPr>
        <w:t>16.6.3.</w:t>
        <w:tab/>
        <w:t xml:space="preserve">Шумовыми характеристиками источников внешнего шума являются: </w:t>
      </w:r>
    </w:p>
    <w:p>
      <w:pPr>
        <w:pStyle w:val="5551"/>
        <w:rPr/>
      </w:pPr>
      <w:r>
        <w:rPr>
          <w:rFonts w:cs="Arial" w:ascii="Arial" w:hAnsi="Arial"/>
        </w:rPr>
        <w:t xml:space="preserve">- для транспортных потоков на улицах и дорогах - </w:t>
      </w:r>
      <w:r>
        <w:rPr>
          <w:rFonts w:cs="Arial" w:ascii="Arial" w:hAnsi="Arial"/>
          <w:lang w:val="en-US"/>
        </w:rPr>
        <w:t>L</w:t>
      </w:r>
      <w:r>
        <w:rPr>
          <w:rFonts w:cs="Arial" w:ascii="Arial" w:hAnsi="Arial"/>
        </w:rPr>
        <w:t xml:space="preserve">Аэкв&lt;*&gt; на расстоянии 7,5 м от оси первой полосы движения; </w:t>
      </w:r>
    </w:p>
    <w:p>
      <w:pPr>
        <w:pStyle w:val="5551"/>
        <w:rPr/>
      </w:pPr>
      <w:r>
        <w:rPr>
          <w:rFonts w:cs="Arial" w:ascii="Arial" w:hAnsi="Arial"/>
        </w:rPr>
        <w:t xml:space="preserve">- для потоков железнодорожных поездов - </w:t>
      </w:r>
      <w:r>
        <w:rPr>
          <w:rFonts w:cs="Arial" w:ascii="Arial" w:hAnsi="Arial"/>
          <w:lang w:val="en-US"/>
        </w:rPr>
        <w:t>L</w:t>
      </w:r>
      <w:r>
        <w:rPr>
          <w:rFonts w:cs="Arial" w:ascii="Arial" w:hAnsi="Arial"/>
        </w:rPr>
        <w:t xml:space="preserve">Аэкв и </w:t>
      </w:r>
      <w:r>
        <w:rPr>
          <w:rFonts w:cs="Arial" w:ascii="Arial" w:hAnsi="Arial"/>
          <w:lang w:val="en-US"/>
        </w:rPr>
        <w:t>L</w:t>
      </w:r>
      <w:r>
        <w:rPr>
          <w:rFonts w:cs="Arial" w:ascii="Arial" w:hAnsi="Arial"/>
        </w:rPr>
        <w:t xml:space="preserve">Амакс&lt;**&gt; на расстоянии 25 м от оси ближнего к расчетной точке пути; </w:t>
      </w:r>
    </w:p>
    <w:p>
      <w:pPr>
        <w:pStyle w:val="5551"/>
        <w:rPr/>
      </w:pPr>
      <w:r>
        <w:rPr>
          <w:rFonts w:cs="Arial" w:ascii="Arial" w:hAnsi="Arial"/>
        </w:rPr>
        <w:t xml:space="preserve">- для водного транспорта - </w:t>
      </w:r>
      <w:r>
        <w:rPr>
          <w:rFonts w:cs="Arial" w:ascii="Arial" w:hAnsi="Arial"/>
          <w:lang w:val="en-US"/>
        </w:rPr>
        <w:t>L</w:t>
      </w:r>
      <w:r>
        <w:rPr>
          <w:rFonts w:cs="Arial" w:ascii="Arial" w:hAnsi="Arial"/>
        </w:rPr>
        <w:t xml:space="preserve">Аэкв и </w:t>
      </w:r>
      <w:r>
        <w:rPr>
          <w:rFonts w:cs="Arial" w:ascii="Arial" w:hAnsi="Arial"/>
          <w:lang w:val="en-US"/>
        </w:rPr>
        <w:t>L</w:t>
      </w:r>
      <w:r>
        <w:rPr>
          <w:rFonts w:cs="Arial" w:ascii="Arial" w:hAnsi="Arial"/>
        </w:rPr>
        <w:t xml:space="preserve">Амакс на расстоянии 25 м от борта судна; </w:t>
      </w:r>
    </w:p>
    <w:p>
      <w:pPr>
        <w:pStyle w:val="5551"/>
        <w:rPr/>
      </w:pPr>
      <w:r>
        <w:rPr>
          <w:rFonts w:cs="Arial" w:ascii="Arial" w:hAnsi="Arial"/>
        </w:rPr>
        <w:t xml:space="preserve">- для воздушного транспорта - </w:t>
      </w:r>
      <w:r>
        <w:rPr>
          <w:rFonts w:cs="Arial" w:ascii="Arial" w:hAnsi="Arial"/>
          <w:lang w:val="en-US"/>
        </w:rPr>
        <w:t>L</w:t>
      </w:r>
      <w:r>
        <w:rPr>
          <w:rFonts w:cs="Arial" w:ascii="Arial" w:hAnsi="Arial"/>
        </w:rPr>
        <w:t xml:space="preserve">Аэкв и </w:t>
      </w:r>
      <w:r>
        <w:rPr>
          <w:rFonts w:cs="Arial" w:ascii="Arial" w:hAnsi="Arial"/>
          <w:lang w:val="en-US"/>
        </w:rPr>
        <w:t>L</w:t>
      </w:r>
      <w:r>
        <w:rPr>
          <w:rFonts w:cs="Arial" w:ascii="Arial" w:hAnsi="Arial"/>
        </w:rPr>
        <w:t xml:space="preserve">Амакс в расчетной точке; </w:t>
      </w:r>
    </w:p>
    <w:p>
      <w:pPr>
        <w:pStyle w:val="5551"/>
        <w:rPr/>
      </w:pPr>
      <w:r>
        <w:rPr>
          <w:rFonts w:cs="Arial" w:ascii="Arial" w:hAnsi="Arial"/>
        </w:rPr>
        <w:t xml:space="preserve">- для производственных зон, промышленных и энергетических предприятий с максимальным линейным размером в плане более 300 м - </w:t>
      </w:r>
      <w:r>
        <w:rPr>
          <w:rFonts w:cs="Arial" w:ascii="Arial" w:hAnsi="Arial"/>
          <w:lang w:val="en-US"/>
        </w:rPr>
        <w:t>L</w:t>
      </w:r>
      <w:r>
        <w:rPr>
          <w:rFonts w:cs="Arial" w:ascii="Arial" w:hAnsi="Arial"/>
        </w:rPr>
        <w:t xml:space="preserve">Аэкви </w:t>
      </w:r>
      <w:r>
        <w:rPr>
          <w:rFonts w:cs="Arial" w:ascii="Arial" w:hAnsi="Arial"/>
          <w:lang w:val="en-US"/>
        </w:rPr>
        <w:t>L</w:t>
      </w:r>
      <w:r>
        <w:rPr>
          <w:rFonts w:cs="Arial" w:ascii="Arial" w:hAnsi="Arial"/>
        </w:rPr>
        <w:t>Амакс на границе территории предприятия и селитебной территории в направлении расчетной точки;</w:t>
      </w:r>
    </w:p>
    <w:p>
      <w:pPr>
        <w:pStyle w:val="5551"/>
        <w:rPr/>
      </w:pPr>
      <w:bookmarkStart w:id="66" w:name="page435"/>
      <w:bookmarkEnd w:id="66"/>
      <w:r>
        <w:rPr>
          <w:rFonts w:cs="Arial" w:ascii="Arial" w:hAnsi="Arial"/>
        </w:rPr>
        <w:t xml:space="preserve">- для источников шума - </w:t>
      </w:r>
      <w:r>
        <w:rPr>
          <w:rFonts w:cs="Arial" w:ascii="Arial" w:hAnsi="Arial"/>
          <w:lang w:val="en-US"/>
        </w:rPr>
        <w:t>L</w:t>
      </w:r>
      <w:r>
        <w:rPr>
          <w:rFonts w:cs="Arial" w:ascii="Arial" w:hAnsi="Arial"/>
        </w:rPr>
        <w:t xml:space="preserve">Аэкв и </w:t>
      </w:r>
      <w:r>
        <w:rPr>
          <w:rFonts w:cs="Arial" w:ascii="Arial" w:hAnsi="Arial"/>
          <w:lang w:val="en-US"/>
        </w:rPr>
        <w:t>L</w:t>
      </w:r>
      <w:r>
        <w:rPr>
          <w:rFonts w:cs="Arial" w:ascii="Arial" w:hAnsi="Arial"/>
        </w:rPr>
        <w:t>Амакс на фиксированном расстоянии от источника.</w:t>
      </w:r>
    </w:p>
    <w:p>
      <w:pPr>
        <w:pStyle w:val="5551"/>
        <w:rPr>
          <w:rFonts w:ascii="Arial" w:hAnsi="Arial" w:cs="Arial"/>
        </w:rPr>
      </w:pPr>
      <w:r>
        <w:rPr>
          <w:rFonts w:cs="Arial" w:ascii="Arial" w:hAnsi="Arial"/>
        </w:rPr>
        <w:t>--------------------------------</w:t>
      </w:r>
    </w:p>
    <w:p>
      <w:pPr>
        <w:pStyle w:val="5551"/>
        <w:rPr/>
      </w:pPr>
      <w:r>
        <w:rPr>
          <w:rFonts w:cs="Arial" w:ascii="Arial" w:hAnsi="Arial"/>
        </w:rPr>
        <w:t>&lt;*&gt;</w:t>
      </w:r>
      <w:r>
        <w:rPr>
          <w:rFonts w:cs="Arial" w:ascii="Arial" w:hAnsi="Arial"/>
          <w:lang w:val="en-US"/>
        </w:rPr>
        <w:t>L</w:t>
      </w:r>
      <w:r>
        <w:rPr>
          <w:rFonts w:cs="Arial" w:ascii="Arial" w:hAnsi="Arial"/>
        </w:rPr>
        <w:t>Аэкв - эквивалентный уровень звука, дБА;</w:t>
      </w:r>
    </w:p>
    <w:p>
      <w:pPr>
        <w:pStyle w:val="5551"/>
        <w:rPr/>
      </w:pPr>
      <w:r>
        <w:rPr>
          <w:rFonts w:cs="Arial" w:ascii="Arial" w:hAnsi="Arial"/>
        </w:rPr>
        <w:t>&lt;**&gt;</w:t>
      </w:r>
      <w:r>
        <w:rPr>
          <w:rFonts w:cs="Arial" w:ascii="Arial" w:hAnsi="Arial"/>
          <w:lang w:val="en-US"/>
        </w:rPr>
        <w:t>L</w:t>
      </w:r>
      <w:r>
        <w:rPr>
          <w:rFonts w:cs="Arial" w:ascii="Arial" w:hAnsi="Arial"/>
        </w:rPr>
        <w:t>Амакс - максимальный уровень звука, дБА.</w:t>
      </w:r>
    </w:p>
    <w:p>
      <w:pPr>
        <w:pStyle w:val="5551"/>
        <w:rPr>
          <w:rFonts w:ascii="Arial" w:hAnsi="Arial" w:cs="Arial"/>
        </w:rPr>
      </w:pPr>
      <w:r>
        <w:rPr>
          <w:rFonts w:cs="Arial" w:ascii="Arial" w:hAnsi="Arial"/>
        </w:rPr>
      </w:r>
    </w:p>
    <w:p>
      <w:pPr>
        <w:pStyle w:val="5551"/>
        <w:rPr>
          <w:rFonts w:ascii="Arial" w:hAnsi="Arial" w:cs="Arial"/>
        </w:rPr>
      </w:pPr>
      <w:r>
        <w:rPr>
          <w:rFonts w:cs="Arial" w:ascii="Arial" w:hAnsi="Arial"/>
        </w:rPr>
        <w:t>16.6.4.</w:t>
        <w:tab/>
        <w:t>Расчетные точки следует выбирать:</w:t>
      </w:r>
    </w:p>
    <w:p>
      <w:pPr>
        <w:pStyle w:val="5551"/>
        <w:rPr/>
      </w:pPr>
      <w:r>
        <w:rPr>
          <w:rFonts w:cs="Arial" w:ascii="Arial" w:hAnsi="Arial"/>
        </w:rPr>
        <w:t xml:space="preserve">- на площадках отдыха </w:t>
      </w:r>
      <w:r>
        <w:rPr>
          <w:rFonts w:eastAsia="Times New Roman" w:cs="Arial" w:ascii="Arial" w:hAnsi="Arial"/>
          <w:lang w:eastAsia="ar-SA"/>
        </w:rPr>
        <w:t>сельского</w:t>
      </w:r>
      <w:r>
        <w:rPr>
          <w:rFonts w:cs="Arial" w:ascii="Arial" w:hAnsi="Arial"/>
        </w:rPr>
        <w:t xml:space="preserve"> поселения и групп жилых зданий, на площадках дошкольных образовательных учреждений, на участках школ и больниц - на ближайшей к источнику шума границе площадок на высоте 1,5 м от поверхности земли (если площадка частично находится в зоне звуковой тени от здания, сооружения или другого экранирующего объекта, то расчетная точка должна находиться вне зоны звуковой тени); </w:t>
      </w:r>
    </w:p>
    <w:p>
      <w:pPr>
        <w:pStyle w:val="5551"/>
        <w:rPr>
          <w:rFonts w:ascii="Arial" w:hAnsi="Arial" w:cs="Arial"/>
        </w:rPr>
      </w:pPr>
      <w:r>
        <w:rPr>
          <w:rFonts w:cs="Arial" w:ascii="Arial" w:hAnsi="Arial"/>
        </w:rPr>
        <w:t xml:space="preserve">- на территории, непосредственно прилегающей к жилым и другим зданиям, следует выбирать на расстоянии 2 м от фасада здания, обращенного в сторону источника шума, на уровне 12 м от поверхности земли; для малоэтажных зданий - на уровне окон последнего этажа. </w:t>
      </w:r>
    </w:p>
    <w:p>
      <w:pPr>
        <w:pStyle w:val="5551"/>
        <w:rPr>
          <w:rFonts w:ascii="Arial" w:hAnsi="Arial" w:cs="Arial"/>
        </w:rPr>
      </w:pPr>
      <w:r>
        <w:rPr>
          <w:rFonts w:cs="Arial" w:ascii="Arial" w:hAnsi="Arial"/>
        </w:rPr>
        <w:t>16.6.5.</w:t>
        <w:tab/>
        <w:t xml:space="preserve">Мероприятия по шумовой защите предусматривают: </w:t>
      </w:r>
    </w:p>
    <w:p>
      <w:pPr>
        <w:pStyle w:val="5551"/>
        <w:rPr>
          <w:rFonts w:ascii="Arial" w:hAnsi="Arial" w:cs="Arial"/>
        </w:rPr>
      </w:pPr>
      <w:r>
        <w:rPr>
          <w:rFonts w:cs="Arial" w:ascii="Arial" w:hAnsi="Arial"/>
        </w:rPr>
        <w:t xml:space="preserve">- функциональное зонирование территории с отделением селитебных и рекреационных зон от производственных, коммунально-складских зон и основных транспортных коммуникаций; </w:t>
      </w:r>
    </w:p>
    <w:p>
      <w:pPr>
        <w:pStyle w:val="5551"/>
        <w:rPr>
          <w:rFonts w:ascii="Arial" w:hAnsi="Arial" w:cs="Arial"/>
        </w:rPr>
      </w:pPr>
      <w:r>
        <w:rPr>
          <w:rFonts w:cs="Arial" w:ascii="Arial" w:hAnsi="Arial"/>
        </w:rPr>
        <w:t xml:space="preserve">- устройство санитарно-защитных зон предприятий (в том числе предприятий коммунально-транспортной сферы), автомобильных и железных дорог; </w:t>
      </w:r>
    </w:p>
    <w:p>
      <w:pPr>
        <w:pStyle w:val="5551"/>
        <w:rPr>
          <w:rFonts w:ascii="Arial" w:hAnsi="Arial" w:cs="Arial"/>
        </w:rPr>
      </w:pPr>
      <w:r>
        <w:rPr>
          <w:rFonts w:cs="Arial" w:ascii="Arial" w:hAnsi="Arial"/>
        </w:rPr>
        <w:t xml:space="preserve">- трассировку магистральных дорог скоростного и грузового движения в обход жилых районов и зон отдыха; </w:t>
      </w:r>
    </w:p>
    <w:p>
      <w:pPr>
        <w:pStyle w:val="5551"/>
        <w:rPr>
          <w:rFonts w:ascii="Arial" w:hAnsi="Arial" w:cs="Arial"/>
        </w:rPr>
      </w:pPr>
      <w:r>
        <w:rPr>
          <w:rFonts w:cs="Arial" w:ascii="Arial" w:hAnsi="Arial"/>
        </w:rPr>
        <w:t xml:space="preserve">- дифференциацию улично-дорожной сети по составу транспортных потоков с выделением основного объема грузового движения на специализированных магистралях; </w:t>
      </w:r>
    </w:p>
    <w:p>
      <w:pPr>
        <w:pStyle w:val="5551"/>
        <w:rPr>
          <w:rFonts w:ascii="Arial" w:hAnsi="Arial" w:cs="Arial"/>
        </w:rPr>
      </w:pPr>
      <w:r>
        <w:rPr>
          <w:rFonts w:cs="Arial" w:ascii="Arial" w:hAnsi="Arial"/>
        </w:rPr>
        <w:t xml:space="preserve">- концентрацию транспортных потоков на небольшом числе магистральных улиц с высокой пропускной способностью, проходящих, по возможности, вне жилой застройки (по границам промышленных и коммунально-складских зон, в полосах отвода железных дорог); </w:t>
      </w:r>
    </w:p>
    <w:p>
      <w:pPr>
        <w:pStyle w:val="5551"/>
        <w:rPr>
          <w:rFonts w:ascii="Arial" w:hAnsi="Arial" w:cs="Arial"/>
        </w:rPr>
      </w:pPr>
      <w:r>
        <w:rPr>
          <w:rFonts w:cs="Arial" w:ascii="Arial" w:hAnsi="Arial"/>
        </w:rPr>
        <w:t xml:space="preserve">- укрупнение межмагистральных территорий для отдаления основных массивов застройки от транспортных магистралей; </w:t>
      </w:r>
    </w:p>
    <w:p>
      <w:pPr>
        <w:pStyle w:val="5551"/>
        <w:rPr>
          <w:rFonts w:ascii="Arial" w:hAnsi="Arial" w:cs="Arial"/>
        </w:rPr>
      </w:pPr>
      <w:r>
        <w:rPr>
          <w:rFonts w:cs="Arial" w:ascii="Arial" w:hAnsi="Arial"/>
        </w:rPr>
        <w:t xml:space="preserve">- создание системы парковки автомобилей на границе жилых районов и групп жилых зданий; </w:t>
      </w:r>
    </w:p>
    <w:p>
      <w:pPr>
        <w:pStyle w:val="5551"/>
        <w:rPr>
          <w:rFonts w:ascii="Arial" w:hAnsi="Arial" w:cs="Arial"/>
        </w:rPr>
      </w:pPr>
      <w:r>
        <w:rPr>
          <w:rFonts w:cs="Arial" w:ascii="Arial" w:hAnsi="Arial"/>
        </w:rPr>
        <w:t xml:space="preserve">- формирование общегородской системы зеленых насаждений; - использование шумозащитных экранов в виде естественных или искусственных  элементов рельефа местности при расположении небольшого населенного пункта вблизи магистральной дороги или железной дороги на расстоянии, не обеспечивающем необходимое снижение шума (необходимый эффект достигается при малоэтажной застройке). </w:t>
      </w:r>
    </w:p>
    <w:p>
      <w:pPr>
        <w:pStyle w:val="5551"/>
        <w:rPr>
          <w:rFonts w:ascii="Arial" w:hAnsi="Arial" w:cs="Arial"/>
        </w:rPr>
      </w:pPr>
      <w:r>
        <w:rPr>
          <w:rFonts w:cs="Arial" w:ascii="Arial" w:hAnsi="Arial"/>
        </w:rPr>
        <w:t>16.6.6.</w:t>
        <w:tab/>
        <w:t xml:space="preserve">Источниками вибрации в жилых и общественных зданиях, на территории жилой застройки могут являться инженерные сети и сооружения, установки и оборудование производственных предприятий, транспортные средства, создающие при работе большие динамические нагрузки, которые вызывают распространение вибрации в грунте и строительных конструкциях. </w:t>
      </w:r>
    </w:p>
    <w:p>
      <w:pPr>
        <w:pStyle w:val="5551"/>
        <w:rPr>
          <w:rFonts w:ascii="Arial" w:hAnsi="Arial" w:cs="Arial"/>
        </w:rPr>
      </w:pPr>
      <w:r>
        <w:rPr>
          <w:rFonts w:cs="Arial" w:ascii="Arial" w:hAnsi="Arial"/>
        </w:rPr>
        <w:t>16.6.7.</w:t>
        <w:tab/>
        <w:t>Уровни вибрации в жилых и общественных зданиях, на территории жилой застройки, на рабочих местах не должны превышать значений, установленных действующими нормативными документами.</w:t>
      </w:r>
    </w:p>
    <w:p>
      <w:pPr>
        <w:pStyle w:val="5551"/>
        <w:rPr>
          <w:rFonts w:ascii="Arial" w:hAnsi="Arial" w:cs="Arial"/>
        </w:rPr>
      </w:pPr>
      <w:r>
        <w:rPr>
          <w:rFonts w:cs="Arial" w:ascii="Arial" w:hAnsi="Arial"/>
        </w:rPr>
        <w:t>16.6.8.</w:t>
        <w:tab/>
        <w:t>Мероприятия по защите от вибраций предусматривают:</w:t>
      </w:r>
    </w:p>
    <w:p>
      <w:pPr>
        <w:pStyle w:val="5551"/>
        <w:rPr>
          <w:rFonts w:ascii="Arial" w:hAnsi="Arial" w:cs="Arial"/>
        </w:rPr>
      </w:pPr>
      <w:r>
        <w:rPr>
          <w:rFonts w:cs="Arial" w:ascii="Arial" w:hAnsi="Arial"/>
        </w:rPr>
        <w:t xml:space="preserve">- удаление зданий и сооружений от источников вибрации; </w:t>
      </w:r>
    </w:p>
    <w:p>
      <w:pPr>
        <w:pStyle w:val="5551"/>
        <w:rPr>
          <w:rFonts w:ascii="Arial" w:hAnsi="Arial" w:cs="Arial"/>
        </w:rPr>
      </w:pPr>
      <w:r>
        <w:rPr>
          <w:rFonts w:cs="Arial" w:ascii="Arial" w:hAnsi="Arial"/>
        </w:rPr>
        <w:t xml:space="preserve">- использование методов виброзащиты при проектировании зданий и сооружений; </w:t>
      </w:r>
    </w:p>
    <w:p>
      <w:pPr>
        <w:pStyle w:val="5551"/>
        <w:rPr>
          <w:rFonts w:ascii="Arial" w:hAnsi="Arial" w:cs="Arial"/>
        </w:rPr>
      </w:pPr>
      <w:r>
        <w:rPr>
          <w:rFonts w:cs="Arial" w:ascii="Arial" w:hAnsi="Arial"/>
        </w:rPr>
        <w:t xml:space="preserve">- меры по снижению динамических нагрузок, создаваемых источником вибрации. </w:t>
      </w:r>
    </w:p>
    <w:p>
      <w:pPr>
        <w:pStyle w:val="5551"/>
        <w:rPr>
          <w:rFonts w:ascii="Arial" w:hAnsi="Arial" w:cs="Arial"/>
        </w:rPr>
      </w:pPr>
      <w:r>
        <w:rPr>
          <w:rFonts w:cs="Arial" w:ascii="Arial" w:hAnsi="Arial"/>
        </w:rPr>
        <w:t>16.6.8.</w:t>
        <w:tab/>
        <w:t xml:space="preserve">Снижение вибрации может быть достигнуто: </w:t>
      </w:r>
    </w:p>
    <w:p>
      <w:pPr>
        <w:pStyle w:val="5551"/>
        <w:rPr>
          <w:rFonts w:ascii="Arial" w:hAnsi="Arial" w:cs="Arial"/>
        </w:rPr>
      </w:pPr>
      <w:r>
        <w:rPr>
          <w:rFonts w:cs="Arial" w:ascii="Arial" w:hAnsi="Arial"/>
        </w:rPr>
        <w:t xml:space="preserve">- целесообразным размещением оборудования в зданиях производственных предприятий (в подвальных этажах, удаленных от защищаемых объектов местах, на отдельных фундаментах); </w:t>
      </w:r>
    </w:p>
    <w:p>
      <w:pPr>
        <w:pStyle w:val="5551"/>
        <w:rPr>
          <w:rFonts w:ascii="Arial" w:hAnsi="Arial" w:cs="Arial"/>
        </w:rPr>
      </w:pPr>
      <w:r>
        <w:rPr>
          <w:rFonts w:cs="Arial" w:ascii="Arial" w:hAnsi="Arial"/>
        </w:rPr>
        <w:t xml:space="preserve">- устройством виброизоляции отдельных установок или оборудования; </w:t>
      </w:r>
    </w:p>
    <w:p>
      <w:pPr>
        <w:pStyle w:val="5551"/>
        <w:rPr>
          <w:rFonts w:ascii="Arial" w:hAnsi="Arial" w:cs="Arial"/>
        </w:rPr>
      </w:pPr>
      <w:r>
        <w:rPr>
          <w:rFonts w:cs="Arial" w:ascii="Arial" w:hAnsi="Arial"/>
        </w:rPr>
        <w:t xml:space="preserve">- применением для трубопроводов и коммуникаций: </w:t>
      </w:r>
    </w:p>
    <w:p>
      <w:pPr>
        <w:pStyle w:val="5551"/>
        <w:rPr>
          <w:rFonts w:ascii="Arial" w:hAnsi="Arial" w:cs="Arial"/>
        </w:rPr>
      </w:pPr>
      <w:r>
        <w:rPr>
          <w:rFonts w:cs="Arial" w:ascii="Arial" w:hAnsi="Arial"/>
        </w:rPr>
        <w:t xml:space="preserve">- гибких элементов - в системах, соединенных с источником вибрации; </w:t>
      </w:r>
    </w:p>
    <w:p>
      <w:pPr>
        <w:pStyle w:val="5551"/>
        <w:rPr>
          <w:rFonts w:ascii="Arial" w:hAnsi="Arial" w:cs="Arial"/>
        </w:rPr>
      </w:pPr>
      <w:r>
        <w:rPr>
          <w:rFonts w:cs="Arial" w:ascii="Arial" w:hAnsi="Arial"/>
        </w:rPr>
        <w:t>- мягких прокладок - в местах перехода через ограждающие конструкции и крепления к ограждающим конструкциям.</w:t>
      </w:r>
    </w:p>
    <w:p>
      <w:pPr>
        <w:pStyle w:val="5551"/>
        <w:rPr/>
      </w:pPr>
      <w:r>
        <w:rPr>
          <w:rFonts w:cs="Arial" w:ascii="Arial" w:hAnsi="Arial"/>
        </w:rPr>
        <w:t>16.7.</w:t>
        <w:tab/>
      </w:r>
      <w:r>
        <w:rPr>
          <w:rFonts w:cs="Arial" w:ascii="Arial" w:hAnsi="Arial"/>
          <w:i/>
        </w:rPr>
        <w:t>Защита от элеткромагнитных полей, излучений и облучений.</w:t>
      </w:r>
    </w:p>
    <w:p>
      <w:pPr>
        <w:pStyle w:val="5551"/>
        <w:rPr>
          <w:rFonts w:ascii="Arial" w:hAnsi="Arial" w:cs="Arial"/>
        </w:rPr>
      </w:pPr>
      <w:r>
        <w:rPr>
          <w:rFonts w:cs="Arial" w:ascii="Arial" w:hAnsi="Arial"/>
        </w:rPr>
        <w:t>16.7.1.</w:t>
        <w:tab/>
        <w:t xml:space="preserve">Источниками воздействия на здоровье населения и условия его проживания являются объекты, для которых уровни создаваемого загрязнения превышают предельно допустимые концентрации и уровни, или вклад в загрязнении жилых зон превышает 0,1 ПДК. </w:t>
      </w:r>
    </w:p>
    <w:p>
      <w:pPr>
        <w:pStyle w:val="5551"/>
        <w:rPr>
          <w:rFonts w:ascii="Arial" w:hAnsi="Arial" w:cs="Arial"/>
        </w:rPr>
      </w:pPr>
      <w:r>
        <w:rPr>
          <w:rFonts w:cs="Arial" w:ascii="Arial" w:hAnsi="Arial"/>
        </w:rPr>
        <w:t>16.7.2.</w:t>
        <w:tab/>
        <w:t xml:space="preserve">Специальные требования по защите от электромагнитных полей, излучений и облучений устанавливают для: </w:t>
      </w:r>
    </w:p>
    <w:p>
      <w:pPr>
        <w:pStyle w:val="5551"/>
        <w:rPr>
          <w:rFonts w:ascii="Arial" w:hAnsi="Arial" w:cs="Arial"/>
        </w:rPr>
      </w:pPr>
      <w:r>
        <w:rPr>
          <w:rFonts w:cs="Arial" w:ascii="Arial" w:hAnsi="Arial"/>
        </w:rPr>
        <w:t xml:space="preserve">- стационарных радиотехнических объектов всех типов (включая радиоцентры, радио- и телевизионные станции, радиолокационные и радиорелейные станции, земные станции спутниковой связи, объекты транспорта с базированием мобильных передающих радиотехнических средств при их работе в штатном режиме в местах базирования); </w:t>
      </w:r>
    </w:p>
    <w:p>
      <w:pPr>
        <w:pStyle w:val="5551"/>
        <w:rPr>
          <w:rFonts w:ascii="Arial" w:hAnsi="Arial" w:cs="Arial"/>
        </w:rPr>
      </w:pPr>
      <w:r>
        <w:rPr>
          <w:rFonts w:cs="Arial" w:ascii="Arial" w:hAnsi="Arial"/>
        </w:rPr>
        <w:t xml:space="preserve">- элементов систем сотовой связи и других видов подвижной связи; - видеодисплейных терминалов и мониторов персональных компьютеров; </w:t>
      </w:r>
    </w:p>
    <w:p>
      <w:pPr>
        <w:pStyle w:val="5551"/>
        <w:rPr>
          <w:rFonts w:ascii="Arial" w:hAnsi="Arial" w:cs="Arial"/>
        </w:rPr>
      </w:pPr>
      <w:r>
        <w:rPr>
          <w:rFonts w:cs="Arial" w:ascii="Arial" w:hAnsi="Arial"/>
        </w:rPr>
        <w:t xml:space="preserve">- СВЧ-печей, индукционных печей. </w:t>
      </w:r>
    </w:p>
    <w:p>
      <w:pPr>
        <w:pStyle w:val="5551"/>
        <w:rPr>
          <w:rFonts w:ascii="Arial" w:hAnsi="Arial" w:cs="Arial"/>
        </w:rPr>
      </w:pPr>
      <w:r>
        <w:rPr>
          <w:rFonts w:cs="Arial" w:ascii="Arial" w:hAnsi="Arial"/>
        </w:rPr>
        <w:t>16.7.3.</w:t>
        <w:tab/>
        <w:t xml:space="preserve">Оценка воздействия электромагнитного поля радиочастотного диапазона передающих радиотехнических объектов (ПРТО) на население осуществляется: </w:t>
      </w:r>
    </w:p>
    <w:p>
      <w:pPr>
        <w:pStyle w:val="5551"/>
        <w:rPr>
          <w:rFonts w:ascii="Arial" w:hAnsi="Arial" w:cs="Arial"/>
        </w:rPr>
      </w:pPr>
      <w:r>
        <w:rPr>
          <w:rFonts w:cs="Arial" w:ascii="Arial" w:hAnsi="Arial"/>
        </w:rPr>
        <w:t xml:space="preserve">- в диапазоне частот 30 кГц - 300 МГц - по эффективным значениям напряженности электрического поля (Е), В/м; </w:t>
      </w:r>
    </w:p>
    <w:p>
      <w:pPr>
        <w:pStyle w:val="5551"/>
        <w:rPr>
          <w:rFonts w:ascii="Arial" w:hAnsi="Arial" w:cs="Arial"/>
        </w:rPr>
      </w:pPr>
      <w:r>
        <w:rPr>
          <w:rFonts w:cs="Arial" w:ascii="Arial" w:hAnsi="Arial"/>
        </w:rPr>
        <w:t xml:space="preserve">- в диапазоне частот 300 МГц - 300 ГГц - по средним значениям плотности потока энергии, мкВт/кв. см. </w:t>
      </w:r>
    </w:p>
    <w:p>
      <w:pPr>
        <w:pStyle w:val="5551"/>
        <w:rPr>
          <w:rFonts w:ascii="Arial" w:hAnsi="Arial" w:cs="Arial"/>
        </w:rPr>
      </w:pPr>
      <w:r>
        <w:rPr>
          <w:rFonts w:cs="Arial" w:ascii="Arial" w:hAnsi="Arial"/>
        </w:rPr>
        <w:t>16.7.4.</w:t>
        <w:tab/>
        <w:t xml:space="preserve">Уровни электромагнитного поля, создаваемые ПРТО на селитебной территории, в местах массового отдыха, внутри жилых, общественных и производственных помещений, подвергающихся воздействию внешнего электромагнитного поля радиочастотного диапазона, не должны превышать предельно допустимых уровней (ПДУ) для населения, установленных СанПиН 2.1.8/2.2.4.1383-03 «Гигиенические требования к размещению и эксплуатации передающих радиотехнических объектов», СанПиН 2.1.8/2.2.4.1190-03 Гигиенические требования к размещению и эксплуатации средств сухопутной подвижной радиосвязи», СанПиН 2.1.6.1032-01 «Гигиенические требования к обеспечению качества атмосферного воздуха населенных мест» и приведенных в таблице 16.7. </w:t>
      </w:r>
    </w:p>
    <w:p>
      <w:pPr>
        <w:pStyle w:val="5551"/>
        <w:jc w:val="right"/>
        <w:rPr/>
      </w:pPr>
      <w:r>
        <w:rPr>
          <w:rFonts w:cs="Arial" w:ascii="Arial" w:hAnsi="Arial"/>
          <w:lang w:val="en-US"/>
        </w:rPr>
        <w:t>Таблица</w:t>
      </w:r>
      <w:r>
        <w:rPr>
          <w:rFonts w:cs="Arial" w:ascii="Arial" w:hAnsi="Arial"/>
        </w:rPr>
        <w:t xml:space="preserve"> 16.7.</w:t>
      </w:r>
    </w:p>
    <w:tbl>
      <w:tblPr>
        <w:tblW w:w="10270" w:type="dxa"/>
        <w:jc w:val="left"/>
        <w:tblInd w:w="0" w:type="dxa"/>
        <w:tblBorders>
          <w:top w:val="single" w:sz="4" w:space="0" w:color="00000A"/>
          <w:left w:val="single" w:sz="4" w:space="0" w:color="00000A"/>
          <w:bottom w:val="single" w:sz="4" w:space="0" w:color="00000A"/>
          <w:insideH w:val="single" w:sz="4" w:space="0" w:color="00000A"/>
        </w:tblBorders>
        <w:tblCellMar>
          <w:top w:w="55" w:type="dxa"/>
          <w:left w:w="55" w:type="dxa"/>
          <w:bottom w:w="55" w:type="dxa"/>
          <w:right w:w="55" w:type="dxa"/>
        </w:tblCellMar>
      </w:tblPr>
      <w:tblGrid>
        <w:gridCol w:w="2039"/>
        <w:gridCol w:w="1559"/>
        <w:gridCol w:w="1607"/>
        <w:gridCol w:w="1606"/>
        <w:gridCol w:w="1606"/>
        <w:gridCol w:w="1"/>
        <w:gridCol w:w="1852"/>
      </w:tblGrid>
      <w:tr>
        <w:trPr/>
        <w:tc>
          <w:tcPr>
            <w:tcW w:w="2039"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rFonts w:ascii="Arial" w:hAnsi="Arial" w:cs="Arial"/>
              </w:rPr>
            </w:pPr>
            <w:r>
              <w:rPr>
                <w:rFonts w:cs="Arial" w:ascii="Arial" w:hAnsi="Arial"/>
              </w:rPr>
              <w:t>Диапазон частот</w:t>
            </w:r>
          </w:p>
        </w:tc>
        <w:tc>
          <w:tcPr>
            <w:tcW w:w="1559"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pPr>
            <w:r>
              <w:rPr>
                <w:rFonts w:eastAsia="Times New Roman" w:cs="Arial" w:ascii="Arial" w:hAnsi="Arial"/>
              </w:rPr>
              <w:t xml:space="preserve">30 - 300 </w:t>
            </w:r>
            <w:r>
              <w:rPr>
                <w:rFonts w:eastAsia="TimesNewRoman" w:cs="Arial" w:ascii="Arial" w:hAnsi="Arial"/>
              </w:rPr>
              <w:t>кГц</w:t>
            </w:r>
          </w:p>
        </w:tc>
        <w:tc>
          <w:tcPr>
            <w:tcW w:w="1607"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pPr>
            <w:r>
              <w:rPr>
                <w:rFonts w:eastAsia="Times New Roman" w:cs="Arial" w:ascii="Arial" w:hAnsi="Arial"/>
              </w:rPr>
              <w:t xml:space="preserve">0,3 - 3 </w:t>
            </w:r>
            <w:r>
              <w:rPr>
                <w:rFonts w:eastAsia="TimesNewRoman" w:cs="Arial" w:ascii="Arial" w:hAnsi="Arial"/>
              </w:rPr>
              <w:t>МГц</w:t>
            </w:r>
          </w:p>
        </w:tc>
        <w:tc>
          <w:tcPr>
            <w:tcW w:w="1606"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rFonts w:ascii="Arial" w:hAnsi="Arial" w:cs="Arial"/>
              </w:rPr>
            </w:pPr>
            <w:r>
              <w:rPr>
                <w:rFonts w:cs="Arial" w:ascii="Arial" w:hAnsi="Arial"/>
              </w:rPr>
              <w:t>3 - 30 МГц</w:t>
            </w:r>
          </w:p>
        </w:tc>
        <w:tc>
          <w:tcPr>
            <w:tcW w:w="1606"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pPr>
            <w:r>
              <w:rPr>
                <w:rFonts w:eastAsia="Times New Roman" w:cs="Arial" w:ascii="Arial" w:hAnsi="Arial"/>
              </w:rPr>
              <w:t xml:space="preserve">30 - 300 </w:t>
            </w:r>
            <w:r>
              <w:rPr>
                <w:rFonts w:eastAsia="TimesNewRoman" w:cs="Arial" w:ascii="Arial" w:hAnsi="Arial"/>
              </w:rPr>
              <w:t>МГц</w:t>
            </w:r>
          </w:p>
        </w:tc>
        <w:tc>
          <w:tcPr>
            <w:tcW w:w="185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Style53"/>
              <w:snapToGrid w:val="false"/>
              <w:rPr>
                <w:rFonts w:ascii="Arial" w:hAnsi="Arial" w:cs="Arial"/>
              </w:rPr>
            </w:pPr>
            <w:r>
              <w:rPr>
                <w:rFonts w:cs="Arial" w:ascii="Arial" w:hAnsi="Arial"/>
              </w:rPr>
              <w:t>0,3 - 300 ГГц</w:t>
            </w:r>
          </w:p>
        </w:tc>
      </w:tr>
      <w:tr>
        <w:trPr/>
        <w:tc>
          <w:tcPr>
            <w:tcW w:w="2039" w:type="dxa"/>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rFonts w:ascii="Arial" w:hAnsi="Arial" w:eastAsia="TimesNewRoman" w:cs="Arial"/>
              </w:rPr>
            </w:pPr>
            <w:r>
              <w:rPr>
                <w:rFonts w:eastAsia="TimesNewRoman" w:cs="Arial" w:ascii="Arial" w:hAnsi="Arial"/>
              </w:rPr>
              <w:t>Нормируемый параметр</w:t>
            </w:r>
          </w:p>
        </w:tc>
        <w:tc>
          <w:tcPr>
            <w:tcW w:w="6379" w:type="dxa"/>
            <w:gridSpan w:val="5"/>
            <w:tcBorders>
              <w:top w:val="single" w:sz="4" w:space="0" w:color="00000A"/>
              <w:left w:val="single" w:sz="4" w:space="0" w:color="00000A"/>
              <w:bottom w:val="single" w:sz="4" w:space="0" w:color="00000A"/>
              <w:insideH w:val="single" w:sz="4" w:space="0" w:color="00000A"/>
            </w:tcBorders>
            <w:shd w:fill="EEECE1" w:val="clear"/>
            <w:tcMar>
              <w:left w:w="55" w:type="dxa"/>
            </w:tcMar>
          </w:tcPr>
          <w:p>
            <w:pPr>
              <w:pStyle w:val="Style53"/>
              <w:snapToGrid w:val="false"/>
              <w:rPr/>
            </w:pPr>
            <w:r>
              <w:rPr>
                <w:rFonts w:eastAsia="TimesNewRoman" w:cs="Arial" w:ascii="Arial" w:hAnsi="Arial"/>
              </w:rPr>
              <w:t>Напряженность электрического поля</w:t>
            </w:r>
            <w:r>
              <w:rPr>
                <w:rFonts w:eastAsia="Times New Roman" w:cs="Arial" w:ascii="Arial" w:hAnsi="Arial"/>
              </w:rPr>
              <w:t xml:space="preserve">, </w:t>
            </w:r>
            <w:r>
              <w:rPr>
                <w:rFonts w:eastAsia="TimesNewRoman" w:cs="Arial" w:ascii="Arial" w:hAnsi="Arial"/>
              </w:rPr>
              <w:t xml:space="preserve">Е </w:t>
            </w:r>
            <w:r>
              <w:rPr>
                <w:rFonts w:eastAsia="Times New Roman" w:cs="Arial" w:ascii="Arial" w:hAnsi="Arial"/>
              </w:rPr>
              <w:t>(</w:t>
            </w:r>
            <w:r>
              <w:rPr>
                <w:rFonts w:eastAsia="TimesNewRoman" w:cs="Arial" w:ascii="Arial" w:hAnsi="Arial"/>
              </w:rPr>
              <w:t>В</w:t>
            </w:r>
            <w:r>
              <w:rPr>
                <w:rFonts w:eastAsia="Times New Roman" w:cs="Arial" w:ascii="Arial" w:hAnsi="Arial"/>
              </w:rPr>
              <w:t>/</w:t>
            </w:r>
            <w:r>
              <w:rPr>
                <w:rFonts w:eastAsia="TimesNewRoman" w:cs="Arial" w:ascii="Arial" w:hAnsi="Arial"/>
              </w:rPr>
              <w:t>м</w:t>
            </w:r>
            <w:r>
              <w:rPr>
                <w:rFonts w:eastAsia="Times New Roman" w:cs="Arial" w:ascii="Arial" w:hAnsi="Arial"/>
              </w:rPr>
              <w:t>)</w:t>
            </w:r>
          </w:p>
        </w:tc>
        <w:tc>
          <w:tcPr>
            <w:tcW w:w="185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55" w:type="dxa"/>
            </w:tcMar>
          </w:tcPr>
          <w:p>
            <w:pPr>
              <w:pStyle w:val="Normal"/>
              <w:snapToGrid w:val="false"/>
              <w:spacing w:lineRule="auto" w:line="240" w:before="0" w:after="0"/>
              <w:rPr/>
            </w:pPr>
            <w:r>
              <w:rPr>
                <w:rFonts w:eastAsia="TimesNewRoman" w:cs="Arial" w:ascii="Arial" w:hAnsi="Arial"/>
                <w:sz w:val="24"/>
                <w:szCs w:val="24"/>
              </w:rPr>
              <w:t>Плотность потока энергии</w:t>
            </w:r>
            <w:r>
              <w:rPr>
                <w:rFonts w:cs="Arial" w:ascii="Arial" w:hAnsi="Arial"/>
                <w:sz w:val="24"/>
                <w:szCs w:val="24"/>
              </w:rPr>
              <w:t xml:space="preserve">, </w:t>
            </w:r>
            <w:r>
              <w:rPr>
                <w:rFonts w:eastAsia="TimesNewRoman" w:cs="Arial" w:ascii="Arial" w:hAnsi="Arial"/>
                <w:sz w:val="24"/>
                <w:szCs w:val="24"/>
              </w:rPr>
              <w:t>мкВт</w:t>
            </w:r>
            <w:r>
              <w:rPr>
                <w:rFonts w:cs="Arial" w:ascii="Arial" w:hAnsi="Arial"/>
                <w:sz w:val="24"/>
                <w:szCs w:val="24"/>
              </w:rPr>
              <w:t>/</w:t>
            </w:r>
            <w:r>
              <w:rPr>
                <w:rFonts w:eastAsia="TimesNewRoman" w:cs="Arial" w:ascii="Arial" w:hAnsi="Arial"/>
                <w:sz w:val="24"/>
                <w:szCs w:val="24"/>
              </w:rPr>
              <w:t>скв</w:t>
            </w:r>
            <w:r>
              <w:rPr>
                <w:rFonts w:cs="Arial" w:ascii="Arial" w:hAnsi="Arial"/>
                <w:sz w:val="24"/>
                <w:szCs w:val="24"/>
              </w:rPr>
              <w:t xml:space="preserve">. </w:t>
            </w:r>
            <w:r>
              <w:rPr>
                <w:rFonts w:eastAsia="TimesNewRoman" w:cs="Arial" w:ascii="Arial" w:hAnsi="Arial"/>
                <w:sz w:val="24"/>
                <w:szCs w:val="24"/>
              </w:rPr>
              <w:t>М</w:t>
            </w:r>
          </w:p>
        </w:tc>
      </w:tr>
      <w:tr>
        <w:trPr/>
        <w:tc>
          <w:tcPr>
            <w:tcW w:w="203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Normal"/>
              <w:snapToGrid w:val="false"/>
              <w:spacing w:lineRule="auto" w:line="240" w:before="0" w:after="0"/>
              <w:rPr>
                <w:rFonts w:ascii="Arial" w:hAnsi="Arial" w:eastAsia="TimesNewRoman" w:cs="Arial"/>
                <w:sz w:val="24"/>
                <w:szCs w:val="24"/>
              </w:rPr>
            </w:pPr>
            <w:r>
              <w:rPr>
                <w:rFonts w:eastAsia="TimesNewRoman" w:cs="Arial" w:ascii="Arial" w:hAnsi="Arial"/>
                <w:sz w:val="24"/>
                <w:szCs w:val="24"/>
              </w:rPr>
              <w:t>Предельно допустимые уровни</w:t>
            </w:r>
          </w:p>
        </w:tc>
        <w:tc>
          <w:tcPr>
            <w:tcW w:w="1559"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eastAsia="Times New Roman" w:cs="Arial"/>
              </w:rPr>
            </w:pPr>
            <w:r>
              <w:rPr>
                <w:rFonts w:eastAsia="Times New Roman" w:cs="Arial" w:ascii="Arial" w:hAnsi="Arial"/>
              </w:rPr>
              <w:t>25</w:t>
            </w:r>
          </w:p>
        </w:tc>
        <w:tc>
          <w:tcPr>
            <w:tcW w:w="1607"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15</w:t>
            </w:r>
          </w:p>
        </w:tc>
        <w:tc>
          <w:tcPr>
            <w:tcW w:w="160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10</w:t>
            </w:r>
          </w:p>
        </w:tc>
        <w:tc>
          <w:tcPr>
            <w:tcW w:w="1606" w:type="dxa"/>
            <w:tcBorders>
              <w:top w:val="single" w:sz="4"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3</w:t>
            </w:r>
          </w:p>
        </w:tc>
        <w:tc>
          <w:tcPr>
            <w:tcW w:w="185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tcPr>
          <w:p>
            <w:pPr>
              <w:pStyle w:val="Style53"/>
              <w:snapToGrid w:val="false"/>
              <w:rPr>
                <w:rFonts w:ascii="Arial" w:hAnsi="Arial" w:cs="Arial"/>
              </w:rPr>
            </w:pPr>
            <w:r>
              <w:rPr>
                <w:rFonts w:cs="Arial" w:ascii="Arial" w:hAnsi="Arial"/>
              </w:rPr>
              <w:t>10</w:t>
            </w:r>
          </w:p>
          <w:p>
            <w:pPr>
              <w:pStyle w:val="Style53"/>
              <w:rPr>
                <w:rFonts w:ascii="Arial" w:hAnsi="Arial" w:cs="Arial"/>
              </w:rPr>
            </w:pPr>
            <w:r>
              <w:rPr>
                <w:rFonts w:cs="Arial" w:ascii="Arial" w:hAnsi="Arial"/>
              </w:rPr>
              <w:t>25 &lt;*&gt;</w:t>
            </w:r>
          </w:p>
        </w:tc>
      </w:tr>
    </w:tbl>
    <w:p>
      <w:pPr>
        <w:pStyle w:val="Style46"/>
        <w:tabs>
          <w:tab w:val="left" w:pos="3460" w:leader="none"/>
        </w:tabs>
        <w:overflowPunct w:val="true"/>
        <w:spacing w:lineRule="atLeast" w:line="100" w:before="0" w:after="0"/>
        <w:jc w:val="both"/>
        <w:rPr/>
      </w:pPr>
      <w:r>
        <w:rPr>
          <w:rFonts w:eastAsia="Arial" w:cs="Arial" w:ascii="Arial" w:hAnsi="Arial"/>
          <w:kern w:val="2"/>
          <w:lang w:eastAsia="en-US" w:bidi="ar-SA"/>
        </w:rPr>
        <w:t xml:space="preserve">             </w:t>
      </w:r>
      <w:r>
        <w:rPr>
          <w:rFonts w:cs="Arial" w:ascii="Arial" w:hAnsi="Arial"/>
          <w:color w:val="000000"/>
        </w:rPr>
        <w:t>--------------------------------</w:t>
      </w:r>
    </w:p>
    <w:p>
      <w:pPr>
        <w:pStyle w:val="Style46"/>
        <w:spacing w:lineRule="atLeast" w:line="100" w:before="0" w:after="0"/>
        <w:ind w:left="0" w:right="0" w:firstLine="714"/>
        <w:jc w:val="both"/>
        <w:rPr>
          <w:rFonts w:ascii="Arial" w:hAnsi="Arial" w:cs="Arial"/>
          <w:color w:val="000000"/>
        </w:rPr>
      </w:pPr>
      <w:r>
        <w:rPr>
          <w:rFonts w:cs="Arial" w:ascii="Arial" w:hAnsi="Arial"/>
          <w:color w:val="000000"/>
        </w:rPr>
        <w:t>&lt;*&gt; Для оценки облучения от антенн, работающих в режиме кругового обзора или сканирования.</w:t>
      </w:r>
    </w:p>
    <w:p>
      <w:pPr>
        <w:pStyle w:val="Style46"/>
        <w:spacing w:lineRule="atLeast" w:line="100" w:before="0" w:after="0"/>
        <w:ind w:left="0" w:right="0" w:firstLine="714"/>
        <w:jc w:val="both"/>
        <w:rPr>
          <w:rFonts w:ascii="Arial" w:hAnsi="Arial" w:cs="Arial"/>
          <w:color w:val="000000"/>
        </w:rPr>
      </w:pPr>
      <w:r>
        <w:rPr>
          <w:rFonts w:cs="Arial" w:ascii="Arial" w:hAnsi="Arial"/>
          <w:color w:val="000000"/>
        </w:rPr>
        <w:t>Диапазоны, приведенные в таблице, исключают нижний и включают верхний предел частоты.</w:t>
      </w:r>
    </w:p>
    <w:p>
      <w:pPr>
        <w:pStyle w:val="Style46"/>
        <w:spacing w:lineRule="atLeast" w:line="100" w:before="0" w:after="0"/>
        <w:ind w:left="0" w:right="0" w:firstLine="714"/>
        <w:jc w:val="both"/>
        <w:rPr>
          <w:rFonts w:ascii="Arial" w:hAnsi="Arial" w:cs="Arial"/>
          <w:color w:val="000000"/>
        </w:rPr>
      </w:pPr>
      <w:r>
        <w:rPr>
          <w:rFonts w:cs="Arial" w:ascii="Arial" w:hAnsi="Arial"/>
          <w:color w:val="000000"/>
        </w:rPr>
      </w:r>
    </w:p>
    <w:p>
      <w:pPr>
        <w:pStyle w:val="5551"/>
        <w:rPr>
          <w:rFonts w:ascii="Arial" w:hAnsi="Arial" w:cs="Arial"/>
        </w:rPr>
      </w:pPr>
      <w:r>
        <w:rPr>
          <w:rFonts w:cs="Arial" w:ascii="Arial" w:hAnsi="Arial"/>
        </w:rPr>
        <w:t xml:space="preserve">16.7.5. Оценка воздействия электромагнитных полей на население и пользователей базовых и подвижных станций сухопутной радиосвязи (включая абонентские терминалы спутниковой связи) осуществляется: </w:t>
      </w:r>
    </w:p>
    <w:p>
      <w:pPr>
        <w:pStyle w:val="5551"/>
        <w:rPr>
          <w:rFonts w:ascii="Arial" w:hAnsi="Arial" w:cs="Arial"/>
        </w:rPr>
      </w:pPr>
      <w:r>
        <w:rPr>
          <w:rFonts w:cs="Arial" w:ascii="Arial" w:hAnsi="Arial"/>
        </w:rPr>
        <w:t xml:space="preserve">- в диапазоне частот от 27 МГц до 300 МГц - по значениям напряженности электрического поля, Е (В/м); </w:t>
      </w:r>
    </w:p>
    <w:p>
      <w:pPr>
        <w:pStyle w:val="5551"/>
        <w:rPr>
          <w:rFonts w:ascii="Arial" w:hAnsi="Arial" w:cs="Arial"/>
        </w:rPr>
      </w:pPr>
      <w:r>
        <w:rPr>
          <w:rFonts w:cs="Arial" w:ascii="Arial" w:hAnsi="Arial"/>
        </w:rPr>
        <w:t xml:space="preserve">- в диапазоне частот от 300 МГц до 2400 МГц - по значениям плотности потока энергии, ППЭ (мВт/кв. см, мкВт/кв. см). </w:t>
      </w:r>
    </w:p>
    <w:p>
      <w:pPr>
        <w:pStyle w:val="5551"/>
        <w:rPr>
          <w:rFonts w:ascii="Arial" w:hAnsi="Arial" w:cs="Arial"/>
        </w:rPr>
      </w:pPr>
      <w:r>
        <w:rPr>
          <w:rFonts w:cs="Arial" w:ascii="Arial" w:hAnsi="Arial"/>
        </w:rPr>
        <w:t xml:space="preserve">16.7.6. Уровни электромагнитных полей, создаваемые антеннами базовых станций на территории жилой застройки, внутри жилых, общественных и производственных помещений, не должны превышать следующих значений: </w:t>
      </w:r>
    </w:p>
    <w:p>
      <w:pPr>
        <w:pStyle w:val="5551"/>
        <w:rPr>
          <w:rFonts w:ascii="Arial" w:hAnsi="Arial" w:cs="Arial"/>
        </w:rPr>
      </w:pPr>
      <w:r>
        <w:rPr>
          <w:rFonts w:cs="Arial" w:ascii="Arial" w:hAnsi="Arial"/>
        </w:rPr>
        <w:t xml:space="preserve">- 10,0 В/м - в диапазоне частот 27 МГц - 30 МГц; - 3,0 В/м - в диапазоне частот 30 МГц - 300 МГц; </w:t>
      </w:r>
    </w:p>
    <w:p>
      <w:pPr>
        <w:pStyle w:val="5551"/>
        <w:rPr>
          <w:rFonts w:ascii="Arial" w:hAnsi="Arial" w:cs="Arial"/>
        </w:rPr>
      </w:pPr>
      <w:r>
        <w:rPr>
          <w:rFonts w:cs="Arial" w:ascii="Arial" w:hAnsi="Arial"/>
        </w:rPr>
        <w:t xml:space="preserve">- 10,0 мкВт/кв. см - в диапазоне частот 300 МГц - 2400 МГц. </w:t>
      </w:r>
    </w:p>
    <w:p>
      <w:pPr>
        <w:pStyle w:val="5551"/>
        <w:rPr>
          <w:rFonts w:ascii="Arial" w:hAnsi="Arial" w:cs="Arial"/>
        </w:rPr>
      </w:pPr>
      <w:r>
        <w:rPr>
          <w:rFonts w:cs="Arial" w:ascii="Arial" w:hAnsi="Arial"/>
        </w:rPr>
        <w:t>16.7.7. Максимальные значения уровней  электромагнитного излучения от радиотехнических объектов на различных территориях приведены в таблице 16.8.</w:t>
      </w:r>
    </w:p>
    <w:p>
      <w:pPr>
        <w:pStyle w:val="5551"/>
        <w:jc w:val="right"/>
        <w:rPr>
          <w:rFonts w:ascii="Arial" w:hAnsi="Arial" w:cs="Arial"/>
        </w:rPr>
      </w:pPr>
      <w:r>
        <w:rPr>
          <w:rFonts w:cs="Arial" w:ascii="Arial" w:hAnsi="Arial"/>
        </w:rPr>
        <w:t>Таблица 16.8.</w:t>
      </w:r>
    </w:p>
    <w:tbl>
      <w:tblPr>
        <w:tblW w:w="10357" w:type="dxa"/>
        <w:jc w:val="left"/>
        <w:tblInd w:w="50" w:type="dxa"/>
        <w:tblBorders>
          <w:top w:val="single" w:sz="4" w:space="0" w:color="00000A"/>
          <w:left w:val="single" w:sz="4" w:space="0" w:color="00000A"/>
          <w:bottom w:val="single" w:sz="6" w:space="0" w:color="00000A"/>
          <w:insideH w:val="single" w:sz="6" w:space="0" w:color="00000A"/>
        </w:tblBorders>
        <w:tblCellMar>
          <w:top w:w="55" w:type="dxa"/>
          <w:left w:w="55" w:type="dxa"/>
          <w:bottom w:w="55" w:type="dxa"/>
          <w:right w:w="55" w:type="dxa"/>
        </w:tblCellMar>
      </w:tblPr>
      <w:tblGrid>
        <w:gridCol w:w="5528"/>
        <w:gridCol w:w="4829"/>
      </w:tblGrid>
      <w:tr>
        <w:trPr/>
        <w:tc>
          <w:tcPr>
            <w:tcW w:w="5528" w:type="dxa"/>
            <w:tcBorders>
              <w:top w:val="single" w:sz="4" w:space="0" w:color="00000A"/>
              <w:left w:val="single" w:sz="4" w:space="0" w:color="00000A"/>
              <w:bottom w:val="single" w:sz="6" w:space="0" w:color="00000A"/>
              <w:insideH w:val="single" w:sz="6" w:space="0" w:color="00000A"/>
            </w:tcBorders>
            <w:shd w:fill="EEECE1" w:val="clear"/>
            <w:tcMar>
              <w:left w:w="55" w:type="dxa"/>
            </w:tcMar>
          </w:tcPr>
          <w:p>
            <w:pPr>
              <w:pStyle w:val="Style53"/>
              <w:snapToGrid w:val="false"/>
              <w:jc w:val="center"/>
              <w:rPr>
                <w:rFonts w:ascii="Arial" w:hAnsi="Arial" w:cs="Arial"/>
                <w:b/>
                <w:b/>
              </w:rPr>
            </w:pPr>
            <w:r>
              <w:rPr>
                <w:rFonts w:cs="Arial" w:ascii="Arial" w:hAnsi="Arial"/>
                <w:b/>
              </w:rPr>
              <w:t>Зона</w:t>
            </w:r>
          </w:p>
        </w:tc>
        <w:tc>
          <w:tcPr>
            <w:tcW w:w="4829" w:type="dxa"/>
            <w:tcBorders>
              <w:top w:val="single" w:sz="4" w:space="0" w:color="00000A"/>
              <w:left w:val="single" w:sz="6" w:space="0" w:color="00000A"/>
              <w:bottom w:val="single" w:sz="6" w:space="0" w:color="00000A"/>
              <w:right w:val="single" w:sz="4" w:space="0" w:color="00000A"/>
              <w:insideH w:val="single" w:sz="6" w:space="0" w:color="00000A"/>
              <w:insideV w:val="single" w:sz="4" w:space="0" w:color="00000A"/>
            </w:tcBorders>
            <w:shd w:fill="EEECE1" w:val="clear"/>
            <w:tcMar>
              <w:left w:w="52" w:type="dxa"/>
            </w:tcMar>
          </w:tcPr>
          <w:p>
            <w:pPr>
              <w:pStyle w:val="Normal"/>
              <w:snapToGrid w:val="false"/>
              <w:spacing w:lineRule="auto" w:line="240" w:before="0" w:after="200"/>
              <w:jc w:val="center"/>
              <w:rPr>
                <w:rFonts w:ascii="Arial" w:hAnsi="Arial" w:eastAsia="TimesNewRoman" w:cs="Arial"/>
                <w:b/>
                <w:b/>
                <w:sz w:val="24"/>
                <w:szCs w:val="24"/>
              </w:rPr>
            </w:pPr>
            <w:r>
              <w:rPr>
                <w:rFonts w:eastAsia="TimesNewRoman" w:cs="Arial" w:ascii="Arial" w:hAnsi="Arial"/>
                <w:b/>
                <w:sz w:val="24"/>
                <w:szCs w:val="24"/>
              </w:rPr>
              <w:t>Максимальный уровень электромагнитного излучения от радиотехнических объектов</w:t>
            </w:r>
          </w:p>
        </w:tc>
      </w:tr>
      <w:tr>
        <w:trPr/>
        <w:tc>
          <w:tcPr>
            <w:tcW w:w="5528" w:type="dxa"/>
            <w:tcBorders>
              <w:top w:val="single" w:sz="6" w:space="0" w:color="00000A"/>
              <w:left w:val="single" w:sz="4" w:space="0" w:color="00000A"/>
              <w:bottom w:val="single" w:sz="6" w:space="0" w:color="00000A"/>
              <w:insideH w:val="single" w:sz="6" w:space="0" w:color="00000A"/>
            </w:tcBorders>
            <w:shd w:fill="auto" w:val="clear"/>
            <w:tcMar>
              <w:left w:w="55" w:type="dxa"/>
            </w:tcMar>
          </w:tcPr>
          <w:p>
            <w:pPr>
              <w:pStyle w:val="Normal"/>
              <w:snapToGrid w:val="false"/>
              <w:spacing w:lineRule="auto" w:line="240" w:before="0" w:after="0"/>
              <w:rPr>
                <w:rFonts w:ascii="Arial" w:hAnsi="Arial" w:eastAsia="TimesNewRoman" w:cs="Arial"/>
                <w:sz w:val="24"/>
                <w:szCs w:val="24"/>
              </w:rPr>
            </w:pPr>
            <w:r>
              <w:rPr>
                <w:rFonts w:eastAsia="TimesNewRoman" w:cs="Arial" w:ascii="Arial" w:hAnsi="Arial"/>
                <w:sz w:val="24"/>
                <w:szCs w:val="24"/>
              </w:rPr>
              <w:t>Жилые зоны</w:t>
            </w:r>
          </w:p>
        </w:tc>
        <w:tc>
          <w:tcPr>
            <w:tcW w:w="4829" w:type="dxa"/>
            <w:tcBorders>
              <w:top w:val="single" w:sz="6" w:space="0" w:color="00000A"/>
              <w:left w:val="single" w:sz="6" w:space="0" w:color="00000A"/>
              <w:bottom w:val="single" w:sz="6" w:space="0" w:color="00000A"/>
              <w:right w:val="single" w:sz="4" w:space="0" w:color="00000A"/>
              <w:insideH w:val="single" w:sz="6" w:space="0" w:color="00000A"/>
              <w:insideV w:val="single" w:sz="4" w:space="0" w:color="00000A"/>
            </w:tcBorders>
            <w:shd w:fill="auto" w:val="clear"/>
            <w:tcMar>
              <w:left w:w="52" w:type="dxa"/>
            </w:tcMar>
          </w:tcPr>
          <w:p>
            <w:pPr>
              <w:pStyle w:val="Style53"/>
              <w:snapToGrid w:val="false"/>
              <w:rPr>
                <w:rFonts w:ascii="Arial" w:hAnsi="Arial" w:cs="Arial"/>
              </w:rPr>
            </w:pPr>
            <w:r>
              <w:rPr>
                <w:rFonts w:cs="Arial" w:ascii="Arial" w:hAnsi="Arial"/>
              </w:rPr>
              <w:t>1 ПДУ</w:t>
            </w:r>
          </w:p>
        </w:tc>
      </w:tr>
      <w:tr>
        <w:trPr/>
        <w:tc>
          <w:tcPr>
            <w:tcW w:w="5528" w:type="dxa"/>
            <w:tcBorders>
              <w:top w:val="single" w:sz="6" w:space="0" w:color="00000A"/>
              <w:left w:val="single" w:sz="4" w:space="0" w:color="00000A"/>
              <w:bottom w:val="single" w:sz="6" w:space="0" w:color="00000A"/>
              <w:insideH w:val="single" w:sz="6" w:space="0" w:color="00000A"/>
            </w:tcBorders>
            <w:shd w:fill="auto" w:val="clear"/>
            <w:tcMar>
              <w:left w:w="55" w:type="dxa"/>
            </w:tcMar>
          </w:tcPr>
          <w:p>
            <w:pPr>
              <w:pStyle w:val="Style53"/>
              <w:snapToGrid w:val="false"/>
              <w:rPr/>
            </w:pPr>
            <w:r>
              <w:rPr>
                <w:rFonts w:eastAsia="TimesNewRoman" w:cs="Arial" w:ascii="Arial" w:hAnsi="Arial"/>
              </w:rPr>
              <w:t>Общественно</w:t>
            </w:r>
            <w:r>
              <w:rPr>
                <w:rFonts w:eastAsia="Times New Roman" w:cs="Arial" w:ascii="Arial" w:hAnsi="Arial"/>
              </w:rPr>
              <w:t>-</w:t>
            </w:r>
            <w:r>
              <w:rPr>
                <w:rFonts w:eastAsia="TimesNewRoman" w:cs="Arial" w:ascii="Arial" w:hAnsi="Arial"/>
              </w:rPr>
              <w:t>деловые зоны</w:t>
            </w:r>
          </w:p>
        </w:tc>
        <w:tc>
          <w:tcPr>
            <w:tcW w:w="4829" w:type="dxa"/>
            <w:tcBorders>
              <w:top w:val="single" w:sz="6" w:space="0" w:color="00000A"/>
              <w:left w:val="single" w:sz="6" w:space="0" w:color="00000A"/>
              <w:bottom w:val="single" w:sz="6" w:space="0" w:color="00000A"/>
              <w:right w:val="single" w:sz="4" w:space="0" w:color="00000A"/>
              <w:insideH w:val="single" w:sz="6" w:space="0" w:color="00000A"/>
              <w:insideV w:val="single" w:sz="4" w:space="0" w:color="00000A"/>
            </w:tcBorders>
            <w:shd w:fill="auto" w:val="clear"/>
            <w:tcMar>
              <w:left w:w="52" w:type="dxa"/>
            </w:tcMar>
          </w:tcPr>
          <w:p>
            <w:pPr>
              <w:pStyle w:val="Style53"/>
              <w:snapToGrid w:val="false"/>
              <w:rPr>
                <w:rFonts w:ascii="Arial" w:hAnsi="Arial" w:eastAsia="TimesNewRoman" w:cs="Arial"/>
              </w:rPr>
            </w:pPr>
            <w:r>
              <w:rPr>
                <w:rFonts w:eastAsia="TimesNewRoman" w:cs="Arial" w:ascii="Arial" w:hAnsi="Arial"/>
              </w:rPr>
              <w:t>То же</w:t>
            </w:r>
          </w:p>
        </w:tc>
      </w:tr>
      <w:tr>
        <w:trPr/>
        <w:tc>
          <w:tcPr>
            <w:tcW w:w="5528" w:type="dxa"/>
            <w:tcBorders>
              <w:top w:val="single" w:sz="6" w:space="0" w:color="00000A"/>
              <w:left w:val="single" w:sz="4" w:space="0" w:color="00000A"/>
              <w:bottom w:val="single" w:sz="6" w:space="0" w:color="00000A"/>
              <w:insideH w:val="single" w:sz="6" w:space="0" w:color="00000A"/>
            </w:tcBorders>
            <w:shd w:fill="auto" w:val="clear"/>
            <w:tcMar>
              <w:left w:w="55" w:type="dxa"/>
            </w:tcMar>
          </w:tcPr>
          <w:p>
            <w:pPr>
              <w:pStyle w:val="Style53"/>
              <w:snapToGrid w:val="false"/>
              <w:rPr>
                <w:rFonts w:ascii="Arial" w:hAnsi="Arial" w:eastAsia="TimesNewRoman" w:cs="Arial"/>
              </w:rPr>
            </w:pPr>
            <w:r>
              <w:rPr>
                <w:rFonts w:eastAsia="TimesNewRoman" w:cs="Arial" w:ascii="Arial" w:hAnsi="Arial"/>
              </w:rPr>
              <w:t>Производственные зоны</w:t>
            </w:r>
          </w:p>
        </w:tc>
        <w:tc>
          <w:tcPr>
            <w:tcW w:w="4829" w:type="dxa"/>
            <w:tcBorders>
              <w:top w:val="single" w:sz="6" w:space="0" w:color="00000A"/>
              <w:left w:val="single" w:sz="6" w:space="0" w:color="00000A"/>
              <w:bottom w:val="single" w:sz="6" w:space="0" w:color="00000A"/>
              <w:right w:val="single" w:sz="4" w:space="0" w:color="00000A"/>
              <w:insideH w:val="single" w:sz="6" w:space="0" w:color="00000A"/>
              <w:insideV w:val="single" w:sz="4" w:space="0" w:color="00000A"/>
            </w:tcBorders>
            <w:shd w:fill="auto" w:val="clear"/>
            <w:tcMar>
              <w:left w:w="52" w:type="dxa"/>
            </w:tcMar>
          </w:tcPr>
          <w:p>
            <w:pPr>
              <w:pStyle w:val="Style53"/>
              <w:snapToGrid w:val="false"/>
              <w:rPr>
                <w:rFonts w:ascii="Arial" w:hAnsi="Arial" w:cs="Arial"/>
              </w:rPr>
            </w:pPr>
            <w:r>
              <w:rPr>
                <w:rFonts w:cs="Arial" w:ascii="Arial" w:hAnsi="Arial"/>
              </w:rPr>
              <w:t>Нормируется по границе объединенной С33</w:t>
            </w:r>
          </w:p>
          <w:p>
            <w:pPr>
              <w:pStyle w:val="Style53"/>
              <w:snapToGrid w:val="false"/>
              <w:rPr>
                <w:rFonts w:ascii="Arial" w:hAnsi="Arial" w:cs="Arial"/>
              </w:rPr>
            </w:pPr>
            <w:r>
              <w:rPr>
                <w:rFonts w:cs="Arial" w:ascii="Arial" w:hAnsi="Arial"/>
              </w:rPr>
              <w:t>1 ПДУ</w:t>
            </w:r>
          </w:p>
        </w:tc>
      </w:tr>
      <w:tr>
        <w:trPr/>
        <w:tc>
          <w:tcPr>
            <w:tcW w:w="5528" w:type="dxa"/>
            <w:tcBorders>
              <w:top w:val="single" w:sz="6" w:space="0" w:color="00000A"/>
              <w:left w:val="single" w:sz="4" w:space="0" w:color="00000A"/>
              <w:bottom w:val="single" w:sz="6" w:space="0" w:color="00000A"/>
              <w:insideH w:val="single" w:sz="6" w:space="0" w:color="00000A"/>
            </w:tcBorders>
            <w:shd w:fill="auto" w:val="clear"/>
            <w:tcMar>
              <w:left w:w="55" w:type="dxa"/>
            </w:tcMar>
          </w:tcPr>
          <w:p>
            <w:pPr>
              <w:pStyle w:val="Style53"/>
              <w:snapToGrid w:val="false"/>
              <w:rPr>
                <w:rFonts w:ascii="Arial" w:hAnsi="Arial" w:cs="Arial"/>
              </w:rPr>
            </w:pPr>
            <w:r>
              <w:rPr>
                <w:rFonts w:cs="Arial" w:ascii="Arial" w:hAnsi="Arial"/>
              </w:rPr>
              <w:t>Рекреационные зоны, в т.ч. места массового отдыхаьнаселения, территории лечебно-профилактических учреждений длительного</w:t>
            </w:r>
          </w:p>
          <w:p>
            <w:pPr>
              <w:pStyle w:val="Style53"/>
              <w:rPr>
                <w:rFonts w:ascii="Arial" w:hAnsi="Arial" w:cs="Arial"/>
              </w:rPr>
            </w:pPr>
            <w:r>
              <w:rPr>
                <w:rFonts w:cs="Arial" w:ascii="Arial" w:hAnsi="Arial"/>
              </w:rPr>
              <w:t>пребывания больных и центров реабилитации</w:t>
            </w:r>
          </w:p>
        </w:tc>
        <w:tc>
          <w:tcPr>
            <w:tcW w:w="4829" w:type="dxa"/>
            <w:tcBorders>
              <w:top w:val="single" w:sz="6" w:space="0" w:color="00000A"/>
              <w:left w:val="single" w:sz="6" w:space="0" w:color="00000A"/>
              <w:bottom w:val="single" w:sz="6" w:space="0" w:color="00000A"/>
              <w:right w:val="single" w:sz="4" w:space="0" w:color="00000A"/>
              <w:insideH w:val="single" w:sz="6" w:space="0" w:color="00000A"/>
              <w:insideV w:val="single" w:sz="4" w:space="0" w:color="00000A"/>
            </w:tcBorders>
            <w:shd w:fill="auto" w:val="clear"/>
            <w:tcMar>
              <w:left w:w="52" w:type="dxa"/>
            </w:tcMar>
          </w:tcPr>
          <w:p>
            <w:pPr>
              <w:pStyle w:val="Style53"/>
              <w:snapToGrid w:val="false"/>
              <w:rPr/>
            </w:pPr>
            <w:r>
              <w:rPr>
                <w:rFonts w:eastAsia="Times New Roman" w:cs="Arial" w:ascii="Arial" w:hAnsi="Arial"/>
              </w:rPr>
              <w:t xml:space="preserve">1 </w:t>
            </w:r>
            <w:r>
              <w:rPr>
                <w:rFonts w:eastAsia="TimesNewRoman" w:cs="Arial" w:ascii="Arial" w:hAnsi="Arial"/>
              </w:rPr>
              <w:t>ПДУ</w:t>
            </w:r>
          </w:p>
        </w:tc>
      </w:tr>
      <w:tr>
        <w:trPr/>
        <w:tc>
          <w:tcPr>
            <w:tcW w:w="5528" w:type="dxa"/>
            <w:tcBorders>
              <w:top w:val="single" w:sz="6" w:space="0" w:color="00000A"/>
              <w:left w:val="single" w:sz="4" w:space="0" w:color="00000A"/>
              <w:bottom w:val="single" w:sz="6" w:space="0" w:color="00000A"/>
              <w:insideH w:val="single" w:sz="6" w:space="0" w:color="00000A"/>
            </w:tcBorders>
            <w:shd w:fill="auto" w:val="clear"/>
            <w:tcMar>
              <w:left w:w="55" w:type="dxa"/>
            </w:tcMar>
          </w:tcPr>
          <w:p>
            <w:pPr>
              <w:pStyle w:val="Style53"/>
              <w:snapToGrid w:val="false"/>
              <w:rPr>
                <w:rFonts w:ascii="Arial" w:hAnsi="Arial" w:cs="Arial"/>
              </w:rPr>
            </w:pPr>
            <w:r>
              <w:rPr>
                <w:rFonts w:cs="Arial" w:ascii="Arial" w:hAnsi="Arial"/>
              </w:rPr>
              <w:t>Зона особо охраняемых природных территорий</w:t>
            </w:r>
          </w:p>
        </w:tc>
        <w:tc>
          <w:tcPr>
            <w:tcW w:w="4829" w:type="dxa"/>
            <w:tcBorders>
              <w:top w:val="single" w:sz="6" w:space="0" w:color="00000A"/>
              <w:left w:val="single" w:sz="6" w:space="0" w:color="00000A"/>
              <w:bottom w:val="single" w:sz="6" w:space="0" w:color="00000A"/>
              <w:right w:val="single" w:sz="4" w:space="0" w:color="00000A"/>
              <w:insideH w:val="single" w:sz="6" w:space="0" w:color="00000A"/>
              <w:insideV w:val="single" w:sz="4" w:space="0" w:color="00000A"/>
            </w:tcBorders>
            <w:shd w:fill="auto" w:val="clear"/>
            <w:tcMar>
              <w:left w:w="52" w:type="dxa"/>
            </w:tcMar>
          </w:tcPr>
          <w:p>
            <w:pPr>
              <w:pStyle w:val="Style53"/>
              <w:snapToGrid w:val="false"/>
              <w:rPr/>
            </w:pPr>
            <w:r>
              <w:rPr>
                <w:rFonts w:eastAsia="Times New Roman" w:cs="Arial" w:ascii="Arial" w:hAnsi="Arial"/>
              </w:rPr>
              <w:t xml:space="preserve">1 </w:t>
            </w:r>
            <w:r>
              <w:rPr>
                <w:rFonts w:eastAsia="TimesNewRoman" w:cs="Arial" w:ascii="Arial" w:hAnsi="Arial"/>
              </w:rPr>
              <w:t>ПДУ</w:t>
            </w:r>
          </w:p>
        </w:tc>
      </w:tr>
      <w:tr>
        <w:trPr/>
        <w:tc>
          <w:tcPr>
            <w:tcW w:w="5528" w:type="dxa"/>
            <w:tcBorders>
              <w:top w:val="single" w:sz="6" w:space="0" w:color="00000A"/>
              <w:left w:val="single" w:sz="4" w:space="0" w:color="00000A"/>
              <w:bottom w:val="single" w:sz="4" w:space="0" w:color="00000A"/>
              <w:insideH w:val="single" w:sz="4" w:space="0" w:color="00000A"/>
            </w:tcBorders>
            <w:shd w:fill="auto" w:val="clear"/>
            <w:tcMar>
              <w:left w:w="55" w:type="dxa"/>
            </w:tcMar>
          </w:tcPr>
          <w:p>
            <w:pPr>
              <w:pStyle w:val="Style53"/>
              <w:snapToGrid w:val="false"/>
              <w:rPr>
                <w:rFonts w:ascii="Arial" w:hAnsi="Arial" w:cs="Arial"/>
              </w:rPr>
            </w:pPr>
            <w:r>
              <w:rPr>
                <w:rFonts w:cs="Arial" w:ascii="Arial" w:hAnsi="Arial"/>
              </w:rPr>
              <w:t>Зоны сельскохозяйственного использования</w:t>
            </w:r>
          </w:p>
        </w:tc>
        <w:tc>
          <w:tcPr>
            <w:tcW w:w="4829" w:type="dxa"/>
            <w:tcBorders>
              <w:top w:val="single" w:sz="6" w:space="0" w:color="00000A"/>
              <w:left w:val="single" w:sz="6" w:space="0" w:color="00000A"/>
              <w:bottom w:val="single" w:sz="4" w:space="0" w:color="00000A"/>
              <w:right w:val="single" w:sz="4" w:space="0" w:color="00000A"/>
              <w:insideH w:val="single" w:sz="4" w:space="0" w:color="00000A"/>
              <w:insideV w:val="single" w:sz="4" w:space="0" w:color="00000A"/>
            </w:tcBorders>
            <w:shd w:fill="auto" w:val="clear"/>
            <w:tcMar>
              <w:left w:w="52" w:type="dxa"/>
            </w:tcMar>
          </w:tcPr>
          <w:p>
            <w:pPr>
              <w:pStyle w:val="Style53"/>
              <w:snapToGrid w:val="false"/>
              <w:rPr>
                <w:rFonts w:ascii="Arial" w:hAnsi="Arial" w:cs="Arial"/>
              </w:rPr>
            </w:pPr>
            <w:r>
              <w:rPr>
                <w:rFonts w:cs="Arial" w:ascii="Arial" w:hAnsi="Arial"/>
              </w:rPr>
              <w:t>1 ПДУ</w:t>
            </w:r>
          </w:p>
        </w:tc>
      </w:tr>
    </w:tbl>
    <w:p>
      <w:pPr>
        <w:pStyle w:val="5551"/>
        <w:rPr>
          <w:rFonts w:ascii="Arial" w:hAnsi="Arial" w:cs="Arial"/>
        </w:rPr>
      </w:pPr>
      <w:r>
        <w:rPr>
          <w:rFonts w:cs="Arial" w:ascii="Arial" w:hAnsi="Arial"/>
        </w:rPr>
        <w:t xml:space="preserve">16.7.8. При одновременном облучении от нескольких источников должны соблюдаться условия СанПиН 2.1.8/2.2.4.1383-03 «Гигиенические требования к размещению и эксплуатации передающих радиотехнических объектов», СанПиН 2.1.8/2.2.4.1190-03 Гигиенические требования к размещению и эксплуатации средств сухопутной подвижной радиосвязи». </w:t>
      </w:r>
    </w:p>
    <w:p>
      <w:pPr>
        <w:pStyle w:val="5551"/>
        <w:rPr>
          <w:rFonts w:ascii="Arial" w:hAnsi="Arial" w:cs="Arial"/>
        </w:rPr>
      </w:pPr>
      <w:r>
        <w:rPr>
          <w:rFonts w:cs="Arial" w:ascii="Arial" w:hAnsi="Arial"/>
        </w:rPr>
        <w:t xml:space="preserve">16.7.9. При размещении антенн радиолюбительских радиостанций (РРС) диапазона 3 - 30 МГц, радиостанций гражданского диапазона частот 26,5 - 27,5 МГц (РГД) с эффективной излучаемой мощностью более 100 Вт до 1000 Вт включительно должна быть обеспечена невозможность доступа людей в зону установки антенны на расстояние ближе 10 м. Рекомендуется размещение антенн на отдельно стоящих опорах и мачтах. При установке на здании антенна должна быть смонтирована на высоте не менее 1,5 м над крышей при обеспечении расстояния от любой ее точки до соседних строений не менее 10 м для любого типа антенны и любого направления излучения. </w:t>
      </w:r>
    </w:p>
    <w:p>
      <w:pPr>
        <w:pStyle w:val="5551"/>
        <w:rPr>
          <w:rFonts w:ascii="Arial" w:hAnsi="Arial" w:cs="Arial"/>
        </w:rPr>
      </w:pPr>
      <w:r>
        <w:rPr>
          <w:rFonts w:cs="Arial" w:ascii="Arial" w:hAnsi="Arial"/>
        </w:rPr>
        <w:t xml:space="preserve">16.7.10. При размещении антенн РРС и РГД с эффективной излучаемой мощностью от 1000 до 5000 Вт должна быть обеспечена невозможность доступа людей и отсутствие соседних строений на расстоянии не менее 25 м от любой точки антенны независимо от ее типа и направления излучения. Рекомендуется размещение антенн на отдельно стоящих опорах и мачтах. При установке на крыше здания антенна должна монтироваться на высоте не менее 5 м от крыши. </w:t>
      </w:r>
    </w:p>
    <w:p>
      <w:pPr>
        <w:pStyle w:val="5551"/>
        <w:rPr>
          <w:rFonts w:ascii="Arial" w:hAnsi="Arial" w:cs="Arial"/>
        </w:rPr>
      </w:pPr>
      <w:r>
        <w:rPr>
          <w:rFonts w:cs="Arial" w:ascii="Arial" w:hAnsi="Arial"/>
        </w:rPr>
        <w:t xml:space="preserve">16.7.11. В целях защиты населения от воздействия электромагнитных полей, создаваемых антеннами ПРТО, устанавливаются санитарно-защитные зоны и зоны ограничения застройки с учетом перспективного развития ПРТО (за исключением случаев размещения одной стационарной радиостанции с эффективной излучаемой мощностью не более 10 Вт вне здания). </w:t>
      </w:r>
    </w:p>
    <w:p>
      <w:pPr>
        <w:pStyle w:val="5551"/>
        <w:rPr/>
      </w:pPr>
      <w:r>
        <w:rPr>
          <w:rFonts w:eastAsia="Arial" w:cs="Arial" w:ascii="Arial" w:hAnsi="Arial"/>
        </w:rPr>
        <w:t xml:space="preserve"> </w:t>
      </w:r>
      <w:r>
        <w:rPr>
          <w:rFonts w:cs="Arial" w:ascii="Arial" w:hAnsi="Arial"/>
        </w:rPr>
        <w:t xml:space="preserve">16.7.12. Границы санитарно-защитной зоны определяются на высоте 2 м от поверхности земли по ПДУ, указанным в таблице 16.8. </w:t>
      </w:r>
    </w:p>
    <w:p>
      <w:pPr>
        <w:pStyle w:val="5551"/>
        <w:rPr>
          <w:rFonts w:ascii="Arial" w:hAnsi="Arial" w:cs="Arial"/>
        </w:rPr>
      </w:pPr>
      <w:r>
        <w:rPr>
          <w:rFonts w:cs="Arial" w:ascii="Arial" w:hAnsi="Arial"/>
        </w:rPr>
        <w:t xml:space="preserve">Зона ограничения застройки представляет собой территорию, на внешних границах которой на высоте от поверхности земли более 2 м уровни электромагнитных полей превышают ПДУ. Внешняя граница зоны ограничения застройки определяется по максимальной высоте зданий перспективной застройки, на высоте верхнего этажа которых уровень электромагнитных полей не превышает ПДУ. </w:t>
      </w:r>
    </w:p>
    <w:p>
      <w:pPr>
        <w:pStyle w:val="5551"/>
        <w:rPr>
          <w:rFonts w:ascii="Arial" w:hAnsi="Arial" w:cs="Arial"/>
        </w:rPr>
      </w:pPr>
      <w:bookmarkStart w:id="67" w:name="page453"/>
      <w:bookmarkEnd w:id="67"/>
      <w:r>
        <w:rPr>
          <w:rFonts w:cs="Arial" w:ascii="Arial" w:hAnsi="Arial"/>
        </w:rPr>
        <w:t>При определении границ санитарно-защитных зон и зон ограничения следует учитывать необходимость защиты от воздействия вторичного электромагнитного поля, переизлучаемого элементами конструкции здания, коммуникациями, внутренней проводкой и т.д.</w:t>
      </w:r>
    </w:p>
    <w:p>
      <w:pPr>
        <w:pStyle w:val="5551"/>
        <w:rPr>
          <w:rFonts w:ascii="Arial" w:hAnsi="Arial" w:cs="Arial"/>
        </w:rPr>
      </w:pPr>
      <w:r>
        <w:rPr>
          <w:rFonts w:cs="Arial" w:ascii="Arial" w:hAnsi="Arial"/>
        </w:rPr>
        <w:t xml:space="preserve">16.7.13. Санитарно-защитная зона и зона ограничения застройки не могут использоваться в качестве территории жилой застройки, для размещения коллективных или индивидуальных дачных и садово-огородных участков, площадок для стоянки и остановки всех видов транспорта, предприятий по обслуживанию автомобилей, бензозаправочных станций, складов нефти и нефтепродуктов и т.п., а также не могут рассматриваться как резервная территория предприятия и использоваться для расширения промышленной площадки. </w:t>
      </w:r>
    </w:p>
    <w:p>
      <w:pPr>
        <w:pStyle w:val="5551"/>
        <w:rPr>
          <w:rFonts w:ascii="Arial" w:hAnsi="Arial" w:cs="Arial"/>
        </w:rPr>
      </w:pPr>
      <w:r>
        <w:rPr>
          <w:rFonts w:cs="Arial" w:ascii="Arial" w:hAnsi="Arial"/>
        </w:rPr>
        <w:t xml:space="preserve">16.7.14. ПДУ электромагнитного поля для потребительской продукции (в том числе видеодисплейных терминалов, СВЧ и индукционных печей) устанавливаются в соответствии с действующими правилами и нормами. </w:t>
      </w:r>
    </w:p>
    <w:p>
      <w:pPr>
        <w:pStyle w:val="5551"/>
        <w:rPr>
          <w:rFonts w:ascii="Arial" w:hAnsi="Arial" w:cs="Arial"/>
        </w:rPr>
      </w:pPr>
      <w:r>
        <w:rPr>
          <w:rFonts w:cs="Arial" w:ascii="Arial" w:hAnsi="Arial"/>
        </w:rPr>
        <w:t xml:space="preserve">16.7.15. Для населения отдельно нормируется предельно допустимые уровни напряженности электрического поля, создаваемого высоковольтными воздушными линиями электропередачи тока промышленной частоты. В зависимости от условий облучения ПДУ устанавливаются, кВ/м: </w:t>
      </w:r>
    </w:p>
    <w:p>
      <w:pPr>
        <w:pStyle w:val="5551"/>
        <w:rPr>
          <w:rFonts w:ascii="Arial" w:hAnsi="Arial" w:cs="Arial"/>
        </w:rPr>
      </w:pPr>
      <w:r>
        <w:rPr>
          <w:rFonts w:cs="Arial" w:ascii="Arial" w:hAnsi="Arial"/>
        </w:rPr>
        <w:t xml:space="preserve">- 0,5 - внутри жилых зданий; - 1 - на территории зоны жилой застройки; </w:t>
      </w:r>
    </w:p>
    <w:p>
      <w:pPr>
        <w:pStyle w:val="5551"/>
        <w:rPr>
          <w:rFonts w:ascii="Arial" w:hAnsi="Arial" w:cs="Arial"/>
        </w:rPr>
      </w:pPr>
      <w:r>
        <w:rPr>
          <w:rFonts w:cs="Arial" w:ascii="Arial" w:hAnsi="Arial"/>
        </w:rPr>
        <w:t xml:space="preserve">- 5 - в населенной местности, вне зоны жилой застройки (земли в пределах границ перспективного развития населенных пунктов на 10 лет, пригородные и зеленые зоны, курорты), а также на территории размещения коллективных или индивидуальных дачных и садово-огородных участков; </w:t>
      </w:r>
    </w:p>
    <w:p>
      <w:pPr>
        <w:pStyle w:val="5551"/>
        <w:rPr/>
      </w:pPr>
      <w:r>
        <w:rPr>
          <w:rFonts w:cs="Arial" w:ascii="Arial" w:hAnsi="Arial"/>
        </w:rPr>
        <w:t xml:space="preserve">- 10 - на участках пересечения воздушных линий с автомобильными дорогами </w:t>
      </w:r>
      <w:r>
        <w:rPr>
          <w:rFonts w:cs="Arial" w:ascii="Arial" w:hAnsi="Arial"/>
          <w:lang w:val="en-US"/>
        </w:rPr>
        <w:t>I</w:t>
      </w:r>
      <w:r>
        <w:rPr>
          <w:rFonts w:cs="Arial" w:ascii="Arial" w:hAnsi="Arial"/>
        </w:rPr>
        <w:t xml:space="preserve"> - </w:t>
      </w:r>
      <w:r>
        <w:rPr>
          <w:rFonts w:cs="Arial" w:ascii="Arial" w:hAnsi="Arial"/>
          <w:lang w:val="en-US"/>
        </w:rPr>
        <w:t>IV</w:t>
      </w:r>
      <w:r>
        <w:rPr>
          <w:rFonts w:cs="Arial" w:ascii="Arial" w:hAnsi="Arial"/>
        </w:rPr>
        <w:t xml:space="preserve"> категории; </w:t>
      </w:r>
    </w:p>
    <w:p>
      <w:pPr>
        <w:pStyle w:val="5551"/>
        <w:rPr>
          <w:rFonts w:ascii="Arial" w:hAnsi="Arial" w:cs="Arial"/>
        </w:rPr>
      </w:pPr>
      <w:r>
        <w:rPr>
          <w:rFonts w:cs="Arial" w:ascii="Arial" w:hAnsi="Arial"/>
        </w:rPr>
        <w:t xml:space="preserve">- 15 - в ненаселенной местности (незастроенные местности, доступные для транспорта и сельскохозяйственные угодья); </w:t>
      </w:r>
    </w:p>
    <w:p>
      <w:pPr>
        <w:pStyle w:val="5551"/>
        <w:rPr>
          <w:rFonts w:ascii="Arial" w:hAnsi="Arial" w:cs="Arial"/>
        </w:rPr>
      </w:pPr>
      <w:r>
        <w:rPr>
          <w:rFonts w:cs="Arial" w:ascii="Arial" w:hAnsi="Arial"/>
        </w:rPr>
        <w:t xml:space="preserve">- 20 - в труднодоступной местности (не доступной для транспорта и сельскохозяйственных машин) и на участках, специально огороженных для исключения доступа населения. </w:t>
      </w:r>
    </w:p>
    <w:p>
      <w:pPr>
        <w:pStyle w:val="5551"/>
        <w:rPr>
          <w:rFonts w:ascii="Arial" w:hAnsi="Arial" w:cs="Arial"/>
        </w:rPr>
      </w:pPr>
      <w:r>
        <w:rPr>
          <w:rFonts w:cs="Arial" w:ascii="Arial" w:hAnsi="Arial"/>
        </w:rPr>
        <w:t xml:space="preserve">16.7.16. Мероприятия по защите населения от электромагнитных полей, излучений и облучений следует предусматривать: </w:t>
      </w:r>
    </w:p>
    <w:p>
      <w:pPr>
        <w:pStyle w:val="5551"/>
        <w:rPr>
          <w:rFonts w:ascii="Arial" w:hAnsi="Arial" w:cs="Arial"/>
        </w:rPr>
      </w:pPr>
      <w:r>
        <w:rPr>
          <w:rFonts w:cs="Arial" w:ascii="Arial" w:hAnsi="Arial"/>
        </w:rPr>
        <w:t xml:space="preserve">- рациональное размещение источников электромагнитного поля и применение средств защиты, в том числе экранирование источников; </w:t>
      </w:r>
    </w:p>
    <w:p>
      <w:pPr>
        <w:pStyle w:val="5551"/>
        <w:rPr>
          <w:rFonts w:ascii="Arial" w:hAnsi="Arial" w:cs="Arial"/>
        </w:rPr>
      </w:pPr>
      <w:r>
        <w:rPr>
          <w:rFonts w:cs="Arial" w:ascii="Arial" w:hAnsi="Arial"/>
        </w:rPr>
        <w:t xml:space="preserve">- уменьшение излучаемой мощности передатчиков и антенн; </w:t>
      </w:r>
    </w:p>
    <w:p>
      <w:pPr>
        <w:pStyle w:val="5551"/>
        <w:rPr>
          <w:rFonts w:ascii="Arial" w:hAnsi="Arial" w:cs="Arial"/>
        </w:rPr>
      </w:pPr>
      <w:r>
        <w:rPr>
          <w:rFonts w:cs="Arial" w:ascii="Arial" w:hAnsi="Arial"/>
        </w:rPr>
        <w:t>- ограничение доступа к источникам излучения, в том числе вторичного излучения (сетям, конструкциям зданий, коммуникациям);</w:t>
      </w:r>
    </w:p>
    <w:p>
      <w:pPr>
        <w:pStyle w:val="5551"/>
        <w:rPr/>
      </w:pPr>
      <w:r>
        <w:rPr>
          <w:rFonts w:eastAsia="Arial" w:cs="Arial" w:ascii="Arial" w:hAnsi="Arial"/>
        </w:rPr>
        <w:t xml:space="preserve"> </w:t>
      </w:r>
      <w:r>
        <w:rPr>
          <w:rFonts w:cs="Arial" w:ascii="Arial" w:hAnsi="Arial"/>
        </w:rPr>
        <w:t>- устройство санитарно-защитных зон от высоковольтных воздушных линий.</w:t>
      </w:r>
    </w:p>
    <w:p>
      <w:pPr>
        <w:pStyle w:val="5551"/>
        <w:rPr>
          <w:rFonts w:ascii="Arial" w:hAnsi="Arial" w:cs="Arial"/>
        </w:rPr>
      </w:pPr>
      <w:r>
        <w:rPr>
          <w:rFonts w:cs="Arial" w:ascii="Arial" w:hAnsi="Arial"/>
        </w:rPr>
        <w:t>16.7.17. Отводу территорий под жилищное строительство должно предшествовать получение информации о состояний гамма-фона и наличии (отсутствии) радиоактивного излучения на участке предполагаемой застройки. При наличии радиоактивного излучения в пределах участка предполагаемой жилой застройки должны быть проведены дезактивационные работы, рекультивация территории с соблюдением действующих требований.</w:t>
      </w:r>
    </w:p>
    <w:p>
      <w:pPr>
        <w:pStyle w:val="5551"/>
        <w:rPr>
          <w:rFonts w:ascii="Arial" w:hAnsi="Arial" w:cs="Arial"/>
        </w:rPr>
      </w:pPr>
      <w:r>
        <w:rPr>
          <w:rFonts w:cs="Arial" w:ascii="Arial" w:hAnsi="Arial"/>
        </w:rPr>
        <w:t>16.7.18. Размещение объектов, предназначенных для работы с источниками ионизирующих излучений, осуществляется в соответствии с требованиями нормативно-технической документации.</w:t>
      </w:r>
    </w:p>
    <w:p>
      <w:pPr>
        <w:pStyle w:val="5551"/>
        <w:rPr/>
      </w:pPr>
      <w:r>
        <w:rPr>
          <w:rFonts w:cs="Arial" w:ascii="Arial" w:hAnsi="Arial"/>
        </w:rPr>
        <w:t xml:space="preserve">16.8. </w:t>
      </w:r>
      <w:r>
        <w:rPr>
          <w:rFonts w:cs="Arial" w:ascii="Arial" w:hAnsi="Arial"/>
          <w:i/>
        </w:rPr>
        <w:t>Радиационная безопасность</w:t>
      </w:r>
      <w:r>
        <w:rPr>
          <w:rFonts w:cs="Arial" w:ascii="Arial" w:hAnsi="Arial"/>
        </w:rPr>
        <w:t>.</w:t>
      </w:r>
    </w:p>
    <w:p>
      <w:pPr>
        <w:pStyle w:val="5551"/>
        <w:rPr>
          <w:rFonts w:ascii="Arial" w:hAnsi="Arial" w:cs="Arial"/>
        </w:rPr>
      </w:pPr>
      <w:r>
        <w:rPr>
          <w:rFonts w:cs="Arial" w:ascii="Arial" w:hAnsi="Arial"/>
        </w:rPr>
        <w:t>16.8.1.</w:t>
        <w:tab/>
        <w:t>Радиационная безопасность населения и окружающей природной среды считается обеспеченной, если соблюдаются основные принципы радиационной безопасности и требования радиационной защиты, установленные Федеральным законом от 09.01.1996 № 3-ФЗ «О радиационной безопасности населения», СанПиН 2.6.1.2523-09 (НРБ 99/2009) «Нормы радиационной безопасности» и СП 2.6.1.2612-10 «Основные санитарные правила обеспечения радиационной безопасности».</w:t>
      </w:r>
    </w:p>
    <w:p>
      <w:pPr>
        <w:pStyle w:val="5551"/>
        <w:rPr>
          <w:rFonts w:ascii="Arial" w:hAnsi="Arial" w:cs="Arial"/>
        </w:rPr>
      </w:pPr>
      <w:r>
        <w:rPr>
          <w:rFonts w:cs="Arial" w:ascii="Arial" w:hAnsi="Arial"/>
        </w:rPr>
        <w:t>16.8.2.</w:t>
        <w:tab/>
        <w:t>Радиационная безопасность населения обеспечивается:</w:t>
      </w:r>
    </w:p>
    <w:p>
      <w:pPr>
        <w:pStyle w:val="5551"/>
        <w:rPr>
          <w:rFonts w:ascii="Arial" w:hAnsi="Arial" w:cs="Arial"/>
        </w:rPr>
      </w:pPr>
      <w:r>
        <w:rPr>
          <w:rFonts w:cs="Arial" w:ascii="Arial" w:hAnsi="Arial"/>
        </w:rPr>
        <w:t>- созданием условий жизнедеятельности людей, отвечающих требованиям СП 2.6.1.1292-03 «Гигиенические требования по ограничению облучения населения за счет природных источников ионизирующего излучения» и СП 2.6.6.1168-02 (СПОРО 2002) «Санитарные правила обращения с радиоактивными отходами»;</w:t>
      </w:r>
    </w:p>
    <w:p>
      <w:pPr>
        <w:pStyle w:val="5551"/>
        <w:rPr>
          <w:rFonts w:ascii="Arial" w:hAnsi="Arial" w:cs="Arial"/>
        </w:rPr>
      </w:pPr>
      <w:bookmarkStart w:id="68" w:name="page455"/>
      <w:bookmarkEnd w:id="68"/>
      <w:r>
        <w:rPr>
          <w:rFonts w:cs="Arial" w:ascii="Arial" w:hAnsi="Arial"/>
        </w:rPr>
        <w:t xml:space="preserve">- установлением квот на облучение от разных источников излучения; </w:t>
      </w:r>
    </w:p>
    <w:p>
      <w:pPr>
        <w:pStyle w:val="5551"/>
        <w:rPr>
          <w:rFonts w:ascii="Arial" w:hAnsi="Arial" w:cs="Arial"/>
        </w:rPr>
      </w:pPr>
      <w:r>
        <w:rPr>
          <w:rFonts w:cs="Arial" w:ascii="Arial" w:hAnsi="Arial"/>
        </w:rPr>
        <w:t xml:space="preserve">- организацией радиационного контроля; </w:t>
      </w:r>
    </w:p>
    <w:p>
      <w:pPr>
        <w:pStyle w:val="5551"/>
        <w:rPr>
          <w:rFonts w:ascii="Arial" w:hAnsi="Arial" w:cs="Arial"/>
        </w:rPr>
      </w:pPr>
      <w:r>
        <w:rPr>
          <w:rFonts w:cs="Arial" w:ascii="Arial" w:hAnsi="Arial"/>
        </w:rPr>
        <w:t xml:space="preserve">- эффективностью планирования и проведения мероприятий по радиационной защите населения, а также объектов окружающей среды - воздуха, почвы, растительности и др. в нормальных условиях и в случае радиационной аварии; </w:t>
      </w:r>
    </w:p>
    <w:p>
      <w:pPr>
        <w:pStyle w:val="5551"/>
        <w:rPr>
          <w:rFonts w:ascii="Arial" w:hAnsi="Arial" w:cs="Arial"/>
        </w:rPr>
      </w:pPr>
      <w:r>
        <w:rPr>
          <w:rFonts w:cs="Arial" w:ascii="Arial" w:hAnsi="Arial"/>
        </w:rPr>
        <w:t xml:space="preserve">- организацией системы информации о радиационной обстановке. </w:t>
      </w:r>
    </w:p>
    <w:p>
      <w:pPr>
        <w:pStyle w:val="5551"/>
        <w:rPr>
          <w:rFonts w:ascii="Arial" w:hAnsi="Arial" w:cs="Arial"/>
        </w:rPr>
      </w:pPr>
      <w:r>
        <w:rPr>
          <w:rFonts w:cs="Arial" w:ascii="Arial" w:hAnsi="Arial"/>
        </w:rPr>
        <w:t>16.8.3.</w:t>
        <w:tab/>
        <w:t xml:space="preserve">Перед отводом территорий под жилое строительство необходимо проводить оценку радиационной обстановки в соответствии с требованиями СП 2.6.1.758-99 (НРБ-99) «Нормы радиационной безопасности» и СП 2.6.1.799-99 (ОСПОРБ-99) «Основные санитарные правила обеспечения радиационной безопасности». </w:t>
      </w:r>
    </w:p>
    <w:p>
      <w:pPr>
        <w:pStyle w:val="5551"/>
        <w:rPr>
          <w:rFonts w:ascii="Arial" w:hAnsi="Arial" w:cs="Arial"/>
        </w:rPr>
      </w:pPr>
      <w:r>
        <w:rPr>
          <w:rFonts w:cs="Arial" w:ascii="Arial" w:hAnsi="Arial"/>
        </w:rPr>
        <w:t>16.8.4.</w:t>
        <w:tab/>
        <w:t xml:space="preserve">Участки застройки квалифицируются как радиационно-безопасные и их можно использовать под строительство жилых зданий и зданий социально-бытового назначения при совместном выполнении условий: </w:t>
      </w:r>
    </w:p>
    <w:p>
      <w:pPr>
        <w:pStyle w:val="5551"/>
        <w:rPr>
          <w:rFonts w:ascii="Arial" w:hAnsi="Arial" w:cs="Arial"/>
        </w:rPr>
      </w:pPr>
      <w:r>
        <w:rPr>
          <w:rFonts w:cs="Arial" w:ascii="Arial" w:hAnsi="Arial"/>
        </w:rPr>
        <w:t>- отсутствие радиационных аномалий обследованием участка поисковыми радиометрами;</w:t>
      </w:r>
    </w:p>
    <w:p>
      <w:pPr>
        <w:pStyle w:val="5551"/>
        <w:rPr/>
      </w:pPr>
      <w:r>
        <w:rPr>
          <w:rFonts w:eastAsia="Arial" w:cs="Arial" w:ascii="Arial" w:hAnsi="Arial"/>
        </w:rPr>
        <w:t xml:space="preserve"> </w:t>
      </w:r>
      <w:r>
        <w:rPr>
          <w:rFonts w:cs="Arial" w:ascii="Arial" w:hAnsi="Arial"/>
        </w:rPr>
        <w:t>- частные значения мощности эквивалентной дозы (МЭД) гамма-излучения на участке не превышают 0,3 мкЗв/ч, МЭД гамма-излучения на участке не более 0,2 мкЗв/ч и плотность потока радона с поверхности грунта не более 80 мБк/кв. м</w:t>
      </w:r>
      <w:r>
        <w:rPr>
          <w:rFonts w:cs="Arial" w:ascii="Arial" w:hAnsi="Arial"/>
          <w:lang w:val="en-US"/>
        </w:rPr>
        <w:t>c</w:t>
      </w:r>
      <w:r>
        <w:rPr>
          <w:rFonts w:cs="Arial" w:ascii="Arial" w:hAnsi="Arial"/>
        </w:rPr>
        <w:t xml:space="preserve">. </w:t>
      </w:r>
    </w:p>
    <w:p>
      <w:pPr>
        <w:pStyle w:val="5551"/>
        <w:rPr>
          <w:rFonts w:ascii="Arial" w:hAnsi="Arial" w:cs="Arial"/>
        </w:rPr>
      </w:pPr>
      <w:r>
        <w:rPr>
          <w:rFonts w:cs="Arial" w:ascii="Arial" w:hAnsi="Arial"/>
        </w:rPr>
        <w:t>16.8.5.</w:t>
        <w:tab/>
        <w:t xml:space="preserve">Участки застройки под промышленные объекты квалифицируются как радиационно-безопасные при совместном выполнении условий: </w:t>
      </w:r>
    </w:p>
    <w:p>
      <w:pPr>
        <w:pStyle w:val="5551"/>
        <w:rPr>
          <w:rFonts w:ascii="Arial" w:hAnsi="Arial" w:cs="Arial"/>
        </w:rPr>
      </w:pPr>
      <w:r>
        <w:rPr>
          <w:rFonts w:cs="Arial" w:ascii="Arial" w:hAnsi="Arial"/>
        </w:rPr>
        <w:t>- отсутствие радиационных аномалий обследованием участка поисковыми радиометрами;</w:t>
      </w:r>
    </w:p>
    <w:p>
      <w:pPr>
        <w:pStyle w:val="5551"/>
        <w:rPr/>
      </w:pPr>
      <w:r>
        <w:rPr>
          <w:rFonts w:eastAsia="Arial" w:cs="Arial" w:ascii="Arial" w:hAnsi="Arial"/>
        </w:rPr>
        <w:t xml:space="preserve"> </w:t>
      </w:r>
      <w:r>
        <w:rPr>
          <w:rFonts w:cs="Arial" w:ascii="Arial" w:hAnsi="Arial"/>
        </w:rPr>
        <w:t>-</w:t>
      </w:r>
      <w:r>
        <w:rPr>
          <w:rFonts w:cs="Arial" w:ascii="Arial" w:hAnsi="Arial"/>
          <w:lang w:val="en-US"/>
        </w:rPr>
        <w:t> </w:t>
      </w:r>
      <w:r>
        <w:rPr>
          <w:rFonts w:cs="Arial" w:ascii="Arial" w:hAnsi="Arial"/>
        </w:rPr>
        <w:t xml:space="preserve"> частные</w:t>
      </w:r>
      <w:r>
        <w:rPr>
          <w:rFonts w:cs="Arial" w:ascii="Arial" w:hAnsi="Arial"/>
          <w:lang w:val="en-US"/>
        </w:rPr>
        <w:t> </w:t>
      </w:r>
      <w:r>
        <w:rPr>
          <w:rFonts w:cs="Arial" w:ascii="Arial" w:hAnsi="Arial"/>
        </w:rPr>
        <w:t xml:space="preserve"> значения</w:t>
      </w:r>
      <w:r>
        <w:rPr>
          <w:rFonts w:cs="Arial" w:ascii="Arial" w:hAnsi="Arial"/>
          <w:lang w:val="en-US"/>
        </w:rPr>
        <w:t> </w:t>
      </w:r>
      <w:r>
        <w:rPr>
          <w:rFonts w:cs="Arial" w:ascii="Arial" w:hAnsi="Arial"/>
        </w:rPr>
        <w:t xml:space="preserve"> МЭД</w:t>
      </w:r>
      <w:r>
        <w:rPr>
          <w:rFonts w:cs="Arial" w:ascii="Arial" w:hAnsi="Arial"/>
          <w:lang w:val="en-US"/>
        </w:rPr>
        <w:t> </w:t>
      </w:r>
      <w:r>
        <w:rPr>
          <w:rFonts w:cs="Arial" w:ascii="Arial" w:hAnsi="Arial"/>
        </w:rPr>
        <w:t xml:space="preserve"> гамма-излучения</w:t>
      </w:r>
      <w:r>
        <w:rPr>
          <w:rFonts w:cs="Arial" w:ascii="Arial" w:hAnsi="Arial"/>
          <w:lang w:val="en-US"/>
        </w:rPr>
        <w:t> </w:t>
      </w:r>
      <w:r>
        <w:rPr>
          <w:rFonts w:cs="Arial" w:ascii="Arial" w:hAnsi="Arial"/>
        </w:rPr>
        <w:t xml:space="preserve"> на</w:t>
      </w:r>
      <w:r>
        <w:rPr>
          <w:rFonts w:cs="Arial" w:ascii="Arial" w:hAnsi="Arial"/>
          <w:lang w:val="en-US"/>
        </w:rPr>
        <w:t> </w:t>
      </w:r>
      <w:r>
        <w:rPr>
          <w:rFonts w:cs="Arial" w:ascii="Arial" w:hAnsi="Arial"/>
        </w:rPr>
        <w:t xml:space="preserve"> участке</w:t>
      </w:r>
      <w:r>
        <w:rPr>
          <w:rFonts w:cs="Arial" w:ascii="Arial" w:hAnsi="Arial"/>
          <w:lang w:val="en-US"/>
        </w:rPr>
        <w:t> </w:t>
      </w:r>
      <w:r>
        <w:rPr>
          <w:rFonts w:cs="Arial" w:ascii="Arial" w:hAnsi="Arial"/>
        </w:rPr>
        <w:t xml:space="preserve"> в</w:t>
      </w:r>
      <w:r>
        <w:rPr>
          <w:rFonts w:cs="Arial" w:ascii="Arial" w:hAnsi="Arial"/>
          <w:lang w:val="en-US"/>
        </w:rPr>
        <w:t> </w:t>
      </w:r>
      <w:r>
        <w:rPr>
          <w:rFonts w:cs="Arial" w:ascii="Arial" w:hAnsi="Arial"/>
        </w:rPr>
        <w:t xml:space="preserve"> контрольных</w:t>
      </w:r>
      <w:r>
        <w:rPr>
          <w:rFonts w:cs="Arial" w:ascii="Arial" w:hAnsi="Arial"/>
          <w:lang w:val="en-US"/>
        </w:rPr>
        <w:t> </w:t>
      </w:r>
      <w:r>
        <w:rPr>
          <w:rFonts w:cs="Arial" w:ascii="Arial" w:hAnsi="Arial"/>
        </w:rPr>
        <w:t xml:space="preserve"> точках</w:t>
      </w:r>
      <w:r>
        <w:rPr>
          <w:rFonts w:cs="Arial" w:ascii="Arial" w:hAnsi="Arial"/>
          <w:lang w:val="en-US"/>
        </w:rPr>
        <w:t> </w:t>
      </w:r>
      <w:r>
        <w:rPr>
          <w:rFonts w:cs="Arial" w:ascii="Arial" w:hAnsi="Arial"/>
        </w:rPr>
        <w:t xml:space="preserve"> не превышают 0,3 мкЗв/ч и плотность потока радона с поверхности грунта не более 250 мБк/кв. мс. </w:t>
      </w:r>
    </w:p>
    <w:p>
      <w:pPr>
        <w:pStyle w:val="5551"/>
        <w:rPr>
          <w:rFonts w:ascii="Arial" w:hAnsi="Arial" w:cs="Arial"/>
        </w:rPr>
      </w:pPr>
      <w:r>
        <w:rPr>
          <w:rFonts w:cs="Arial" w:ascii="Arial" w:hAnsi="Arial"/>
        </w:rPr>
        <w:t>16.8.6.</w:t>
        <w:tab/>
        <w:t xml:space="preserve">Участки застройки с выявленными в процессе изысканий радиоактивными загрязнениями подлежат в ходе инженерной подготовки дезактивации (радиационной реабилитации). </w:t>
      </w:r>
    </w:p>
    <w:p>
      <w:pPr>
        <w:pStyle w:val="5551"/>
        <w:rPr>
          <w:rFonts w:ascii="Arial" w:hAnsi="Arial" w:cs="Arial"/>
        </w:rPr>
      </w:pPr>
      <w:r>
        <w:rPr>
          <w:rFonts w:cs="Arial" w:ascii="Arial" w:hAnsi="Arial"/>
        </w:rPr>
        <w:t xml:space="preserve">В том числе, при плотности потока радона более 80 мБк/кв. мс на стадии проектирования должны быть предусмотрены защитные мероприятия от радона (монолитная бетонная подушка, улучшенная изоляция перекрытия подвального помещения, повышенная вентиляция помещений и др.). </w:t>
      </w:r>
    </w:p>
    <w:p>
      <w:pPr>
        <w:pStyle w:val="5551"/>
        <w:rPr>
          <w:rFonts w:ascii="Arial" w:hAnsi="Arial" w:cs="Arial"/>
        </w:rPr>
      </w:pPr>
      <w:r>
        <w:rPr>
          <w:rFonts w:cs="Arial" w:ascii="Arial" w:hAnsi="Arial"/>
        </w:rPr>
        <w:t>16.8.7.</w:t>
        <w:tab/>
        <w:t xml:space="preserve">Допустимое значение эффективной дозы (основной предел доз), обусловленной суммарным воздействием техногенных источников излучения при нормальной эксплуатации, для населения устанавливается 1 мЗв в год в среднем за любые последовательные 5 лет, но не более 5 мЗв в год. </w:t>
      </w:r>
    </w:p>
    <w:p>
      <w:pPr>
        <w:pStyle w:val="5551"/>
        <w:rPr>
          <w:rFonts w:ascii="Arial" w:hAnsi="Arial" w:cs="Arial"/>
        </w:rPr>
      </w:pPr>
      <w:r>
        <w:rPr>
          <w:rFonts w:cs="Arial" w:ascii="Arial" w:hAnsi="Arial"/>
        </w:rPr>
        <w:t>16.8.8.</w:t>
        <w:tab/>
        <w:t xml:space="preserve">Основные пределы доз не включают в себя дозы от природного и медицинского облучения, а также дозы вследствие радиационных аварий. На эти виды облучения устанавливаются ограничения в соответствии с требованиями СП 2.6.1.758-99 (НРБ-99) «Нормы радиационной безопасности». </w:t>
      </w:r>
    </w:p>
    <w:p>
      <w:pPr>
        <w:pStyle w:val="5551"/>
        <w:rPr>
          <w:rFonts w:ascii="Arial" w:hAnsi="Arial" w:cs="Arial"/>
        </w:rPr>
      </w:pPr>
      <w:r>
        <w:rPr>
          <w:rFonts w:cs="Arial" w:ascii="Arial" w:hAnsi="Arial"/>
        </w:rPr>
        <w:t>16.8.9.</w:t>
        <w:tab/>
        <w:t xml:space="preserve">При размещении радиационных объектов необходимо предусматривать: </w:t>
      </w:r>
    </w:p>
    <w:p>
      <w:pPr>
        <w:pStyle w:val="5551"/>
        <w:rPr>
          <w:rFonts w:ascii="Arial" w:hAnsi="Arial" w:cs="Arial"/>
        </w:rPr>
      </w:pPr>
      <w:r>
        <w:rPr>
          <w:rFonts w:cs="Arial" w:ascii="Arial" w:hAnsi="Arial"/>
        </w:rPr>
        <w:t xml:space="preserve">- оценку всего комплекса природных факторов при нормальной эксплуатации, а также аварийных условиях; </w:t>
      </w:r>
    </w:p>
    <w:p>
      <w:pPr>
        <w:pStyle w:val="5551"/>
        <w:rPr>
          <w:rFonts w:ascii="Arial" w:hAnsi="Arial" w:cs="Arial"/>
        </w:rPr>
      </w:pPr>
      <w:r>
        <w:rPr>
          <w:rFonts w:cs="Arial" w:ascii="Arial" w:hAnsi="Arial"/>
        </w:rPr>
        <w:t xml:space="preserve">- устройство санитарно-защитных зон и зон наблюдения вокруг радиационных объектов; </w:t>
      </w:r>
    </w:p>
    <w:p>
      <w:pPr>
        <w:pStyle w:val="5551"/>
        <w:rPr>
          <w:rFonts w:ascii="Arial" w:hAnsi="Arial" w:cs="Arial"/>
        </w:rPr>
      </w:pPr>
      <w:r>
        <w:rPr>
          <w:rFonts w:cs="Arial" w:ascii="Arial" w:hAnsi="Arial"/>
        </w:rPr>
        <w:t xml:space="preserve">- локализацию источников радиационного воздействия; </w:t>
      </w:r>
    </w:p>
    <w:p>
      <w:pPr>
        <w:pStyle w:val="5551"/>
        <w:rPr>
          <w:rFonts w:ascii="Arial" w:hAnsi="Arial" w:cs="Arial"/>
        </w:rPr>
      </w:pPr>
      <w:r>
        <w:rPr>
          <w:rFonts w:cs="Arial" w:ascii="Arial" w:hAnsi="Arial"/>
        </w:rPr>
        <w:t xml:space="preserve">- физическую защиту источников излучения (физические барьеры на пути распространения ионизирующего излучения и радиоактивных веществ); </w:t>
      </w:r>
    </w:p>
    <w:p>
      <w:pPr>
        <w:pStyle w:val="5551"/>
        <w:rPr>
          <w:rFonts w:ascii="Arial" w:hAnsi="Arial" w:cs="Arial"/>
        </w:rPr>
      </w:pPr>
      <w:r>
        <w:rPr>
          <w:rFonts w:cs="Arial" w:ascii="Arial" w:hAnsi="Arial"/>
        </w:rPr>
        <w:t xml:space="preserve">- зонирование территории вокруг наиболее опасных объектов и внутри них; </w:t>
      </w:r>
    </w:p>
    <w:p>
      <w:pPr>
        <w:pStyle w:val="5551"/>
        <w:rPr>
          <w:rFonts w:ascii="Arial" w:hAnsi="Arial" w:cs="Arial"/>
        </w:rPr>
      </w:pPr>
      <w:r>
        <w:rPr>
          <w:rFonts w:cs="Arial" w:ascii="Arial" w:hAnsi="Arial"/>
        </w:rPr>
        <w:t xml:space="preserve">- организацию системы радиационного контроля; </w:t>
      </w:r>
    </w:p>
    <w:p>
      <w:pPr>
        <w:pStyle w:val="5551"/>
        <w:rPr>
          <w:rFonts w:ascii="Arial" w:hAnsi="Arial" w:cs="Arial"/>
        </w:rPr>
      </w:pPr>
      <w:r>
        <w:rPr>
          <w:rFonts w:cs="Arial" w:ascii="Arial" w:hAnsi="Arial"/>
        </w:rPr>
        <w:t xml:space="preserve">- планирование и проведение мероприятий по обеспечению радиационной безопасности при нормальной работе объекта, его реконструкции и выводе из эксплуатации. </w:t>
      </w:r>
    </w:p>
    <w:p>
      <w:pPr>
        <w:pStyle w:val="5551"/>
        <w:rPr/>
      </w:pPr>
      <w:r>
        <w:rPr>
          <w:rFonts w:cs="Arial" w:ascii="Arial" w:hAnsi="Arial"/>
        </w:rPr>
        <w:t>16.8.10.</w:t>
        <w:tab/>
        <w:t>При выборе места размещения радиационного объекта необходимо учитывать категорию объекта, его потенциальную радиационную, химическую и пожарную опасность для населения и окружающей</w:t>
      </w:r>
      <w:r>
        <w:rPr>
          <w:rFonts w:cs="Arial" w:ascii="Arial" w:hAnsi="Arial"/>
          <w:lang w:val="en-US"/>
        </w:rPr>
        <w:t> </w:t>
      </w:r>
      <w:r>
        <w:rPr>
          <w:rFonts w:cs="Arial" w:ascii="Arial" w:hAnsi="Arial"/>
        </w:rPr>
        <w:t xml:space="preserve"> среды.</w:t>
      </w:r>
      <w:r>
        <w:rPr>
          <w:rFonts w:cs="Arial" w:ascii="Arial" w:hAnsi="Arial"/>
          <w:lang w:val="en-US"/>
        </w:rPr>
        <w:t> </w:t>
      </w:r>
      <w:r>
        <w:rPr>
          <w:rFonts w:cs="Arial" w:ascii="Arial" w:hAnsi="Arial"/>
        </w:rPr>
        <w:t xml:space="preserve"> Площадка</w:t>
      </w:r>
      <w:r>
        <w:rPr>
          <w:rFonts w:cs="Arial" w:ascii="Arial" w:hAnsi="Arial"/>
          <w:lang w:val="en-US"/>
        </w:rPr>
        <w:t> </w:t>
      </w:r>
      <w:r>
        <w:rPr>
          <w:rFonts w:cs="Arial" w:ascii="Arial" w:hAnsi="Arial"/>
        </w:rPr>
        <w:t xml:space="preserve"> вновь строящегося</w:t>
      </w:r>
      <w:r>
        <w:rPr>
          <w:rFonts w:cs="Arial" w:ascii="Arial" w:hAnsi="Arial"/>
          <w:lang w:val="en-US"/>
        </w:rPr>
        <w:t> </w:t>
      </w:r>
      <w:r>
        <w:rPr>
          <w:rFonts w:cs="Arial" w:ascii="Arial" w:hAnsi="Arial"/>
        </w:rPr>
        <w:t xml:space="preserve"> объекта</w:t>
      </w:r>
      <w:r>
        <w:rPr>
          <w:rFonts w:cs="Arial" w:ascii="Arial" w:hAnsi="Arial"/>
          <w:lang w:val="en-US"/>
        </w:rPr>
        <w:t> </w:t>
      </w:r>
      <w:r>
        <w:rPr>
          <w:rFonts w:cs="Arial" w:ascii="Arial" w:hAnsi="Arial"/>
        </w:rPr>
        <w:t xml:space="preserve"> должна</w:t>
      </w:r>
      <w:r>
        <w:rPr>
          <w:rFonts w:cs="Arial" w:ascii="Arial" w:hAnsi="Arial"/>
          <w:lang w:val="en-US"/>
        </w:rPr>
        <w:t> </w:t>
      </w:r>
      <w:r>
        <w:rPr>
          <w:rFonts w:cs="Arial" w:ascii="Arial" w:hAnsi="Arial"/>
        </w:rPr>
        <w:t xml:space="preserve"> соответствовать </w:t>
      </w:r>
      <w:bookmarkStart w:id="69" w:name="page457"/>
      <w:bookmarkEnd w:id="69"/>
      <w:r>
        <w:rPr>
          <w:rFonts w:cs="Arial" w:ascii="Arial" w:hAnsi="Arial"/>
        </w:rPr>
        <w:t xml:space="preserve">требованиям строительных норм и правил, норм проектирования и СП 2.6.1.799-99 (ОСПОРБ-99) «Основные санитарные правила обеспечения радиационной безопасности». </w:t>
      </w:r>
    </w:p>
    <w:p>
      <w:pPr>
        <w:pStyle w:val="5551"/>
        <w:rPr>
          <w:rFonts w:ascii="Arial" w:hAnsi="Arial" w:cs="Arial"/>
        </w:rPr>
      </w:pPr>
      <w:r>
        <w:rPr>
          <w:rFonts w:cs="Arial" w:ascii="Arial" w:hAnsi="Arial"/>
        </w:rPr>
        <w:t>16.8.11.</w:t>
        <w:tab/>
        <w:t xml:space="preserve">При проектировании защиты от объекта ионизирующего излучения МЭД для населения вне территории объекта не должна превышать 0,06 мк3в/ч, а для персонала в помещениях и на территории объекта устанавливается в соответствии с СП 2.6.1.799-99 (ОСПОРБ-99) «Основные санитарные правила обеспечения радиационной безопасности». </w:t>
      </w:r>
    </w:p>
    <w:p>
      <w:pPr>
        <w:pStyle w:val="5551"/>
        <w:rPr>
          <w:rFonts w:ascii="Arial" w:hAnsi="Arial" w:cs="Arial"/>
        </w:rPr>
      </w:pPr>
      <w:r>
        <w:rPr>
          <w:rFonts w:cs="Arial" w:ascii="Arial" w:hAnsi="Arial"/>
        </w:rPr>
        <w:t>16.8.12.</w:t>
        <w:tab/>
        <w:t xml:space="preserve">В случае возникновения радиационной аварии должны быть приняты практические меры для восстановления контроля над источником излучения и сведения к минимуму доз облучения, количества облученных лиц, радиоактивного загрязнения окружающей среды, экономических и социальных потерь, вызванных радиоактивным загрязнением в соответствии с требованиями СП 2.6.1.758-99 (НРБ-99) «Нормы радиационной безопасности». </w:t>
      </w:r>
    </w:p>
    <w:p>
      <w:pPr>
        <w:pStyle w:val="5551"/>
        <w:rPr>
          <w:rFonts w:ascii="Arial" w:hAnsi="Arial" w:cs="Arial"/>
        </w:rPr>
      </w:pPr>
      <w:r>
        <w:rPr>
          <w:rFonts w:cs="Arial" w:ascii="Arial" w:hAnsi="Arial"/>
        </w:rPr>
      </w:r>
    </w:p>
    <w:p>
      <w:pPr>
        <w:pStyle w:val="555551"/>
        <w:rPr>
          <w:rFonts w:ascii="Arial" w:hAnsi="Arial" w:cs="Arial"/>
        </w:rPr>
      </w:pPr>
      <w:bookmarkStart w:id="70" w:name="__RefHeading___Toc494193948"/>
      <w:bookmarkEnd w:id="70"/>
      <w:r>
        <w:rPr>
          <w:rFonts w:cs="Arial" w:ascii="Arial" w:hAnsi="Arial"/>
        </w:rPr>
        <w:t>16.9.</w:t>
        <w:tab/>
        <w:t>Допустимые уровни воздействия на среду и человека.</w:t>
      </w:r>
    </w:p>
    <w:p>
      <w:pPr>
        <w:pStyle w:val="5551"/>
        <w:rPr>
          <w:rFonts w:ascii="Arial" w:hAnsi="Arial" w:cs="Arial"/>
        </w:rPr>
      </w:pPr>
      <w:r>
        <w:rPr>
          <w:rFonts w:cs="Arial" w:ascii="Arial" w:hAnsi="Arial"/>
        </w:rPr>
        <w:t>16.9.1.</w:t>
        <w:tab/>
        <w:t>Предельные значения допустимых уровней воздействия на среду и человека   приведены в таблице 16.9.</w:t>
      </w:r>
    </w:p>
    <w:p>
      <w:pPr>
        <w:pStyle w:val="PlainText"/>
        <w:widowControl w:val="false"/>
        <w:spacing w:lineRule="auto" w:line="235"/>
        <w:ind w:left="0" w:right="0" w:firstLine="709"/>
        <w:jc w:val="right"/>
        <w:rPr>
          <w:rFonts w:ascii="Arial" w:hAnsi="Arial" w:cs="Arial"/>
          <w:sz w:val="24"/>
          <w:szCs w:val="24"/>
        </w:rPr>
      </w:pPr>
      <w:r>
        <w:rPr>
          <w:rFonts w:cs="Arial" w:ascii="Arial" w:hAnsi="Arial"/>
          <w:sz w:val="24"/>
          <w:szCs w:val="24"/>
        </w:rPr>
        <w:t>Таблица 16.9.</w:t>
      </w:r>
    </w:p>
    <w:tbl>
      <w:tblPr>
        <w:tblW w:w="9806"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2062"/>
        <w:gridCol w:w="1785"/>
        <w:gridCol w:w="1785"/>
        <w:gridCol w:w="2212"/>
        <w:gridCol w:w="1962"/>
      </w:tblGrid>
      <w:tr>
        <w:trPr>
          <w:tblHeader w:val="true"/>
          <w:trHeight w:val="1152" w:hRule="atLeast"/>
        </w:trPr>
        <w:tc>
          <w:tcPr>
            <w:tcW w:w="2062"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ConsNonformat1"/>
              <w:snapToGrid w:val="false"/>
              <w:ind w:left="-57" w:right="-57" w:hanging="0"/>
              <w:jc w:val="center"/>
              <w:rPr>
                <w:rFonts w:ascii="Arial" w:hAnsi="Arial" w:cs="Arial"/>
                <w:b/>
                <w:b/>
                <w:sz w:val="24"/>
                <w:szCs w:val="24"/>
              </w:rPr>
            </w:pPr>
            <w:r>
              <w:rPr>
                <w:rFonts w:cs="Arial" w:ascii="Arial" w:hAnsi="Arial"/>
                <w:b/>
                <w:sz w:val="24"/>
                <w:szCs w:val="24"/>
              </w:rPr>
              <w:t>Зона</w:t>
            </w:r>
          </w:p>
        </w:tc>
        <w:tc>
          <w:tcPr>
            <w:tcW w:w="1785"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ConsNonformat1"/>
              <w:snapToGrid w:val="false"/>
              <w:ind w:left="-57" w:right="-57" w:hanging="0"/>
              <w:jc w:val="center"/>
              <w:rPr>
                <w:rFonts w:ascii="Arial" w:hAnsi="Arial" w:cs="Arial"/>
                <w:b/>
                <w:b/>
                <w:sz w:val="24"/>
                <w:szCs w:val="24"/>
              </w:rPr>
            </w:pPr>
            <w:r>
              <w:rPr>
                <w:rFonts w:cs="Arial" w:ascii="Arial" w:hAnsi="Arial"/>
                <w:b/>
                <w:sz w:val="24"/>
                <w:szCs w:val="24"/>
              </w:rPr>
              <w:t>Максимальный уровень шумового воздействия, дБА</w:t>
            </w:r>
          </w:p>
        </w:tc>
        <w:tc>
          <w:tcPr>
            <w:tcW w:w="1785"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ConsNonformat1"/>
              <w:snapToGrid w:val="false"/>
              <w:ind w:left="-57" w:right="-57" w:hanging="0"/>
              <w:jc w:val="center"/>
              <w:rPr>
                <w:rFonts w:ascii="Arial" w:hAnsi="Arial" w:cs="Arial"/>
                <w:b/>
                <w:b/>
                <w:sz w:val="24"/>
                <w:szCs w:val="24"/>
              </w:rPr>
            </w:pPr>
            <w:r>
              <w:rPr>
                <w:rFonts w:cs="Arial" w:ascii="Arial" w:hAnsi="Arial"/>
                <w:b/>
                <w:sz w:val="24"/>
                <w:szCs w:val="24"/>
              </w:rPr>
              <w:t>Максимальный уровень загрязнения атмосферного воздуха</w:t>
            </w:r>
          </w:p>
        </w:tc>
        <w:tc>
          <w:tcPr>
            <w:tcW w:w="2212"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ConsNonformat1"/>
              <w:snapToGrid w:val="false"/>
              <w:ind w:left="-57" w:right="-57" w:hanging="0"/>
              <w:jc w:val="center"/>
              <w:rPr>
                <w:rFonts w:ascii="Arial" w:hAnsi="Arial" w:cs="Arial"/>
                <w:b/>
                <w:b/>
                <w:sz w:val="24"/>
                <w:szCs w:val="24"/>
              </w:rPr>
            </w:pPr>
            <w:r>
              <w:rPr>
                <w:rFonts w:cs="Arial" w:ascii="Arial" w:hAnsi="Arial"/>
                <w:b/>
                <w:sz w:val="24"/>
                <w:szCs w:val="24"/>
              </w:rPr>
              <w:t>Максимальный уровень электромагнитного излучения от радиотехнических объектов</w:t>
            </w:r>
          </w:p>
        </w:tc>
        <w:tc>
          <w:tcPr>
            <w:tcW w:w="196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ConsNonformat1"/>
              <w:snapToGrid w:val="false"/>
              <w:ind w:left="-57" w:right="-57" w:hanging="0"/>
              <w:jc w:val="center"/>
              <w:rPr>
                <w:rFonts w:ascii="Arial" w:hAnsi="Arial" w:cs="Arial"/>
                <w:b/>
                <w:b/>
                <w:sz w:val="24"/>
                <w:szCs w:val="24"/>
              </w:rPr>
            </w:pPr>
            <w:r>
              <w:rPr>
                <w:rFonts w:cs="Arial" w:ascii="Arial" w:hAnsi="Arial"/>
                <w:b/>
                <w:sz w:val="24"/>
                <w:szCs w:val="24"/>
              </w:rPr>
              <w:t>Загрязненность сточных вод</w:t>
            </w:r>
          </w:p>
        </w:tc>
      </w:tr>
      <w:tr>
        <w:trPr>
          <w:trHeight w:val="2465" w:hRule="atLeast"/>
        </w:trPr>
        <w:tc>
          <w:tcPr>
            <w:tcW w:w="206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pacing w:lineRule="auto" w:line="240" w:before="0" w:after="0"/>
              <w:rPr>
                <w:rFonts w:ascii="Arial" w:hAnsi="Arial" w:cs="Arial"/>
                <w:color w:val="000000"/>
                <w:sz w:val="24"/>
                <w:szCs w:val="24"/>
                <w:lang w:eastAsia="ru-RU"/>
              </w:rPr>
            </w:pPr>
            <w:r>
              <w:rPr>
                <w:rFonts w:cs="Arial" w:ascii="Arial" w:hAnsi="Arial"/>
                <w:color w:val="000000"/>
                <w:sz w:val="24"/>
                <w:szCs w:val="24"/>
                <w:lang w:eastAsia="ru-RU"/>
              </w:rPr>
              <w:t xml:space="preserve">Жилые зоны: </w:t>
            </w:r>
          </w:p>
          <w:p>
            <w:pPr>
              <w:pStyle w:val="Normal"/>
              <w:spacing w:lineRule="auto" w:line="240" w:before="0" w:after="0"/>
              <w:rPr>
                <w:rFonts w:ascii="Arial" w:hAnsi="Arial" w:cs="Arial"/>
                <w:color w:val="000000"/>
                <w:sz w:val="24"/>
                <w:szCs w:val="24"/>
                <w:lang w:eastAsia="ru-RU"/>
              </w:rPr>
            </w:pPr>
            <w:r>
              <w:rPr>
                <w:rFonts w:cs="Arial" w:ascii="Arial" w:hAnsi="Arial"/>
                <w:color w:val="000000"/>
                <w:sz w:val="24"/>
                <w:szCs w:val="24"/>
                <w:lang w:eastAsia="ru-RU"/>
              </w:rPr>
              <w:t xml:space="preserve">усадебная застройка </w:t>
            </w:r>
          </w:p>
          <w:p>
            <w:pPr>
              <w:pStyle w:val="Normal"/>
              <w:spacing w:lineRule="auto" w:line="240" w:before="0" w:after="0"/>
              <w:rPr>
                <w:rFonts w:ascii="Arial" w:hAnsi="Arial" w:cs="Arial"/>
                <w:color w:val="000000"/>
                <w:sz w:val="24"/>
                <w:szCs w:val="24"/>
                <w:lang w:eastAsia="ru-RU"/>
              </w:rPr>
            </w:pPr>
            <w:r>
              <w:rPr>
                <w:rFonts w:cs="Arial" w:ascii="Arial" w:hAnsi="Arial"/>
                <w:color w:val="000000"/>
                <w:sz w:val="24"/>
                <w:szCs w:val="24"/>
                <w:lang w:eastAsia="ru-RU"/>
              </w:rPr>
            </w:r>
          </w:p>
          <w:p>
            <w:pPr>
              <w:pStyle w:val="ConsNonformat1"/>
              <w:spacing w:lineRule="auto" w:line="240"/>
              <w:ind w:left="-57" w:right="-57" w:hanging="0"/>
              <w:jc w:val="both"/>
              <w:rPr>
                <w:rFonts w:ascii="Arial" w:hAnsi="Arial" w:cs="Arial"/>
                <w:color w:val="000000"/>
                <w:sz w:val="24"/>
                <w:szCs w:val="24"/>
                <w:lang w:eastAsia="ru-RU"/>
              </w:rPr>
            </w:pPr>
            <w:r>
              <w:rPr>
                <w:rFonts w:cs="Arial" w:ascii="Arial" w:hAnsi="Arial"/>
                <w:color w:val="000000"/>
                <w:sz w:val="24"/>
                <w:szCs w:val="24"/>
                <w:lang w:eastAsia="ru-RU"/>
              </w:rPr>
            </w:r>
          </w:p>
          <w:p>
            <w:pPr>
              <w:pStyle w:val="ConsNonformat1"/>
              <w:spacing w:lineRule="auto" w:line="240"/>
              <w:ind w:left="-57" w:right="-57" w:hanging="0"/>
              <w:jc w:val="both"/>
              <w:rPr>
                <w:rFonts w:ascii="Arial" w:hAnsi="Arial" w:cs="Arial"/>
                <w:color w:val="000000"/>
                <w:sz w:val="24"/>
                <w:szCs w:val="24"/>
                <w:lang w:eastAsia="ru-RU"/>
              </w:rPr>
            </w:pPr>
            <w:r>
              <w:rPr>
                <w:rFonts w:cs="Arial" w:ascii="Arial" w:hAnsi="Arial"/>
                <w:color w:val="000000"/>
                <w:sz w:val="24"/>
                <w:szCs w:val="24"/>
                <w:lang w:eastAsia="ru-RU"/>
              </w:rPr>
            </w:r>
          </w:p>
          <w:p>
            <w:pPr>
              <w:pStyle w:val="ConsNonformat1"/>
              <w:spacing w:lineRule="auto" w:line="240"/>
              <w:ind w:left="-57" w:right="-57" w:hanging="0"/>
              <w:jc w:val="both"/>
              <w:rPr>
                <w:rFonts w:ascii="Arial" w:hAnsi="Arial" w:cs="Arial"/>
                <w:color w:val="000000"/>
                <w:sz w:val="24"/>
                <w:szCs w:val="24"/>
                <w:lang w:eastAsia="ru-RU"/>
              </w:rPr>
            </w:pPr>
            <w:r>
              <w:rPr>
                <w:rFonts w:cs="Arial" w:ascii="Arial" w:hAnsi="Arial"/>
                <w:color w:val="000000"/>
                <w:sz w:val="24"/>
                <w:szCs w:val="24"/>
                <w:lang w:eastAsia="ru-RU"/>
              </w:rPr>
              <w:t>ночное время суток (23.00-7.00)</w:t>
            </w:r>
          </w:p>
          <w:p>
            <w:pPr>
              <w:pStyle w:val="ConsNonformat1"/>
              <w:spacing w:lineRule="auto" w:line="240"/>
              <w:ind w:left="-57" w:right="-57" w:hanging="0"/>
              <w:jc w:val="both"/>
              <w:rPr>
                <w:rFonts w:ascii="Arial" w:hAnsi="Arial" w:cs="Arial"/>
                <w:sz w:val="24"/>
                <w:szCs w:val="24"/>
              </w:rPr>
            </w:pPr>
            <w:r>
              <w:rPr>
                <w:rFonts w:cs="Arial" w:ascii="Arial" w:hAnsi="Arial"/>
                <w:sz w:val="24"/>
                <w:szCs w:val="24"/>
              </w:rPr>
            </w:r>
          </w:p>
        </w:tc>
        <w:tc>
          <w:tcPr>
            <w:tcW w:w="178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0"/>
              <w:rPr>
                <w:rFonts w:ascii="Arial" w:hAnsi="Arial" w:cs="Arial"/>
                <w:color w:val="000000"/>
                <w:sz w:val="24"/>
                <w:szCs w:val="24"/>
                <w:lang w:eastAsia="ru-RU"/>
              </w:rPr>
            </w:pPr>
            <w:r>
              <w:rPr>
                <w:rFonts w:cs="Arial" w:ascii="Arial" w:hAnsi="Arial"/>
                <w:color w:val="000000"/>
                <w:sz w:val="24"/>
                <w:szCs w:val="24"/>
                <w:lang w:eastAsia="ru-RU"/>
              </w:rPr>
            </w:r>
          </w:p>
          <w:p>
            <w:pPr>
              <w:pStyle w:val="Normal"/>
              <w:spacing w:lineRule="auto" w:line="240" w:before="0" w:after="0"/>
              <w:rPr>
                <w:rFonts w:ascii="Arial" w:hAnsi="Arial" w:cs="Arial"/>
                <w:color w:val="000000"/>
                <w:sz w:val="24"/>
                <w:szCs w:val="24"/>
                <w:lang w:eastAsia="ru-RU"/>
              </w:rPr>
            </w:pPr>
            <w:r>
              <w:rPr>
                <w:rFonts w:cs="Arial" w:ascii="Arial" w:hAnsi="Arial"/>
                <w:color w:val="000000"/>
                <w:sz w:val="24"/>
                <w:szCs w:val="24"/>
                <w:lang w:eastAsia="ru-RU"/>
              </w:rPr>
              <w:t xml:space="preserve">55 </w:t>
            </w:r>
          </w:p>
          <w:p>
            <w:pPr>
              <w:pStyle w:val="Normal"/>
              <w:spacing w:lineRule="auto" w:line="240" w:before="0" w:after="0"/>
              <w:rPr>
                <w:rFonts w:ascii="Arial" w:hAnsi="Arial" w:cs="Arial"/>
                <w:color w:val="000000"/>
                <w:sz w:val="24"/>
                <w:szCs w:val="24"/>
                <w:lang w:eastAsia="ru-RU"/>
              </w:rPr>
            </w:pPr>
            <w:r>
              <w:rPr>
                <w:rFonts w:cs="Arial" w:ascii="Arial" w:hAnsi="Arial"/>
                <w:color w:val="000000"/>
                <w:sz w:val="24"/>
                <w:szCs w:val="24"/>
                <w:lang w:eastAsia="ru-RU"/>
              </w:rPr>
            </w:r>
          </w:p>
          <w:p>
            <w:pPr>
              <w:pStyle w:val="Normal"/>
              <w:spacing w:lineRule="auto" w:line="240" w:before="0" w:after="0"/>
              <w:rPr>
                <w:rFonts w:ascii="Arial" w:hAnsi="Arial" w:cs="Arial"/>
                <w:color w:val="000000"/>
                <w:sz w:val="24"/>
                <w:szCs w:val="24"/>
                <w:lang w:eastAsia="ru-RU"/>
              </w:rPr>
            </w:pPr>
            <w:r>
              <w:rPr>
                <w:rFonts w:cs="Arial" w:ascii="Arial" w:hAnsi="Arial"/>
                <w:color w:val="000000"/>
                <w:sz w:val="24"/>
                <w:szCs w:val="24"/>
                <w:lang w:eastAsia="ru-RU"/>
              </w:rPr>
            </w:r>
          </w:p>
          <w:p>
            <w:pPr>
              <w:pStyle w:val="Normal"/>
              <w:spacing w:lineRule="auto" w:line="240" w:before="0" w:after="0"/>
              <w:jc w:val="both"/>
              <w:rPr>
                <w:rFonts w:ascii="Arial" w:hAnsi="Arial" w:cs="Arial"/>
                <w:color w:val="000000"/>
                <w:sz w:val="24"/>
                <w:szCs w:val="24"/>
                <w:lang w:eastAsia="ru-RU"/>
              </w:rPr>
            </w:pPr>
            <w:r>
              <w:rPr>
                <w:rFonts w:cs="Arial" w:ascii="Arial" w:hAnsi="Arial"/>
                <w:color w:val="000000"/>
                <w:sz w:val="24"/>
                <w:szCs w:val="24"/>
                <w:lang w:eastAsia="ru-RU"/>
              </w:rPr>
            </w:r>
          </w:p>
          <w:p>
            <w:pPr>
              <w:pStyle w:val="Normal"/>
              <w:spacing w:lineRule="auto" w:line="240" w:before="0" w:after="0"/>
              <w:rPr>
                <w:rFonts w:ascii="Arial" w:hAnsi="Arial" w:cs="Arial"/>
                <w:color w:val="000000"/>
                <w:sz w:val="24"/>
                <w:szCs w:val="24"/>
                <w:lang w:eastAsia="ru-RU"/>
              </w:rPr>
            </w:pPr>
            <w:r>
              <w:rPr>
                <w:rFonts w:cs="Arial" w:ascii="Arial" w:hAnsi="Arial"/>
                <w:color w:val="000000"/>
                <w:sz w:val="24"/>
                <w:szCs w:val="24"/>
                <w:lang w:eastAsia="ru-RU"/>
              </w:rPr>
            </w:r>
          </w:p>
          <w:p>
            <w:pPr>
              <w:pStyle w:val="Normal"/>
              <w:spacing w:lineRule="auto" w:line="240" w:before="0" w:after="0"/>
              <w:rPr>
                <w:rFonts w:ascii="Arial" w:hAnsi="Arial" w:cs="Arial"/>
                <w:color w:val="000000"/>
                <w:sz w:val="24"/>
                <w:szCs w:val="24"/>
                <w:lang w:eastAsia="ru-RU"/>
              </w:rPr>
            </w:pPr>
            <w:r>
              <w:rPr>
                <w:rFonts w:cs="Arial" w:ascii="Arial" w:hAnsi="Arial"/>
                <w:color w:val="000000"/>
                <w:sz w:val="24"/>
                <w:szCs w:val="24"/>
                <w:lang w:eastAsia="ru-RU"/>
              </w:rPr>
              <w:t xml:space="preserve">45 </w:t>
            </w:r>
          </w:p>
        </w:tc>
        <w:tc>
          <w:tcPr>
            <w:tcW w:w="178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r>
          </w:p>
          <w:p>
            <w:pPr>
              <w:pStyle w:val="ConsNonformat1"/>
              <w:ind w:left="-57" w:right="-57" w:hanging="0"/>
              <w:jc w:val="both"/>
              <w:rPr>
                <w:rFonts w:ascii="Arial" w:hAnsi="Arial" w:cs="Arial"/>
                <w:sz w:val="24"/>
                <w:szCs w:val="24"/>
              </w:rPr>
            </w:pPr>
            <w:r>
              <w:rPr>
                <w:rFonts w:cs="Arial" w:ascii="Arial" w:hAnsi="Arial"/>
                <w:sz w:val="24"/>
                <w:szCs w:val="24"/>
              </w:rPr>
              <w:t>1 ПДК</w:t>
            </w:r>
          </w:p>
          <w:p>
            <w:pPr>
              <w:pStyle w:val="ConsNonformat1"/>
              <w:ind w:left="-57" w:right="-57" w:hanging="0"/>
              <w:jc w:val="both"/>
              <w:rPr>
                <w:rFonts w:ascii="Arial" w:hAnsi="Arial" w:cs="Arial"/>
                <w:sz w:val="24"/>
                <w:szCs w:val="24"/>
              </w:rPr>
            </w:pPr>
            <w:r>
              <w:rPr>
                <w:rFonts w:cs="Arial" w:ascii="Arial" w:hAnsi="Arial"/>
                <w:sz w:val="24"/>
                <w:szCs w:val="24"/>
              </w:rPr>
            </w:r>
          </w:p>
          <w:p>
            <w:pPr>
              <w:pStyle w:val="ConsNonformat1"/>
              <w:ind w:left="-57" w:right="-57" w:hanging="0"/>
              <w:jc w:val="both"/>
              <w:rPr>
                <w:rFonts w:ascii="Arial" w:hAnsi="Arial" w:cs="Arial"/>
                <w:sz w:val="24"/>
                <w:szCs w:val="24"/>
              </w:rPr>
            </w:pPr>
            <w:r>
              <w:rPr>
                <w:rFonts w:cs="Arial" w:ascii="Arial" w:hAnsi="Arial"/>
                <w:sz w:val="24"/>
                <w:szCs w:val="24"/>
              </w:rPr>
            </w:r>
          </w:p>
          <w:p>
            <w:pPr>
              <w:pStyle w:val="ConsNonformat1"/>
              <w:ind w:left="-57" w:right="-57" w:hanging="0"/>
              <w:jc w:val="both"/>
              <w:rPr>
                <w:rFonts w:ascii="Arial" w:hAnsi="Arial" w:cs="Arial"/>
                <w:sz w:val="24"/>
                <w:szCs w:val="24"/>
              </w:rPr>
            </w:pPr>
            <w:r>
              <w:rPr>
                <w:rFonts w:cs="Arial" w:ascii="Arial" w:hAnsi="Arial"/>
                <w:sz w:val="24"/>
                <w:szCs w:val="24"/>
              </w:rPr>
            </w:r>
          </w:p>
          <w:p>
            <w:pPr>
              <w:pStyle w:val="ConsNonformat1"/>
              <w:ind w:left="-57" w:right="-57" w:hanging="0"/>
              <w:jc w:val="both"/>
              <w:rPr>
                <w:rFonts w:ascii="Arial" w:hAnsi="Arial" w:cs="Arial"/>
                <w:sz w:val="24"/>
                <w:szCs w:val="24"/>
              </w:rPr>
            </w:pPr>
            <w:r>
              <w:rPr>
                <w:rFonts w:cs="Arial" w:ascii="Arial" w:hAnsi="Arial"/>
                <w:sz w:val="24"/>
                <w:szCs w:val="24"/>
              </w:rPr>
            </w:r>
          </w:p>
        </w:tc>
        <w:tc>
          <w:tcPr>
            <w:tcW w:w="22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r>
          </w:p>
          <w:p>
            <w:pPr>
              <w:pStyle w:val="ConsNonformat1"/>
              <w:ind w:left="-57" w:right="-57" w:hanging="0"/>
              <w:jc w:val="both"/>
              <w:rPr>
                <w:rFonts w:ascii="Arial" w:hAnsi="Arial" w:cs="Arial"/>
                <w:sz w:val="24"/>
                <w:szCs w:val="24"/>
              </w:rPr>
            </w:pPr>
            <w:r>
              <w:rPr>
                <w:rFonts w:cs="Arial" w:ascii="Arial" w:hAnsi="Arial"/>
                <w:sz w:val="24"/>
                <w:szCs w:val="24"/>
              </w:rPr>
              <w:t>1 ПДУ</w:t>
            </w:r>
          </w:p>
        </w:tc>
        <w:tc>
          <w:tcPr>
            <w:tcW w:w="196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Nonformat1"/>
              <w:ind w:left="-57" w:right="-57" w:hanging="0"/>
              <w:rPr>
                <w:rFonts w:ascii="Arial" w:hAnsi="Arial" w:cs="Arial"/>
                <w:sz w:val="24"/>
                <w:szCs w:val="24"/>
              </w:rPr>
            </w:pPr>
            <w:r>
              <w:rPr>
                <w:rFonts w:cs="Arial" w:ascii="Arial" w:hAnsi="Arial"/>
                <w:sz w:val="24"/>
                <w:szCs w:val="24"/>
              </w:rPr>
              <w:t>Нормативно очищенные на локальных очистных сооружениях</w:t>
            </w:r>
          </w:p>
          <w:p>
            <w:pPr>
              <w:pStyle w:val="ConsNonformat1"/>
              <w:ind w:left="-57" w:right="-57" w:hanging="0"/>
              <w:rPr>
                <w:rFonts w:ascii="Arial" w:hAnsi="Arial" w:cs="Arial"/>
                <w:sz w:val="24"/>
                <w:szCs w:val="24"/>
              </w:rPr>
            </w:pPr>
            <w:r>
              <w:rPr>
                <w:rFonts w:cs="Arial" w:ascii="Arial" w:hAnsi="Arial"/>
                <w:sz w:val="24"/>
                <w:szCs w:val="24"/>
              </w:rPr>
              <w:t>Выпуск в городской коллектор с последующей очисткой на городских КОС</w:t>
            </w:r>
          </w:p>
        </w:tc>
      </w:tr>
      <w:tr>
        <w:trPr>
          <w:trHeight w:val="455" w:hRule="atLeast"/>
        </w:trPr>
        <w:tc>
          <w:tcPr>
            <w:tcW w:w="206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Общественно-деловые зоны</w:t>
            </w:r>
          </w:p>
        </w:tc>
        <w:tc>
          <w:tcPr>
            <w:tcW w:w="178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60</w:t>
            </w:r>
          </w:p>
        </w:tc>
        <w:tc>
          <w:tcPr>
            <w:tcW w:w="178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То же</w:t>
            </w:r>
          </w:p>
        </w:tc>
        <w:tc>
          <w:tcPr>
            <w:tcW w:w="22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То же</w:t>
            </w:r>
          </w:p>
        </w:tc>
        <w:tc>
          <w:tcPr>
            <w:tcW w:w="196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Nonformat1"/>
              <w:snapToGrid w:val="false"/>
              <w:ind w:left="-57" w:right="-57" w:hanging="0"/>
              <w:rPr>
                <w:rFonts w:ascii="Arial" w:hAnsi="Arial" w:cs="Arial"/>
                <w:sz w:val="24"/>
                <w:szCs w:val="24"/>
              </w:rPr>
            </w:pPr>
            <w:r>
              <w:rPr>
                <w:rFonts w:cs="Arial" w:ascii="Arial" w:hAnsi="Arial"/>
                <w:sz w:val="24"/>
                <w:szCs w:val="24"/>
              </w:rPr>
              <w:t>То же</w:t>
            </w:r>
          </w:p>
        </w:tc>
      </w:tr>
      <w:tr>
        <w:trPr>
          <w:trHeight w:val="1743" w:hRule="atLeast"/>
        </w:trPr>
        <w:tc>
          <w:tcPr>
            <w:tcW w:w="206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Производственные зоны</w:t>
            </w:r>
          </w:p>
        </w:tc>
        <w:tc>
          <w:tcPr>
            <w:tcW w:w="178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rPr>
                <w:rFonts w:ascii="Arial" w:hAnsi="Arial" w:cs="Arial"/>
                <w:sz w:val="24"/>
                <w:szCs w:val="24"/>
              </w:rPr>
            </w:pPr>
            <w:r>
              <w:rPr>
                <w:rFonts w:cs="Arial" w:ascii="Arial" w:hAnsi="Arial"/>
                <w:sz w:val="24"/>
                <w:szCs w:val="24"/>
              </w:rPr>
              <w:t>Нормируется по границе объединенной СЗЗ</w:t>
            </w:r>
          </w:p>
          <w:p>
            <w:pPr>
              <w:pStyle w:val="ConsNonformat1"/>
              <w:ind w:left="-57" w:right="-57" w:hanging="0"/>
              <w:rPr>
                <w:rFonts w:ascii="Arial" w:hAnsi="Arial" w:cs="Arial"/>
                <w:sz w:val="24"/>
                <w:szCs w:val="24"/>
              </w:rPr>
            </w:pPr>
            <w:r>
              <w:rPr>
                <w:rFonts w:cs="Arial" w:ascii="Arial" w:hAnsi="Arial"/>
                <w:sz w:val="24"/>
                <w:szCs w:val="24"/>
              </w:rPr>
              <w:t>70</w:t>
            </w:r>
          </w:p>
        </w:tc>
        <w:tc>
          <w:tcPr>
            <w:tcW w:w="178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rPr>
                <w:rFonts w:ascii="Arial" w:hAnsi="Arial" w:cs="Arial"/>
                <w:sz w:val="24"/>
                <w:szCs w:val="24"/>
              </w:rPr>
            </w:pPr>
            <w:r>
              <w:rPr>
                <w:rFonts w:cs="Arial" w:ascii="Arial" w:hAnsi="Arial"/>
                <w:sz w:val="24"/>
                <w:szCs w:val="24"/>
              </w:rPr>
              <w:t xml:space="preserve">Нормируется по границе объединенной СЗЗ </w:t>
            </w:r>
          </w:p>
          <w:p>
            <w:pPr>
              <w:pStyle w:val="ConsNonformat1"/>
              <w:ind w:left="-57" w:right="-57" w:hanging="0"/>
              <w:rPr>
                <w:rFonts w:ascii="Arial" w:hAnsi="Arial" w:cs="Arial"/>
                <w:sz w:val="24"/>
                <w:szCs w:val="24"/>
              </w:rPr>
            </w:pPr>
            <w:r>
              <w:rPr>
                <w:rFonts w:cs="Arial" w:ascii="Arial" w:hAnsi="Arial"/>
                <w:sz w:val="24"/>
                <w:szCs w:val="24"/>
              </w:rPr>
              <w:t>1 ПДК</w:t>
            </w:r>
          </w:p>
        </w:tc>
        <w:tc>
          <w:tcPr>
            <w:tcW w:w="22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rPr>
                <w:rFonts w:ascii="Arial" w:hAnsi="Arial" w:cs="Arial"/>
                <w:sz w:val="24"/>
                <w:szCs w:val="24"/>
              </w:rPr>
            </w:pPr>
            <w:r>
              <w:rPr>
                <w:rFonts w:cs="Arial" w:ascii="Arial" w:hAnsi="Arial"/>
                <w:sz w:val="24"/>
                <w:szCs w:val="24"/>
              </w:rPr>
              <w:t>Нормируется по границе объединенной СЗЗ 1 ПДУ</w:t>
            </w:r>
          </w:p>
        </w:tc>
        <w:tc>
          <w:tcPr>
            <w:tcW w:w="196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Nonformat1"/>
              <w:snapToGrid w:val="false"/>
              <w:ind w:left="-57" w:right="-57" w:hanging="0"/>
              <w:rPr>
                <w:rFonts w:ascii="Arial" w:hAnsi="Arial" w:cs="Arial"/>
                <w:sz w:val="24"/>
                <w:szCs w:val="24"/>
              </w:rPr>
            </w:pPr>
            <w:r>
              <w:rPr>
                <w:rFonts w:cs="Arial" w:ascii="Arial" w:hAnsi="Arial"/>
                <w:sz w:val="24"/>
                <w:szCs w:val="24"/>
              </w:rPr>
              <w:t>Нормативно очи-щенные стоки на локальных очистных сооружениях с самостоятельным или централизован-ным выпуском</w:t>
            </w:r>
          </w:p>
        </w:tc>
      </w:tr>
      <w:tr>
        <w:trPr>
          <w:trHeight w:val="593" w:hRule="atLeast"/>
        </w:trPr>
        <w:tc>
          <w:tcPr>
            <w:tcW w:w="206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Рекреационные зоны</w:t>
            </w:r>
          </w:p>
        </w:tc>
        <w:tc>
          <w:tcPr>
            <w:tcW w:w="178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65</w:t>
            </w:r>
          </w:p>
        </w:tc>
        <w:tc>
          <w:tcPr>
            <w:tcW w:w="178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0,8 ПДК</w:t>
            </w:r>
          </w:p>
        </w:tc>
        <w:tc>
          <w:tcPr>
            <w:tcW w:w="22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1 ПДУ</w:t>
            </w:r>
          </w:p>
        </w:tc>
        <w:tc>
          <w:tcPr>
            <w:tcW w:w="196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Nonformat1"/>
              <w:snapToGrid w:val="false"/>
              <w:ind w:left="0" w:right="-113" w:hanging="0"/>
              <w:rPr>
                <w:rFonts w:ascii="Arial" w:hAnsi="Arial" w:cs="Arial"/>
                <w:sz w:val="24"/>
                <w:szCs w:val="24"/>
              </w:rPr>
            </w:pPr>
            <w:r>
              <w:rPr>
                <w:rFonts w:cs="Arial" w:ascii="Arial" w:hAnsi="Arial"/>
                <w:sz w:val="24"/>
                <w:szCs w:val="24"/>
              </w:rPr>
              <w:t>Нормативно очищенные на локальных очистных сооружениях с возможным самостоятельным выпуском</w:t>
            </w:r>
          </w:p>
        </w:tc>
      </w:tr>
      <w:tr>
        <w:trPr>
          <w:trHeight w:val="455" w:hRule="atLeast"/>
        </w:trPr>
        <w:tc>
          <w:tcPr>
            <w:tcW w:w="206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Зона особо охраняемых природных территорий</w:t>
            </w:r>
          </w:p>
        </w:tc>
        <w:tc>
          <w:tcPr>
            <w:tcW w:w="178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65</w:t>
            </w:r>
          </w:p>
        </w:tc>
        <w:tc>
          <w:tcPr>
            <w:tcW w:w="1785"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Не нормируется</w:t>
            </w:r>
          </w:p>
        </w:tc>
        <w:tc>
          <w:tcPr>
            <w:tcW w:w="221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ConsNonformat1"/>
              <w:snapToGrid w:val="false"/>
              <w:ind w:left="-57" w:right="-57" w:hanging="0"/>
              <w:jc w:val="both"/>
              <w:rPr>
                <w:rFonts w:ascii="Arial" w:hAnsi="Arial" w:cs="Arial"/>
                <w:sz w:val="24"/>
                <w:szCs w:val="24"/>
              </w:rPr>
            </w:pPr>
            <w:r>
              <w:rPr>
                <w:rFonts w:cs="Arial" w:ascii="Arial" w:hAnsi="Arial"/>
                <w:sz w:val="24"/>
                <w:szCs w:val="24"/>
              </w:rPr>
              <w:t>Не нормируется</w:t>
            </w:r>
          </w:p>
        </w:tc>
        <w:tc>
          <w:tcPr>
            <w:tcW w:w="196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ConsNonformat1"/>
              <w:snapToGrid w:val="false"/>
              <w:ind w:left="-113" w:right="-113" w:hanging="0"/>
              <w:rPr>
                <w:rFonts w:ascii="Arial" w:hAnsi="Arial" w:cs="Arial"/>
                <w:sz w:val="24"/>
                <w:szCs w:val="24"/>
              </w:rPr>
            </w:pPr>
            <w:r>
              <w:rPr>
                <w:rFonts w:cs="Arial" w:ascii="Arial" w:hAnsi="Arial"/>
                <w:sz w:val="24"/>
                <w:szCs w:val="24"/>
              </w:rPr>
              <w:t>Не нормируется</w:t>
            </w:r>
          </w:p>
        </w:tc>
      </w:tr>
    </w:tbl>
    <w:p>
      <w:pPr>
        <w:pStyle w:val="PlainText"/>
        <w:widowControl w:val="false"/>
        <w:spacing w:lineRule="auto" w:line="235"/>
        <w:jc w:val="both"/>
        <w:rPr>
          <w:rFonts w:ascii="Arial" w:hAnsi="Arial" w:cs="Arial"/>
          <w:sz w:val="24"/>
          <w:szCs w:val="24"/>
        </w:rPr>
      </w:pPr>
      <w:r>
        <w:rPr>
          <w:rFonts w:cs="Arial" w:ascii="Arial" w:hAnsi="Arial"/>
          <w:sz w:val="24"/>
          <w:szCs w:val="24"/>
        </w:rPr>
      </w:r>
    </w:p>
    <w:p>
      <w:pPr>
        <w:pStyle w:val="PlainText"/>
        <w:widowControl w:val="false"/>
        <w:spacing w:lineRule="auto" w:line="235"/>
        <w:ind w:left="0" w:right="0" w:firstLine="709"/>
        <w:jc w:val="both"/>
        <w:rPr>
          <w:rFonts w:ascii="Arial" w:hAnsi="Arial" w:cs="Arial"/>
          <w:sz w:val="24"/>
          <w:szCs w:val="24"/>
        </w:rPr>
      </w:pPr>
      <w:r>
        <w:rPr>
          <w:rFonts w:cs="Arial" w:ascii="Arial" w:hAnsi="Arial"/>
          <w:sz w:val="24"/>
          <w:szCs w:val="24"/>
        </w:rPr>
        <w:t>Примечание:</w:t>
      </w:r>
    </w:p>
    <w:p>
      <w:pPr>
        <w:pStyle w:val="PlainText"/>
        <w:widowControl w:val="false"/>
        <w:spacing w:lineRule="auto" w:line="235"/>
        <w:ind w:left="0" w:right="0" w:firstLine="709"/>
        <w:jc w:val="both"/>
        <w:rPr>
          <w:rFonts w:ascii="Arial" w:hAnsi="Arial" w:cs="Arial"/>
          <w:sz w:val="24"/>
          <w:szCs w:val="24"/>
        </w:rPr>
      </w:pPr>
      <w:r>
        <w:rPr>
          <w:rFonts w:cs="Arial" w:ascii="Arial" w:hAnsi="Arial"/>
          <w:sz w:val="24"/>
          <w:szCs w:val="24"/>
        </w:rPr>
        <w:t>Значение максимально допустимых уровней относятся к территориям, расположенным внутри зон. На границах зон должны обеспечиваться значения уровней воздействия, соответствующие меньшему значению из разрешенных в зонах по обе стороны границы.</w:t>
      </w:r>
    </w:p>
    <w:p>
      <w:pPr>
        <w:pStyle w:val="5551"/>
        <w:rPr/>
      </w:pPr>
      <w:r>
        <w:rPr>
          <w:rFonts w:cs="Arial" w:ascii="Arial" w:hAnsi="Arial"/>
        </w:rPr>
        <w:t xml:space="preserve">16.10. </w:t>
      </w:r>
      <w:r>
        <w:rPr>
          <w:rFonts w:cs="Arial" w:ascii="Arial" w:hAnsi="Arial"/>
          <w:i/>
        </w:rPr>
        <w:t>Регулирование микроклимата.</w:t>
      </w:r>
    </w:p>
    <w:p>
      <w:pPr>
        <w:pStyle w:val="5551"/>
        <w:rPr>
          <w:rFonts w:ascii="Arial" w:hAnsi="Arial" w:cs="Arial"/>
        </w:rPr>
      </w:pPr>
      <w:r>
        <w:rPr>
          <w:rFonts w:cs="Arial" w:ascii="Arial" w:hAnsi="Arial"/>
        </w:rPr>
        <w:t>16.10.1. Для обоснования габаритов застройки, параметров и функционального назначения участков территории проектируемого строительства, расположенных в границах квартала или микрорайона включающих в себя здания выше 35 м, следует выполнять исследование с прогнозной оценкой изменения микроклиматических условий и ветрового режима при размещении объектов и определение зон частой повторяемости неблагоприятных метеоусловий с использованием методов математического моделирования.</w:t>
      </w:r>
    </w:p>
    <w:p>
      <w:pPr>
        <w:pStyle w:val="5551"/>
        <w:rPr>
          <w:rFonts w:ascii="Arial" w:hAnsi="Arial" w:cs="Arial"/>
        </w:rPr>
      </w:pPr>
      <w:r>
        <w:rPr>
          <w:rFonts w:cs="Arial" w:ascii="Arial" w:hAnsi="Arial"/>
        </w:rPr>
        <w:t>16.10.2. Оценка изменения микроклиматических условий и ветрового режима должна включать проверку микроклимата и ветрового режима в пешеходных зонах для обеспечения комфортности пребывания людей в этих зонах при действии ветра и разносезонных погодных условий, а также выводы по оптимизации объема зданий и рекомендации по комплексному благоустройству исследуемой территории.</w:t>
      </w:r>
    </w:p>
    <w:p>
      <w:pPr>
        <w:pStyle w:val="5551"/>
        <w:rPr>
          <w:rFonts w:ascii="Arial" w:hAnsi="Arial" w:cs="Arial"/>
        </w:rPr>
      </w:pPr>
      <w:r>
        <w:rPr>
          <w:rFonts w:cs="Arial" w:ascii="Arial" w:hAnsi="Arial"/>
        </w:rPr>
        <w:t>16.10.3. В качестве рекомендуемых принимаются критерии ветрового дискомфорта, приведенные в таблице 16.10.</w:t>
      </w:r>
    </w:p>
    <w:p>
      <w:pPr>
        <w:pStyle w:val="5551"/>
        <w:jc w:val="right"/>
        <w:rPr/>
      </w:pPr>
      <w:r>
        <w:rPr>
          <w:rFonts w:cs="Arial" w:ascii="Arial" w:hAnsi="Arial"/>
        </w:rPr>
        <w:t>Таблица 16.10.</w:t>
      </w:r>
    </w:p>
    <w:tbl>
      <w:tblPr>
        <w:tblW w:w="9179" w:type="dxa"/>
        <w:jc w:val="center"/>
        <w:tblInd w:w="0" w:type="dxa"/>
        <w:tblBorders>
          <w:top w:val="single" w:sz="2" w:space="0" w:color="00000A"/>
          <w:left w:val="single" w:sz="2" w:space="0" w:color="00000A"/>
          <w:bottom w:val="single" w:sz="2" w:space="0" w:color="00000A"/>
          <w:insideH w:val="single" w:sz="2" w:space="0" w:color="00000A"/>
        </w:tblBorders>
        <w:tblCellMar>
          <w:top w:w="0" w:type="dxa"/>
          <w:left w:w="104" w:type="dxa"/>
          <w:bottom w:w="0" w:type="dxa"/>
          <w:right w:w="105" w:type="dxa"/>
        </w:tblCellMar>
      </w:tblPr>
      <w:tblGrid>
        <w:gridCol w:w="5194"/>
        <w:gridCol w:w="3985"/>
      </w:tblGrid>
      <w:tr>
        <w:trPr/>
        <w:tc>
          <w:tcPr>
            <w:tcW w:w="5194" w:type="dxa"/>
            <w:tcBorders>
              <w:top w:val="single" w:sz="2" w:space="0" w:color="00000A"/>
              <w:left w:val="single" w:sz="2" w:space="0" w:color="00000A"/>
              <w:bottom w:val="single" w:sz="2" w:space="0" w:color="00000A"/>
              <w:insideH w:val="single" w:sz="2" w:space="0" w:color="00000A"/>
            </w:tcBorders>
            <w:shd w:fill="EEECE1" w:val="clear"/>
            <w:tcMar>
              <w:left w:w="104" w:type="dxa"/>
            </w:tcMar>
          </w:tcPr>
          <w:p>
            <w:pPr>
              <w:pStyle w:val="Normal"/>
              <w:spacing w:before="0" w:after="200"/>
              <w:jc w:val="both"/>
              <w:rPr/>
            </w:pPr>
            <w:r>
              <w:rPr>
                <w:rFonts w:cs="Arial" w:ascii="Arial" w:hAnsi="Arial"/>
                <w:b/>
                <w:sz w:val="24"/>
                <w:szCs w:val="24"/>
              </w:rPr>
              <w:t>Наибольшая скорость отдельных порывов, м/с (</w:t>
            </w:r>
            <w:r>
              <w:rPr>
                <w:rFonts w:cs="Arial" w:ascii="Arial" w:hAnsi="Arial"/>
                <w:b/>
                <w:sz w:val="24"/>
                <w:szCs w:val="24"/>
              </w:rPr>
              <w:drawing>
                <wp:inline distT="0" distB="0" distL="0" distR="0">
                  <wp:extent cx="114300" cy="123825"/>
                  <wp:effectExtent l="0" t="0" r="0" b="0"/>
                  <wp:docPr id="4" name="Изображение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4" descr=""/>
                          <pic:cNvPicPr>
                            <a:picLocks noChangeAspect="1" noChangeArrowheads="1"/>
                          </pic:cNvPicPr>
                        </pic:nvPicPr>
                        <pic:blipFill>
                          <a:blip r:embed="rId15"/>
                          <a:srcRect l="-314" t="-290" r="-314" b="-290"/>
                          <a:stretch>
                            <a:fillRect/>
                          </a:stretch>
                        </pic:blipFill>
                        <pic:spPr bwMode="auto">
                          <a:xfrm>
                            <a:off x="0" y="0"/>
                            <a:ext cx="114300" cy="123825"/>
                          </a:xfrm>
                          <a:prstGeom prst="rect">
                            <a:avLst/>
                          </a:prstGeom>
                        </pic:spPr>
                      </pic:pic>
                    </a:graphicData>
                  </a:graphic>
                </wp:inline>
              </w:drawing>
            </w:r>
            <w:r>
              <w:rPr>
                <w:rFonts w:cs="Arial" w:ascii="Arial" w:hAnsi="Arial"/>
                <w:b/>
                <w:sz w:val="24"/>
                <w:szCs w:val="24"/>
              </w:rPr>
              <w:t xml:space="preserve"> )</w:t>
            </w:r>
          </w:p>
        </w:tc>
        <w:tc>
          <w:tcPr>
            <w:tcW w:w="3985"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EEECE1" w:val="clear"/>
            <w:tcMar>
              <w:left w:w="104" w:type="dxa"/>
            </w:tcMar>
          </w:tcPr>
          <w:p>
            <w:pPr>
              <w:pStyle w:val="Normal"/>
              <w:spacing w:before="0" w:after="200"/>
              <w:jc w:val="both"/>
              <w:rPr/>
            </w:pPr>
            <w:r>
              <w:rPr>
                <w:rFonts w:cs="Arial" w:ascii="Arial" w:hAnsi="Arial"/>
                <w:b/>
                <w:sz w:val="24"/>
                <w:szCs w:val="24"/>
              </w:rPr>
              <w:t>Частота повторения, ч/год (</w:t>
            </w:r>
            <w:r>
              <w:rPr>
                <w:rFonts w:cs="Arial" w:ascii="Arial" w:hAnsi="Arial"/>
                <w:b/>
                <w:sz w:val="24"/>
                <w:szCs w:val="24"/>
              </w:rPr>
              <w:drawing>
                <wp:inline distT="0" distB="0" distL="0" distR="0">
                  <wp:extent cx="152400" cy="200025"/>
                  <wp:effectExtent l="0" t="0" r="0" b="0"/>
                  <wp:docPr id="5" name="Изображение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5" descr=""/>
                          <pic:cNvPicPr>
                            <a:picLocks noChangeAspect="1" noChangeArrowheads="1"/>
                          </pic:cNvPicPr>
                        </pic:nvPicPr>
                        <pic:blipFill>
                          <a:blip r:embed="rId16"/>
                          <a:srcRect l="-236" t="-179" r="-236" b="-179"/>
                          <a:stretch>
                            <a:fillRect/>
                          </a:stretch>
                        </pic:blipFill>
                        <pic:spPr bwMode="auto">
                          <a:xfrm>
                            <a:off x="0" y="0"/>
                            <a:ext cx="152400" cy="200025"/>
                          </a:xfrm>
                          <a:prstGeom prst="rect">
                            <a:avLst/>
                          </a:prstGeom>
                        </pic:spPr>
                      </pic:pic>
                    </a:graphicData>
                  </a:graphic>
                </wp:inline>
              </w:drawing>
            </w:r>
            <w:r>
              <w:rPr>
                <w:rFonts w:cs="Arial" w:ascii="Arial" w:hAnsi="Arial"/>
                <w:b/>
                <w:sz w:val="24"/>
                <w:szCs w:val="24"/>
              </w:rPr>
              <w:t>)</w:t>
            </w:r>
          </w:p>
        </w:tc>
      </w:tr>
      <w:tr>
        <w:trPr/>
        <w:tc>
          <w:tcPr>
            <w:tcW w:w="5194" w:type="dxa"/>
            <w:tcBorders>
              <w:top w:val="single" w:sz="2" w:space="0" w:color="00000A"/>
              <w:left w:val="single" w:sz="2" w:space="0" w:color="00000A"/>
              <w:bottom w:val="single" w:sz="2" w:space="0" w:color="00000A"/>
              <w:insideH w:val="single" w:sz="2" w:space="0" w:color="00000A"/>
            </w:tcBorders>
            <w:shd w:fill="auto" w:val="clear"/>
            <w:tcMar>
              <w:left w:w="104" w:type="dxa"/>
            </w:tcMar>
          </w:tcPr>
          <w:p>
            <w:pPr>
              <w:pStyle w:val="Normal"/>
              <w:spacing w:before="0" w:after="200"/>
              <w:jc w:val="both"/>
              <w:rPr>
                <w:rFonts w:ascii="Arial" w:hAnsi="Arial" w:cs="Arial"/>
                <w:sz w:val="24"/>
                <w:szCs w:val="24"/>
              </w:rPr>
            </w:pPr>
            <w:r>
              <w:rPr>
                <w:rFonts w:cs="Arial" w:ascii="Arial" w:hAnsi="Arial"/>
                <w:sz w:val="24"/>
                <w:szCs w:val="24"/>
              </w:rPr>
              <w:t>6</w:t>
            </w:r>
          </w:p>
        </w:tc>
        <w:tc>
          <w:tcPr>
            <w:tcW w:w="3985"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104" w:type="dxa"/>
            </w:tcMar>
          </w:tcPr>
          <w:p>
            <w:pPr>
              <w:pStyle w:val="Normal"/>
              <w:spacing w:before="0" w:after="200"/>
              <w:jc w:val="both"/>
              <w:rPr>
                <w:rFonts w:ascii="Arial" w:hAnsi="Arial" w:cs="Arial"/>
                <w:sz w:val="24"/>
                <w:szCs w:val="24"/>
              </w:rPr>
            </w:pPr>
            <w:r>
              <w:rPr>
                <w:rFonts w:cs="Arial" w:ascii="Arial" w:hAnsi="Arial"/>
                <w:sz w:val="24"/>
                <w:szCs w:val="24"/>
              </w:rPr>
              <w:t>100 (10% времени)</w:t>
            </w:r>
          </w:p>
        </w:tc>
      </w:tr>
      <w:tr>
        <w:trPr/>
        <w:tc>
          <w:tcPr>
            <w:tcW w:w="5194" w:type="dxa"/>
            <w:tcBorders>
              <w:top w:val="single" w:sz="2" w:space="0" w:color="00000A"/>
              <w:left w:val="single" w:sz="2" w:space="0" w:color="00000A"/>
              <w:bottom w:val="single" w:sz="2" w:space="0" w:color="00000A"/>
              <w:insideH w:val="single" w:sz="2" w:space="0" w:color="00000A"/>
            </w:tcBorders>
            <w:shd w:fill="auto" w:val="clear"/>
            <w:tcMar>
              <w:left w:w="104" w:type="dxa"/>
            </w:tcMar>
          </w:tcPr>
          <w:p>
            <w:pPr>
              <w:pStyle w:val="Normal"/>
              <w:spacing w:before="0" w:after="200"/>
              <w:jc w:val="both"/>
              <w:rPr>
                <w:rFonts w:ascii="Arial" w:hAnsi="Arial" w:cs="Arial"/>
                <w:sz w:val="24"/>
                <w:szCs w:val="24"/>
              </w:rPr>
            </w:pPr>
            <w:r>
              <w:rPr>
                <w:rFonts w:cs="Arial" w:ascii="Arial" w:hAnsi="Arial"/>
                <w:sz w:val="24"/>
                <w:szCs w:val="24"/>
              </w:rPr>
              <w:t>12</w:t>
            </w:r>
          </w:p>
        </w:tc>
        <w:tc>
          <w:tcPr>
            <w:tcW w:w="3985"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104" w:type="dxa"/>
            </w:tcMar>
          </w:tcPr>
          <w:p>
            <w:pPr>
              <w:pStyle w:val="Normal"/>
              <w:spacing w:before="0" w:after="200"/>
              <w:jc w:val="both"/>
              <w:rPr>
                <w:rFonts w:ascii="Arial" w:hAnsi="Arial" w:cs="Arial"/>
                <w:sz w:val="24"/>
                <w:szCs w:val="24"/>
              </w:rPr>
            </w:pPr>
            <w:r>
              <w:rPr>
                <w:rFonts w:cs="Arial" w:ascii="Arial" w:hAnsi="Arial"/>
                <w:sz w:val="24"/>
                <w:szCs w:val="24"/>
              </w:rPr>
              <w:t>50 (1-2 раза в месяц)</w:t>
            </w:r>
          </w:p>
        </w:tc>
      </w:tr>
      <w:tr>
        <w:trPr/>
        <w:tc>
          <w:tcPr>
            <w:tcW w:w="5194" w:type="dxa"/>
            <w:tcBorders>
              <w:top w:val="single" w:sz="2" w:space="0" w:color="00000A"/>
              <w:left w:val="single" w:sz="2" w:space="0" w:color="00000A"/>
              <w:bottom w:val="single" w:sz="2" w:space="0" w:color="00000A"/>
              <w:insideH w:val="single" w:sz="2" w:space="0" w:color="00000A"/>
            </w:tcBorders>
            <w:shd w:fill="auto" w:val="clear"/>
            <w:tcMar>
              <w:left w:w="104" w:type="dxa"/>
            </w:tcMar>
          </w:tcPr>
          <w:p>
            <w:pPr>
              <w:pStyle w:val="Normal"/>
              <w:spacing w:before="0" w:after="200"/>
              <w:jc w:val="both"/>
              <w:rPr>
                <w:rFonts w:ascii="Arial" w:hAnsi="Arial" w:cs="Arial"/>
                <w:sz w:val="24"/>
                <w:szCs w:val="24"/>
              </w:rPr>
            </w:pPr>
            <w:r>
              <w:rPr>
                <w:rFonts w:cs="Arial" w:ascii="Arial" w:hAnsi="Arial"/>
                <w:sz w:val="24"/>
                <w:szCs w:val="24"/>
              </w:rPr>
              <w:t>20</w:t>
            </w:r>
          </w:p>
        </w:tc>
        <w:tc>
          <w:tcPr>
            <w:tcW w:w="3985"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104" w:type="dxa"/>
            </w:tcMar>
          </w:tcPr>
          <w:p>
            <w:pPr>
              <w:pStyle w:val="Normal"/>
              <w:spacing w:before="0" w:after="200"/>
              <w:jc w:val="both"/>
              <w:rPr>
                <w:rFonts w:ascii="Arial" w:hAnsi="Arial" w:cs="Arial"/>
                <w:sz w:val="24"/>
                <w:szCs w:val="24"/>
              </w:rPr>
            </w:pPr>
            <w:r>
              <w:rPr>
                <w:rFonts w:cs="Arial" w:ascii="Arial" w:hAnsi="Arial"/>
                <w:sz w:val="24"/>
                <w:szCs w:val="24"/>
              </w:rPr>
              <w:t xml:space="preserve">5 </w:t>
            </w:r>
          </w:p>
        </w:tc>
      </w:tr>
      <w:tr>
        <w:trPr/>
        <w:tc>
          <w:tcPr>
            <w:tcW w:w="5194" w:type="dxa"/>
            <w:tcBorders>
              <w:top w:val="single" w:sz="2" w:space="0" w:color="00000A"/>
              <w:left w:val="single" w:sz="2" w:space="0" w:color="00000A"/>
              <w:bottom w:val="single" w:sz="2" w:space="0" w:color="00000A"/>
              <w:insideH w:val="single" w:sz="2" w:space="0" w:color="00000A"/>
            </w:tcBorders>
            <w:shd w:fill="auto" w:val="clear"/>
            <w:tcMar>
              <w:left w:w="104" w:type="dxa"/>
            </w:tcMar>
          </w:tcPr>
          <w:p>
            <w:pPr>
              <w:pStyle w:val="Normal"/>
              <w:spacing w:before="0" w:after="200"/>
              <w:jc w:val="both"/>
              <w:rPr>
                <w:rFonts w:ascii="Arial" w:hAnsi="Arial" w:cs="Arial"/>
                <w:sz w:val="24"/>
                <w:szCs w:val="24"/>
              </w:rPr>
            </w:pPr>
            <w:r>
              <w:rPr>
                <w:rFonts w:cs="Arial" w:ascii="Arial" w:hAnsi="Arial"/>
                <w:sz w:val="24"/>
                <w:szCs w:val="24"/>
              </w:rPr>
              <w:t>25</w:t>
            </w:r>
          </w:p>
        </w:tc>
        <w:tc>
          <w:tcPr>
            <w:tcW w:w="3985"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104" w:type="dxa"/>
            </w:tcMar>
          </w:tcPr>
          <w:p>
            <w:pPr>
              <w:pStyle w:val="Normal"/>
              <w:spacing w:before="0" w:after="200"/>
              <w:jc w:val="both"/>
              <w:rPr>
                <w:rFonts w:ascii="Arial" w:hAnsi="Arial" w:cs="Arial"/>
                <w:sz w:val="24"/>
                <w:szCs w:val="24"/>
              </w:rPr>
            </w:pPr>
            <w:r>
              <w:rPr>
                <w:rFonts w:cs="Arial" w:ascii="Arial" w:hAnsi="Arial"/>
                <w:sz w:val="24"/>
                <w:szCs w:val="24"/>
              </w:rPr>
              <w:t xml:space="preserve">1 </w:t>
            </w:r>
          </w:p>
        </w:tc>
      </w:tr>
    </w:tbl>
    <w:p>
      <w:pPr>
        <w:pStyle w:val="NormalWeb"/>
        <w:spacing w:before="0" w:after="0"/>
        <w:jc w:val="both"/>
        <w:rPr>
          <w:rFonts w:ascii="Arial" w:hAnsi="Arial" w:cs="Arial"/>
        </w:rPr>
      </w:pPr>
      <w:r>
        <w:rPr>
          <w:rFonts w:cs="Arial" w:ascii="Arial" w:hAnsi="Arial"/>
        </w:rPr>
      </w:r>
    </w:p>
    <w:p>
      <w:pPr>
        <w:pStyle w:val="NormalWeb"/>
        <w:spacing w:before="0" w:after="0"/>
        <w:jc w:val="both"/>
        <w:rPr/>
      </w:pPr>
      <w:r>
        <w:rPr>
          <w:rFonts w:cs="Arial" w:ascii="Arial" w:hAnsi="Arial"/>
        </w:rPr>
        <w:t xml:space="preserve">Примечание. </w:t>
      </w:r>
      <w:r>
        <w:rPr>
          <w:rFonts w:cs="Arial" w:ascii="Arial" w:hAnsi="Arial"/>
        </w:rPr>
        <w:drawing>
          <wp:inline distT="0" distB="0" distL="0" distR="0">
            <wp:extent cx="114300" cy="123825"/>
            <wp:effectExtent l="0" t="0" r="0" b="0"/>
            <wp:docPr id="6" name="Изображение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6" descr=""/>
                    <pic:cNvPicPr>
                      <a:picLocks noChangeAspect="1" noChangeArrowheads="1"/>
                    </pic:cNvPicPr>
                  </pic:nvPicPr>
                  <pic:blipFill>
                    <a:blip r:embed="rId17"/>
                    <a:srcRect l="-314" t="-290" r="-314" b="-290"/>
                    <a:stretch>
                      <a:fillRect/>
                    </a:stretch>
                  </pic:blipFill>
                  <pic:spPr bwMode="auto">
                    <a:xfrm>
                      <a:off x="0" y="0"/>
                      <a:ext cx="114300" cy="123825"/>
                    </a:xfrm>
                    <a:prstGeom prst="rect">
                      <a:avLst/>
                    </a:prstGeom>
                  </pic:spPr>
                </pic:pic>
              </a:graphicData>
            </a:graphic>
          </wp:inline>
        </w:drawing>
      </w:r>
      <w:r>
        <w:rPr>
          <w:rFonts w:cs="Arial" w:ascii="Arial" w:hAnsi="Arial"/>
        </w:rPr>
        <w:t xml:space="preserve">определяется на основе анализа метеорологических данных в предполагаемом районе строительства и результатов продувки модели комплекса зданий (микрорайона) в аэродинамической трубе. Частота </w:t>
      </w:r>
      <w:r>
        <w:rPr>
          <w:rFonts w:cs="Arial" w:ascii="Arial" w:hAnsi="Arial"/>
        </w:rPr>
        <w:drawing>
          <wp:inline distT="0" distB="0" distL="0" distR="0">
            <wp:extent cx="152400" cy="200025"/>
            <wp:effectExtent l="0" t="0" r="0" b="0"/>
            <wp:docPr id="7" name="Изображение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7" descr=""/>
                    <pic:cNvPicPr>
                      <a:picLocks noChangeAspect="1" noChangeArrowheads="1"/>
                    </pic:cNvPicPr>
                  </pic:nvPicPr>
                  <pic:blipFill>
                    <a:blip r:embed="rId18"/>
                    <a:srcRect l="-236" t="-179" r="-236" b="-179"/>
                    <a:stretch>
                      <a:fillRect/>
                    </a:stretch>
                  </pic:blipFill>
                  <pic:spPr bwMode="auto">
                    <a:xfrm>
                      <a:off x="0" y="0"/>
                      <a:ext cx="152400" cy="200025"/>
                    </a:xfrm>
                    <a:prstGeom prst="rect">
                      <a:avLst/>
                    </a:prstGeom>
                  </pic:spPr>
                </pic:pic>
              </a:graphicData>
            </a:graphic>
          </wp:inline>
        </w:drawing>
      </w:r>
      <w:r>
        <w:rPr>
          <w:rFonts w:cs="Arial" w:ascii="Arial" w:hAnsi="Arial"/>
        </w:rPr>
        <w:t xml:space="preserve"> определяется на основе метеорологических данных в районе строительства.</w:t>
      </w:r>
    </w:p>
    <w:p>
      <w:pPr>
        <w:pStyle w:val="PlainText"/>
        <w:widowControl w:val="false"/>
        <w:spacing w:lineRule="auto" w:line="235"/>
        <w:ind w:left="0" w:right="0" w:firstLine="709"/>
        <w:jc w:val="both"/>
        <w:rPr>
          <w:rFonts w:ascii="Arial" w:hAnsi="Arial" w:cs="Arial"/>
          <w:sz w:val="24"/>
          <w:szCs w:val="24"/>
        </w:rPr>
      </w:pPr>
      <w:r>
        <w:rPr>
          <w:rFonts w:cs="Arial" w:ascii="Arial" w:hAnsi="Arial"/>
          <w:sz w:val="24"/>
          <w:szCs w:val="24"/>
        </w:rPr>
        <w:t>Для территорий дошкольных образовательных учреждений, учебных помещений общеобразовательных школ, школ-интернатов рекомендуется применять дополнительную ветрозащиту.</w:t>
      </w:r>
    </w:p>
    <w:p>
      <w:pPr>
        <w:pStyle w:val="NormalWeb"/>
        <w:spacing w:before="0" w:after="0"/>
        <w:rPr>
          <w:rFonts w:ascii="Arial" w:hAnsi="Arial" w:cs="Arial"/>
        </w:rPr>
      </w:pPr>
      <w:r>
        <w:rPr>
          <w:rFonts w:cs="Arial" w:ascii="Arial" w:hAnsi="Arial"/>
        </w:rPr>
      </w:r>
    </w:p>
    <w:p>
      <w:pPr>
        <w:pStyle w:val="Style117"/>
        <w:rPr>
          <w:rFonts w:ascii="Arial" w:hAnsi="Arial" w:cs="Arial"/>
        </w:rPr>
      </w:pPr>
      <w:bookmarkStart w:id="71" w:name="__RefHeading___Toc494193949"/>
      <w:bookmarkEnd w:id="71"/>
      <w:r>
        <w:rPr>
          <w:rFonts w:cs="Arial" w:ascii="Arial" w:hAnsi="Arial"/>
        </w:rPr>
        <w:t>17.  Охрана объектов культурного наследия (памятников истории и культуры)</w:t>
      </w:r>
    </w:p>
    <w:p>
      <w:pPr>
        <w:pStyle w:val="Style46"/>
        <w:spacing w:lineRule="atLeast" w:line="100" w:before="0" w:after="0"/>
        <w:ind w:left="0" w:right="0" w:firstLine="708"/>
        <w:jc w:val="both"/>
        <w:rPr>
          <w:rFonts w:ascii="Arial" w:hAnsi="Arial" w:cs="Arial"/>
          <w:color w:val="000000"/>
        </w:rPr>
      </w:pPr>
      <w:r>
        <w:rPr>
          <w:rFonts w:cs="Arial" w:ascii="Arial" w:hAnsi="Arial"/>
          <w:color w:val="000000"/>
        </w:rPr>
      </w:r>
    </w:p>
    <w:p>
      <w:pPr>
        <w:pStyle w:val="5551"/>
        <w:rPr/>
      </w:pPr>
      <w:r>
        <w:rPr>
          <w:rFonts w:cs="Arial" w:ascii="Arial" w:hAnsi="Arial"/>
        </w:rPr>
        <w:t>17.1.</w:t>
        <w:tab/>
      </w:r>
      <w:r>
        <w:rPr>
          <w:rFonts w:cs="Arial" w:ascii="Arial" w:hAnsi="Arial"/>
          <w:i/>
        </w:rPr>
        <w:t>Общие положения</w:t>
      </w:r>
      <w:r>
        <w:rPr>
          <w:rFonts w:cs="Arial" w:ascii="Arial" w:hAnsi="Arial"/>
        </w:rPr>
        <w:t>.</w:t>
      </w:r>
    </w:p>
    <w:p>
      <w:pPr>
        <w:pStyle w:val="5551"/>
        <w:rPr>
          <w:rFonts w:ascii="Arial" w:hAnsi="Arial" w:cs="Arial"/>
        </w:rPr>
      </w:pPr>
      <w:r>
        <w:rPr>
          <w:rFonts w:cs="Arial" w:ascii="Arial" w:hAnsi="Arial"/>
        </w:rPr>
        <w:t>17.1.1.</w:t>
        <w:tab/>
        <w:t>При подготовке генерального плана поселения следует руководствоваться требованиями законодательства об охране и использовании объектов культурного наследия (памятников истории и культуры) народов Российской Федерации (далее - объекты культурного наследия).</w:t>
      </w:r>
    </w:p>
    <w:p>
      <w:pPr>
        <w:pStyle w:val="5551"/>
        <w:rPr>
          <w:rFonts w:ascii="Arial" w:hAnsi="Arial" w:cs="Arial"/>
        </w:rPr>
      </w:pPr>
      <w:r>
        <w:rPr>
          <w:rFonts w:cs="Arial" w:ascii="Arial" w:hAnsi="Arial"/>
        </w:rPr>
        <w:t>17.1.2.</w:t>
        <w:tab/>
        <w:t>Проекты планировки территории поселения разрабатываются на основании задания, согласованного с органами охраны объектов культурного наследия, и при наличии на данных территориях памятников истории и культуры, на основании историко-архитектурного опорного плана, предусматриваются разработка проектов зон охраны памятников и согласование с органами охраны объектов культурного наследия.</w:t>
      </w:r>
    </w:p>
    <w:p>
      <w:pPr>
        <w:pStyle w:val="5551"/>
        <w:rPr>
          <w:rFonts w:ascii="Arial" w:hAnsi="Arial" w:cs="Arial"/>
        </w:rPr>
      </w:pPr>
      <w:r>
        <w:rPr>
          <w:rFonts w:cs="Arial" w:ascii="Arial" w:hAnsi="Arial"/>
        </w:rPr>
        <w:t>Проекты планировки территорий не должны предусматривать снос, перемещение или другие изменения состояния объектов культурного наследия. Изменение состояния объектов допускается в соответствии с действующим законодательством в исключительных случаях.</w:t>
      </w:r>
    </w:p>
    <w:p>
      <w:pPr>
        <w:pStyle w:val="5551"/>
        <w:rPr>
          <w:rFonts w:ascii="Arial" w:hAnsi="Arial" w:cs="Arial"/>
        </w:rPr>
      </w:pPr>
      <w:r>
        <w:rPr>
          <w:rFonts w:cs="Arial" w:ascii="Arial" w:hAnsi="Arial"/>
        </w:rPr>
        <w:t>17.1.3.</w:t>
        <w:tab/>
        <w:t>Использование объекта культурного наследия либо земельного участка или участка водного объекта, в пределах которых располагается объект археологического наследия, должно осуществляться в соответствии с требованиями Федерального закона «Об объектах культурного наследия (памятниках истории и культуры) народов Российской Федерации» и законодательства Нижегородской области об охране и использовании объектов культурного наследия.</w:t>
      </w:r>
    </w:p>
    <w:p>
      <w:pPr>
        <w:pStyle w:val="5551"/>
        <w:rPr>
          <w:rFonts w:ascii="Arial" w:hAnsi="Arial" w:cs="Arial"/>
        </w:rPr>
      </w:pPr>
      <w:r>
        <w:rPr>
          <w:rFonts w:cs="Arial" w:ascii="Arial" w:hAnsi="Arial"/>
        </w:rPr>
        <w:t>17.1.4.</w:t>
        <w:tab/>
        <w:t>К объектам культурного наследия относятся объекты недвижимого имущества со связанными с ними произведениями живописи, скульптуры, декоративно-прикладного искусства, объектами науки и техники и иными предметами материальной культуры, возникшие в результате исторических событий, представляющие собой ценность с точки зрения истории, археологии, архитектуры, градостроительства, искусства, науки и техники, эстетики, этнологии или антропологии, социальной культуры и являющиеся свидетельством эпох и цивилизаций, подлинными источниками информации о зарождении и развитии культуры.</w:t>
      </w:r>
    </w:p>
    <w:p>
      <w:pPr>
        <w:pStyle w:val="5551"/>
        <w:rPr>
          <w:rFonts w:ascii="Arial" w:hAnsi="Arial" w:cs="Arial"/>
        </w:rPr>
      </w:pPr>
      <w:r>
        <w:rPr>
          <w:rFonts w:cs="Arial" w:ascii="Arial" w:hAnsi="Arial"/>
        </w:rPr>
        <w:t>Объекты культурного наследия подразделяются на следующие виды:</w:t>
      </w:r>
    </w:p>
    <w:p>
      <w:pPr>
        <w:pStyle w:val="5551"/>
        <w:numPr>
          <w:ilvl w:val="0"/>
          <w:numId w:val="8"/>
        </w:numPr>
        <w:rPr/>
      </w:pPr>
      <w:r>
        <w:rPr>
          <w:rFonts w:cs="Arial" w:ascii="Arial" w:hAnsi="Arial"/>
          <w:i/>
        </w:rPr>
        <w:t>памятники</w:t>
      </w:r>
      <w:r>
        <w:rPr>
          <w:rFonts w:cs="Arial" w:ascii="Arial" w:hAnsi="Arial"/>
        </w:rPr>
        <w:t xml:space="preserve"> - отдельные постройки, здания и сооружения с исторически сложившимися территориями (в том числе памятники религиозного назначения); мемориальные квартиры; мавзолеи, отдельные захоронения; произведения монументального искусства; объекты науки и техники, включая военные; объекты археологического наследия;</w:t>
      </w:r>
    </w:p>
    <w:p>
      <w:pPr>
        <w:pStyle w:val="5551"/>
        <w:numPr>
          <w:ilvl w:val="0"/>
          <w:numId w:val="8"/>
        </w:numPr>
        <w:rPr/>
      </w:pPr>
      <w:r>
        <w:rPr>
          <w:rFonts w:cs="Arial" w:ascii="Arial" w:hAnsi="Arial"/>
          <w:i/>
        </w:rPr>
        <w:t>ансамбли</w:t>
      </w:r>
      <w:r>
        <w:rPr>
          <w:rFonts w:cs="Arial" w:ascii="Arial" w:hAnsi="Arial"/>
        </w:rPr>
        <w:t xml:space="preserve"> - четко локализуемые на исторически сложившихся территориях группы изолированных или объединенных памятников, строений и сооружений различного назначения (в том числе религиозного), а также фрагменты исторических планировок и застроек поселений, которые могут быть отнесены к градостроительным ансамблям;</w:t>
      </w:r>
    </w:p>
    <w:p>
      <w:pPr>
        <w:pStyle w:val="5551"/>
        <w:numPr>
          <w:ilvl w:val="0"/>
          <w:numId w:val="8"/>
        </w:numPr>
        <w:rPr/>
      </w:pPr>
      <w:r>
        <w:rPr>
          <w:rFonts w:cs="Arial" w:ascii="Arial" w:hAnsi="Arial"/>
          <w:i/>
        </w:rPr>
        <w:t>произведения ландшафтной архитектуры и садово-паркового искусства</w:t>
      </w:r>
      <w:r>
        <w:rPr>
          <w:rFonts w:cs="Arial" w:ascii="Arial" w:hAnsi="Arial"/>
        </w:rPr>
        <w:t xml:space="preserve"> (сады, парки, скверы, бульвары), некрополи;</w:t>
      </w:r>
    </w:p>
    <w:p>
      <w:pPr>
        <w:pStyle w:val="5551"/>
        <w:numPr>
          <w:ilvl w:val="0"/>
          <w:numId w:val="8"/>
        </w:numPr>
        <w:rPr/>
      </w:pPr>
      <w:r>
        <w:rPr>
          <w:rFonts w:cs="Arial" w:ascii="Arial" w:hAnsi="Arial"/>
          <w:i/>
        </w:rPr>
        <w:t>достопримечательные места</w:t>
      </w:r>
      <w:r>
        <w:rPr>
          <w:rFonts w:cs="Arial" w:ascii="Arial" w:hAnsi="Arial"/>
        </w:rPr>
        <w:t xml:space="preserve"> - творения, созданные человеком, или совместные творения человека и природы; центры исторических поселений или фрагменты градостроительной планировки и застройки; памятные места, культурные и природные ландшафты; культурные слои, остатки построек древних городов, городищ, селищ, стоянок; места совершения религиозных обрядов.</w:t>
      </w:r>
    </w:p>
    <w:p>
      <w:pPr>
        <w:pStyle w:val="5551"/>
        <w:rPr/>
      </w:pPr>
      <w:r>
        <w:rPr>
          <w:rFonts w:cs="Arial" w:ascii="Arial" w:hAnsi="Arial"/>
        </w:rPr>
        <w:t>17.2.</w:t>
        <w:tab/>
      </w:r>
      <w:r>
        <w:rPr>
          <w:rFonts w:cs="Arial" w:ascii="Arial" w:hAnsi="Arial"/>
          <w:i/>
        </w:rPr>
        <w:t>Зоны охраны объектов культурного наследия</w:t>
      </w:r>
      <w:r>
        <w:rPr>
          <w:rFonts w:cs="Arial" w:ascii="Arial" w:hAnsi="Arial"/>
        </w:rPr>
        <w:t>.</w:t>
      </w:r>
    </w:p>
    <w:p>
      <w:pPr>
        <w:pStyle w:val="5551"/>
        <w:rPr>
          <w:rFonts w:ascii="Arial" w:hAnsi="Arial" w:cs="Arial"/>
        </w:rPr>
      </w:pPr>
      <w:r>
        <w:rPr>
          <w:rFonts w:cs="Arial" w:ascii="Arial" w:hAnsi="Arial"/>
        </w:rPr>
        <w:t>17.2.1.</w:t>
        <w:tab/>
        <w:t>В целях обеспечения сохранности объекта культурного наследия в его исторической среде на сопряженной с ним территории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pPr>
        <w:pStyle w:val="5551"/>
        <w:rPr>
          <w:rFonts w:ascii="Arial" w:hAnsi="Arial" w:cs="Arial"/>
        </w:rPr>
      </w:pPr>
      <w:r>
        <w:rPr>
          <w:rFonts w:cs="Arial" w:ascii="Arial" w:hAnsi="Arial"/>
        </w:rPr>
        <w:t>Необходимый состав зон охраны объекта культурного наследия, режим использования земель и градостроительный регламент в границах зон охраны устанавливается в соответствии с проектом зон охраны объекта культурного наследия.</w:t>
      </w:r>
    </w:p>
    <w:p>
      <w:pPr>
        <w:pStyle w:val="5551"/>
        <w:rPr>
          <w:rFonts w:ascii="Arial" w:hAnsi="Arial" w:cs="Arial"/>
        </w:rPr>
      </w:pPr>
      <w:r>
        <w:rPr>
          <w:rFonts w:cs="Arial" w:ascii="Arial" w:hAnsi="Arial"/>
        </w:rPr>
        <w:t>Размещение на охраняемых территориях временных сборно-разборных сооружений, торговых точек, продукции рекламного характера производится органами местного самоуправления по согласованию с органами охраны объектов культурного наследия в каждом конкретном случае в установленном порядке.</w:t>
      </w:r>
    </w:p>
    <w:p>
      <w:pPr>
        <w:pStyle w:val="5551"/>
        <w:rPr>
          <w:rFonts w:ascii="Arial" w:hAnsi="Arial" w:cs="Arial"/>
        </w:rPr>
      </w:pPr>
      <w:r>
        <w:rPr>
          <w:rFonts w:cs="Arial" w:ascii="Arial" w:hAnsi="Arial"/>
        </w:rPr>
        <w:t>17.2.2.</w:t>
        <w:tab/>
        <w:t>Охранная зона - территория, в пределах которой в целях обеспечения сохранности объекта культурного наследия в его историческом ландшафтном окружении устанавливается особый режим использования земель и градостроительный регламент, ограничивающие хозяйственную деятельность и запрещающие строительство, за исключением применения специальных мер, направленных на сохранение и регенерацию историко-градостроительной или природной среды объекта культурного наследия. Зоны охраны памятников устанавливаются как для отдельных памятников истории и культуры, так и для их ансамблей и комплексов, а также при особых обоснованиях - для целостных памятников градостроительства (исторических зон поселений, исторических населенных пунктов и др.).</w:t>
      </w:r>
    </w:p>
    <w:p>
      <w:pPr>
        <w:pStyle w:val="5551"/>
        <w:rPr>
          <w:rFonts w:ascii="Arial" w:hAnsi="Arial" w:cs="Arial"/>
        </w:rPr>
      </w:pPr>
      <w:r>
        <w:rPr>
          <w:rFonts w:cs="Arial" w:ascii="Arial" w:hAnsi="Arial"/>
        </w:rPr>
        <w:t>17.2.3.</w:t>
        <w:tab/>
        <w:t>Зона регулирования застройки и хозяйственной деятельности - территория, в пределах которой устанавливается режим использования земель, ограничивающий строительство и хозяйственную деятельность, определяются требования к реконструкции существующих зданий и сооружений.</w:t>
      </w:r>
    </w:p>
    <w:p>
      <w:pPr>
        <w:pStyle w:val="5551"/>
        <w:rPr>
          <w:rFonts w:ascii="Arial" w:hAnsi="Arial" w:cs="Arial"/>
        </w:rPr>
      </w:pPr>
      <w:r>
        <w:rPr>
          <w:rFonts w:cs="Arial" w:ascii="Arial" w:hAnsi="Arial"/>
        </w:rPr>
        <w:t>17.2.4.</w:t>
        <w:tab/>
        <w:t>Зона охраняемого природного ландшафта - территория, в пределах которой устанавливается режим использования земель, запрещающий или ограничивающий хозяйственную деятельность, строительство и реконструкцию существующих зданий и сооружений в целях сохранения (регенерации) природного ландшафта, включая долины рек, водоемы, леса и открытые пространства, связанные композиционно с объектами культурного наследия.</w:t>
      </w:r>
    </w:p>
    <w:p>
      <w:pPr>
        <w:pStyle w:val="5551"/>
        <w:rPr>
          <w:rFonts w:ascii="Arial" w:hAnsi="Arial" w:cs="Arial"/>
        </w:rPr>
      </w:pPr>
      <w:r>
        <w:rPr>
          <w:rFonts w:cs="Arial" w:ascii="Arial" w:hAnsi="Arial"/>
        </w:rPr>
        <w:t>17.2.5.</w:t>
        <w:tab/>
        <w:t>Границы зон охраны объекта культурного наследия (за исключением границ зон охраны особо ценных объектов культурного наследия и объектов культурного наследия, включенных в Список всемирного наследия), режимы использования земель и градостроительные регламенты в границах зон утверждаются на основании проекта зон охраны объекта культурного наследия специально уполномоченным органом исполнительной власти Нижегородской области в области государственной охраны, сохранения, использования и популяризации объектов культурного наследия в отношении объектов культурного наследия федерального значения по согласованию с федеральным органом охраны объектов культурного наследия, а в отношении объектов культурного наследия регионального и местного (муниципального) значения по согласованию с соответствующим органом архитектуры и градостроительства.</w:t>
      </w:r>
    </w:p>
    <w:p>
      <w:pPr>
        <w:pStyle w:val="5551"/>
        <w:rPr/>
      </w:pPr>
      <w:r>
        <w:rPr>
          <w:rFonts w:cs="Arial" w:ascii="Arial" w:hAnsi="Arial"/>
        </w:rPr>
        <w:t>17.2.6.</w:t>
        <w:tab/>
        <w:t xml:space="preserve">До разработки проекта зон охраны и определения конкретных границ зон охраны устанавливаются </w:t>
      </w:r>
      <w:r>
        <w:rPr>
          <w:rFonts w:cs="Arial" w:ascii="Arial" w:hAnsi="Arial"/>
          <w:i/>
        </w:rPr>
        <w:t>временные границы зон охраны памятников истории, архитектуры, монументального искусства и археологии</w:t>
      </w:r>
      <w:r>
        <w:rPr>
          <w:rFonts w:cs="Arial" w:ascii="Arial" w:hAnsi="Arial"/>
        </w:rPr>
        <w:t>:</w:t>
      </w:r>
    </w:p>
    <w:p>
      <w:pPr>
        <w:pStyle w:val="5551"/>
        <w:rPr>
          <w:rFonts w:ascii="Arial" w:hAnsi="Arial" w:cs="Arial"/>
        </w:rPr>
      </w:pPr>
      <w:r>
        <w:rPr>
          <w:rFonts w:cs="Arial" w:ascii="Arial" w:hAnsi="Arial"/>
        </w:rPr>
        <w:t>1) для сохранения памятников истории устанавливаются временные границы зон охраны в размере 60 м от границ памятника по всему его периметру;</w:t>
      </w:r>
    </w:p>
    <w:p>
      <w:pPr>
        <w:pStyle w:val="5551"/>
        <w:rPr>
          <w:rFonts w:ascii="Arial" w:hAnsi="Arial" w:cs="Arial"/>
        </w:rPr>
      </w:pPr>
      <w:r>
        <w:rPr>
          <w:rFonts w:cs="Arial" w:ascii="Arial" w:hAnsi="Arial"/>
        </w:rPr>
        <w:t>2) для производственных комплексов, являющихся памятниками истории, временные границы зон охраны устанавливаются в их настоящих размерах;</w:t>
      </w:r>
    </w:p>
    <w:p>
      <w:pPr>
        <w:pStyle w:val="5551"/>
        <w:rPr>
          <w:rFonts w:ascii="Arial" w:hAnsi="Arial" w:cs="Arial"/>
        </w:rPr>
      </w:pPr>
      <w:r>
        <w:rPr>
          <w:rFonts w:cs="Arial" w:ascii="Arial" w:hAnsi="Arial"/>
        </w:rPr>
        <w:t>3) для памятников архитектуры, являющихся зданиями, устанавливаются временные границы зон охраны в размере 100 м от границ памятника архитектуры по всему его периметру;</w:t>
      </w:r>
    </w:p>
    <w:p>
      <w:pPr>
        <w:pStyle w:val="5551"/>
        <w:rPr>
          <w:rFonts w:ascii="Arial" w:hAnsi="Arial" w:cs="Arial"/>
        </w:rPr>
      </w:pPr>
      <w:r>
        <w:rPr>
          <w:rFonts w:cs="Arial" w:ascii="Arial" w:hAnsi="Arial"/>
        </w:rPr>
        <w:t>4) для памятников архитектуры, не являющихся зданиями, и памятников монументального искусства устанавливаются временные границы зон охраны в размере 40 м от границ памятника по всему его периметру;</w:t>
      </w:r>
    </w:p>
    <w:p>
      <w:pPr>
        <w:pStyle w:val="5551"/>
        <w:rPr>
          <w:rFonts w:ascii="Arial" w:hAnsi="Arial" w:cs="Arial"/>
        </w:rPr>
      </w:pPr>
      <w:r>
        <w:rPr>
          <w:rFonts w:cs="Arial" w:ascii="Arial" w:hAnsi="Arial"/>
        </w:rPr>
        <w:t>5) для памятников археологии (первое тысячелетие до н.э. - IV век н.э.) в зависимости от типа памятника устанавливаются следующие временные границы зон охраны:</w:t>
      </w:r>
    </w:p>
    <w:p>
      <w:pPr>
        <w:pStyle w:val="5551"/>
        <w:rPr>
          <w:rFonts w:ascii="Arial" w:hAnsi="Arial" w:cs="Arial"/>
        </w:rPr>
      </w:pPr>
      <w:r>
        <w:rPr>
          <w:rFonts w:cs="Arial" w:ascii="Arial" w:hAnsi="Arial"/>
        </w:rPr>
        <w:t>для поселений, городищ, грунтовых некрополей, селищ независимо от места их расположения - 500 м от границ памятника по всему его периметру;</w:t>
      </w:r>
    </w:p>
    <w:p>
      <w:pPr>
        <w:pStyle w:val="5551"/>
        <w:rPr>
          <w:rFonts w:ascii="Arial" w:hAnsi="Arial" w:cs="Arial"/>
        </w:rPr>
      </w:pPr>
      <w:r>
        <w:rPr>
          <w:rFonts w:cs="Arial" w:ascii="Arial" w:hAnsi="Arial"/>
        </w:rPr>
        <w:t>для святилищ, крепостей, стоянок, грунтовых могильников и укреплений - 200 м от границ памятника по всему его периметру;</w:t>
      </w:r>
    </w:p>
    <w:p>
      <w:pPr>
        <w:pStyle w:val="5551"/>
        <w:rPr>
          <w:rFonts w:ascii="Arial" w:hAnsi="Arial" w:cs="Arial"/>
        </w:rPr>
      </w:pPr>
      <w:r>
        <w:rPr>
          <w:rFonts w:cs="Arial" w:ascii="Arial" w:hAnsi="Arial"/>
        </w:rPr>
        <w:t>для курганов высотой:</w:t>
      </w:r>
    </w:p>
    <w:p>
      <w:pPr>
        <w:pStyle w:val="5551"/>
        <w:rPr>
          <w:rFonts w:ascii="Arial" w:hAnsi="Arial" w:cs="Arial"/>
        </w:rPr>
      </w:pPr>
      <w:r>
        <w:rPr>
          <w:rFonts w:cs="Arial" w:ascii="Arial" w:hAnsi="Arial"/>
        </w:rPr>
        <w:t>от 1 м - 50 м от подошвы кургана по всему его периметру;</w:t>
      </w:r>
    </w:p>
    <w:p>
      <w:pPr>
        <w:pStyle w:val="5551"/>
        <w:rPr>
          <w:rFonts w:ascii="Arial" w:hAnsi="Arial" w:cs="Arial"/>
        </w:rPr>
      </w:pPr>
      <w:r>
        <w:rPr>
          <w:rFonts w:cs="Arial" w:ascii="Arial" w:hAnsi="Arial"/>
        </w:rPr>
        <w:t>до 2 м - 75 м от подошвы кургана по всему его периметру;</w:t>
      </w:r>
    </w:p>
    <w:p>
      <w:pPr>
        <w:pStyle w:val="5551"/>
        <w:rPr>
          <w:rFonts w:ascii="Arial" w:hAnsi="Arial" w:cs="Arial"/>
        </w:rPr>
      </w:pPr>
      <w:r>
        <w:rPr>
          <w:rFonts w:cs="Arial" w:ascii="Arial" w:hAnsi="Arial"/>
        </w:rPr>
        <w:t>до 3 м - 125 м от подошвы кургана по всему его периметру;</w:t>
      </w:r>
    </w:p>
    <w:p>
      <w:pPr>
        <w:pStyle w:val="5551"/>
        <w:rPr>
          <w:rFonts w:ascii="Arial" w:hAnsi="Arial" w:cs="Arial"/>
        </w:rPr>
      </w:pPr>
      <w:r>
        <w:rPr>
          <w:rFonts w:cs="Arial" w:ascii="Arial" w:hAnsi="Arial"/>
        </w:rPr>
        <w:t>свыше 3 м - 150 м от подошвы кургана по всему его периметру.</w:t>
      </w:r>
    </w:p>
    <w:p>
      <w:pPr>
        <w:pStyle w:val="5551"/>
        <w:rPr>
          <w:rFonts w:ascii="Arial" w:hAnsi="Arial" w:cs="Arial"/>
        </w:rPr>
      </w:pPr>
      <w:r>
        <w:rPr>
          <w:rFonts w:cs="Arial" w:ascii="Arial" w:hAnsi="Arial"/>
        </w:rPr>
        <w:t>17.2.7.</w:t>
        <w:tab/>
        <w:t>Границы зон охраны памятников археологии определяются индивидуально краевым органом охраны памятников с указанием границы территории, занятой данным памятником и его охранной зоной, по картографическим материалам, в случае их отсутствия - путем визуального обследования памятника археологии на местности специалистами-археологами, и оформляются в установленном порядке землеустроительной документацией.</w:t>
      </w:r>
    </w:p>
    <w:p>
      <w:pPr>
        <w:pStyle w:val="5551"/>
        <w:rPr>
          <w:rFonts w:ascii="Arial" w:hAnsi="Arial" w:cs="Arial"/>
        </w:rPr>
      </w:pPr>
      <w:r>
        <w:rPr>
          <w:rFonts w:cs="Arial" w:ascii="Arial" w:hAnsi="Arial"/>
        </w:rPr>
        <w:t>17.2.8.</w:t>
        <w:tab/>
        <w:t>СНиП 2.07.01-89* установлено, что расстояния от памятников истории и культуры до транспортных и инженерных коммуникаций должны быть не менее:</w:t>
      </w:r>
    </w:p>
    <w:p>
      <w:pPr>
        <w:pStyle w:val="5551"/>
        <w:numPr>
          <w:ilvl w:val="0"/>
          <w:numId w:val="9"/>
        </w:numPr>
        <w:rPr>
          <w:rFonts w:ascii="Arial" w:hAnsi="Arial" w:cs="Arial"/>
        </w:rPr>
      </w:pPr>
      <w:r>
        <w:rPr>
          <w:rFonts w:cs="Arial" w:ascii="Arial" w:hAnsi="Arial"/>
        </w:rPr>
        <w:t>до проезжих частей магистралей скоростного и непрерывного движения:</w:t>
      </w:r>
    </w:p>
    <w:p>
      <w:pPr>
        <w:pStyle w:val="5551"/>
        <w:numPr>
          <w:ilvl w:val="0"/>
          <w:numId w:val="9"/>
        </w:numPr>
        <w:rPr>
          <w:rFonts w:ascii="Arial" w:hAnsi="Arial" w:cs="Arial"/>
        </w:rPr>
      </w:pPr>
      <w:r>
        <w:rPr>
          <w:rFonts w:cs="Arial" w:ascii="Arial" w:hAnsi="Arial"/>
        </w:rPr>
        <w:t>в условиях сложного рельефа - 100 м;</w:t>
      </w:r>
    </w:p>
    <w:p>
      <w:pPr>
        <w:pStyle w:val="5551"/>
        <w:numPr>
          <w:ilvl w:val="0"/>
          <w:numId w:val="9"/>
        </w:numPr>
        <w:rPr>
          <w:rFonts w:ascii="Arial" w:hAnsi="Arial" w:cs="Arial"/>
        </w:rPr>
      </w:pPr>
      <w:r>
        <w:rPr>
          <w:rFonts w:cs="Arial" w:ascii="Arial" w:hAnsi="Arial"/>
        </w:rPr>
        <w:t>на плоском рельефе - 59 м;</w:t>
      </w:r>
    </w:p>
    <w:p>
      <w:pPr>
        <w:pStyle w:val="5551"/>
        <w:numPr>
          <w:ilvl w:val="0"/>
          <w:numId w:val="9"/>
        </w:numPr>
        <w:rPr>
          <w:rFonts w:ascii="Arial" w:hAnsi="Arial" w:cs="Arial"/>
        </w:rPr>
      </w:pPr>
      <w:r>
        <w:rPr>
          <w:rFonts w:cs="Arial" w:ascii="Arial" w:hAnsi="Arial"/>
        </w:rPr>
        <w:t>до сетей водопровода, канализации и теплоснабжения (кроме разводящих) - 15 м;</w:t>
      </w:r>
    </w:p>
    <w:p>
      <w:pPr>
        <w:pStyle w:val="5551"/>
        <w:numPr>
          <w:ilvl w:val="0"/>
          <w:numId w:val="9"/>
        </w:numPr>
        <w:rPr>
          <w:rFonts w:ascii="Arial" w:hAnsi="Arial" w:cs="Arial"/>
        </w:rPr>
      </w:pPr>
      <w:r>
        <w:rPr>
          <w:rFonts w:cs="Arial" w:ascii="Arial" w:hAnsi="Arial"/>
        </w:rPr>
        <w:t>до других подземных инженерных сетей - 5 м.</w:t>
      </w:r>
    </w:p>
    <w:p>
      <w:pPr>
        <w:pStyle w:val="5551"/>
        <w:rPr>
          <w:rFonts w:ascii="Arial" w:hAnsi="Arial" w:cs="Arial"/>
        </w:rPr>
      </w:pPr>
      <w:r>
        <w:rPr>
          <w:rFonts w:cs="Arial" w:ascii="Arial" w:hAnsi="Arial"/>
        </w:rPr>
        <w:t>В условиях реконструкции указанные расстояния до инженерных сетей допускается сокращать, но принимать не менее:</w:t>
      </w:r>
    </w:p>
    <w:p>
      <w:pPr>
        <w:pStyle w:val="5551"/>
        <w:rPr>
          <w:rFonts w:ascii="Arial" w:hAnsi="Arial" w:cs="Arial"/>
        </w:rPr>
      </w:pPr>
      <w:r>
        <w:rPr>
          <w:rFonts w:cs="Arial" w:ascii="Arial" w:hAnsi="Arial"/>
        </w:rPr>
        <w:t>до водонесущих сетей - 5 м; неводонесущих - 2 м.</w:t>
      </w:r>
    </w:p>
    <w:p>
      <w:pPr>
        <w:pStyle w:val="5551"/>
        <w:rPr>
          <w:rFonts w:ascii="Arial" w:hAnsi="Arial" w:cs="Arial"/>
        </w:rPr>
      </w:pPr>
      <w:r>
        <w:rPr>
          <w:rFonts w:cs="Arial" w:ascii="Arial" w:hAnsi="Arial"/>
        </w:rPr>
        <w:t>При этом необходимо обеспечивать проведение специальных технических мероприятий при производстве строительных работ.</w:t>
      </w:r>
    </w:p>
    <w:p>
      <w:pPr>
        <w:pStyle w:val="5551"/>
        <w:rPr>
          <w:rFonts w:ascii="Arial" w:hAnsi="Arial" w:cs="Arial"/>
        </w:rPr>
      </w:pPr>
      <w:r>
        <w:rPr>
          <w:rFonts w:cs="Arial" w:ascii="Arial" w:hAnsi="Arial"/>
        </w:rPr>
        <w:t>17.2.9.</w:t>
        <w:tab/>
        <w:t>Проектирование и проведение землеустроительных, земляных, строительных, мелиоративных, хозяйственных и иных работ на территории объекта культурного наследия и в зонах охраны объекта культурного наследия подлежат согласованию с краевым органом охраны объектов культурного наследия.</w:t>
      </w:r>
    </w:p>
    <w:p>
      <w:pPr>
        <w:pStyle w:val="5551"/>
        <w:rPr>
          <w:rFonts w:ascii="Arial" w:hAnsi="Arial" w:cs="Arial"/>
        </w:rPr>
      </w:pPr>
      <w:r>
        <w:rPr>
          <w:rFonts w:cs="Arial" w:ascii="Arial" w:hAnsi="Arial"/>
        </w:rPr>
        <w:t>17.2.10.</w:t>
        <w:tab/>
        <w:t>Проектирование и проведение землеустроительных, земляных, строительных, мелиоративных хозяйственных и иных работ на территории памятника или ансамбля запрещается, за исключением работ по сохранению данного памятника или ансамбля и (или) их территорий, а также хозяйственной деятельности, не нарушающей целостности памятника или ансамбля и не создающей угрозы их повреждения, разрушения или уничтожения.</w:t>
      </w:r>
    </w:p>
    <w:p>
      <w:pPr>
        <w:pStyle w:val="5551"/>
        <w:rPr>
          <w:rFonts w:ascii="Arial" w:hAnsi="Arial" w:cs="Arial"/>
        </w:rPr>
      </w:pPr>
      <w:r>
        <w:rPr>
          <w:rFonts w:cs="Arial" w:ascii="Arial" w:hAnsi="Arial"/>
        </w:rPr>
        <w:t>17.2.11.</w:t>
        <w:tab/>
        <w:t>По вновь выявленным объектам, представляющим историческую, научную, художественную или иную ценность, до решения вопроса о принятии их на государственный учет как памятников истории и культуры, предусматриваются такие же мероприятия, как по памятникам истории и культуры, стоящим на государственном учете.</w:t>
      </w:r>
    </w:p>
    <w:p>
      <w:pPr>
        <w:pStyle w:val="5551"/>
        <w:rPr>
          <w:rFonts w:ascii="Arial" w:hAnsi="Arial" w:cs="Arial"/>
        </w:rPr>
      </w:pPr>
      <w:r>
        <w:rPr>
          <w:rFonts w:cs="Arial" w:ascii="Arial" w:hAnsi="Arial"/>
        </w:rPr>
        <w:t>17.2.12.</w:t>
        <w:tab/>
        <w:t>Заповедным территориям соответствует строгий режим регулирования застройки, предусматривающий сохранение и восстановление своеобразия и ценности параметров традиционного ландшафта, а также обеспечение оптимальной взаимосвязи современных построек с исторической градостроительной средой.</w:t>
      </w:r>
    </w:p>
    <w:p>
      <w:pPr>
        <w:pStyle w:val="5551"/>
        <w:rPr>
          <w:rFonts w:ascii="Arial" w:hAnsi="Arial" w:cs="Arial"/>
        </w:rPr>
      </w:pPr>
      <w:r>
        <w:rPr>
          <w:rFonts w:cs="Arial" w:ascii="Arial" w:hAnsi="Arial"/>
        </w:rPr>
        <w:t>17.2.13</w:t>
        <w:tab/>
        <w:t>Характер использования территории достопримечательного места, ограничения на использование данной территории и требования к хозяйственной деятельности, проектированию и строительству на территории достопримечательного места определяются федеральным органом охраны объектов культурного наследия в отношении объектов культурного наследия федерального значения и органом исполнительной власти Нижегородской области, уполномоченным в области охраны объектов культурного наследия, в отношении объектов культурного наследия регионального и местного (муниципального) значения, вносятся в правила землепользования и застройки и в схемы зонирования территорий, разрабатываемые в соответствии с Градостроительным кодексом Российской Федерации.</w:t>
      </w:r>
    </w:p>
    <w:p>
      <w:pPr>
        <w:pStyle w:val="5551"/>
        <w:rPr>
          <w:rFonts w:ascii="Arial" w:hAnsi="Arial" w:cs="Arial"/>
        </w:rPr>
      </w:pPr>
      <w:r>
        <w:rPr>
          <w:rFonts w:cs="Arial" w:ascii="Arial" w:hAnsi="Arial"/>
        </w:rPr>
        <w:t>17.2.14</w:t>
        <w:tab/>
        <w:t>Историческим поселением является сельское поселение, в границах территории которого расположены объекты культурного наследия: памятники, ансамбли, достопримечательные места, а также иные культурные ценности, созданные в прошлом, представляющие собой археологическую, историческую, архитектурную, градостроительную, эстетическую, научную или социально-культурную ценность, имеющие важное значение для сохранения самобытности народов Российской Федерации, их вклада в мировую цивилизацию.</w:t>
      </w:r>
    </w:p>
    <w:p>
      <w:pPr>
        <w:pStyle w:val="NoSpacing"/>
        <w:jc w:val="both"/>
        <w:rPr>
          <w:rFonts w:ascii="Arial" w:hAnsi="Arial" w:cs="Arial"/>
          <w:sz w:val="24"/>
          <w:szCs w:val="24"/>
        </w:rPr>
      </w:pPr>
      <w:r>
        <w:rPr>
          <w:rFonts w:cs="Arial" w:ascii="Arial" w:hAnsi="Arial"/>
          <w:sz w:val="24"/>
          <w:szCs w:val="24"/>
        </w:rPr>
      </w:r>
    </w:p>
    <w:p>
      <w:pPr>
        <w:pStyle w:val="Style117"/>
        <w:rPr>
          <w:rFonts w:ascii="Arial" w:hAnsi="Arial" w:cs="Arial"/>
        </w:rPr>
      </w:pPr>
      <w:bookmarkStart w:id="72" w:name="__RefHeading___Toc494193950"/>
      <w:bookmarkEnd w:id="72"/>
      <w:r>
        <w:rPr>
          <w:rFonts w:cs="Arial" w:ascii="Arial" w:hAnsi="Arial"/>
        </w:rPr>
        <w:t>18. Иные расчетные показатели</w:t>
      </w:r>
    </w:p>
    <w:p>
      <w:pPr>
        <w:pStyle w:val="NoSpacing"/>
        <w:numPr>
          <w:ilvl w:val="0"/>
          <w:numId w:val="0"/>
        </w:numPr>
        <w:ind w:left="0" w:right="0" w:firstLine="568"/>
        <w:jc w:val="center"/>
        <w:rPr>
          <w:rFonts w:ascii="Arial" w:hAnsi="Arial" w:cs="Arial"/>
          <w:b/>
          <w:b/>
          <w:i/>
          <w:i/>
          <w:sz w:val="24"/>
          <w:szCs w:val="24"/>
        </w:rPr>
      </w:pPr>
      <w:r>
        <w:rPr>
          <w:rFonts w:cs="Arial" w:ascii="Arial" w:hAnsi="Arial"/>
          <w:b/>
          <w:i/>
          <w:sz w:val="24"/>
          <w:szCs w:val="24"/>
        </w:rPr>
      </w:r>
    </w:p>
    <w:p>
      <w:pPr>
        <w:pStyle w:val="5551"/>
        <w:rPr/>
      </w:pPr>
      <w:bookmarkStart w:id="73" w:name="__RefHeading___Toc494193951"/>
      <w:r>
        <w:rPr>
          <w:rStyle w:val="55555"/>
          <w:rFonts w:eastAsia="Calibri" w:cs="Arial" w:ascii="Arial" w:hAnsi="Arial"/>
        </w:rPr>
        <w:t>18.1. Расчетные показатели минимального уровня обеспеченности объектами для обслуживания сельскохозяйственных и домашних животных, принадлежащих населению сельского поселения</w:t>
      </w:r>
      <w:bookmarkEnd w:id="73"/>
      <w:r>
        <w:rPr>
          <w:rFonts w:cs="Arial" w:ascii="Arial" w:hAnsi="Arial"/>
          <w:i/>
        </w:rPr>
        <w:t>.</w:t>
      </w:r>
    </w:p>
    <w:p>
      <w:pPr>
        <w:pStyle w:val="5551"/>
        <w:rPr/>
      </w:pPr>
      <w:r>
        <w:rPr>
          <w:rFonts w:cs="Arial" w:ascii="Arial" w:hAnsi="Arial"/>
        </w:rPr>
        <w:t xml:space="preserve">Расчетные показатели обеспеченности объектами для обслуживания сельскохозяйственных и домашних животных, принадлежащих населению </w:t>
      </w:r>
      <w:r>
        <w:rPr>
          <w:rFonts w:eastAsia="Times New Roman" w:cs="Arial" w:ascii="Arial" w:hAnsi="Arial"/>
          <w:lang w:eastAsia="ar-SA"/>
        </w:rPr>
        <w:t>сельского</w:t>
      </w:r>
      <w:r>
        <w:rPr>
          <w:rFonts w:cs="Arial" w:ascii="Arial" w:hAnsi="Arial"/>
        </w:rPr>
        <w:t xml:space="preserve"> поселения, принимается в соответствии с таблицей 18.1.</w:t>
      </w:r>
    </w:p>
    <w:p>
      <w:pPr>
        <w:pStyle w:val="Style46"/>
        <w:spacing w:before="0" w:after="0"/>
        <w:ind w:left="0" w:right="0" w:firstLine="851"/>
        <w:jc w:val="right"/>
        <w:rPr>
          <w:rFonts w:ascii="Arial" w:hAnsi="Arial" w:cs="Arial"/>
        </w:rPr>
      </w:pPr>
      <w:r>
        <w:rPr>
          <w:rFonts w:cs="Arial" w:ascii="Arial" w:hAnsi="Arial"/>
        </w:rPr>
        <w:t>Таблица 18.1</w:t>
      </w:r>
    </w:p>
    <w:tbl>
      <w:tblPr>
        <w:tblW w:w="9570"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850"/>
        <w:gridCol w:w="3923"/>
        <w:gridCol w:w="2197"/>
        <w:gridCol w:w="2600"/>
      </w:tblGrid>
      <w:tr>
        <w:trPr>
          <w:trHeight w:val="565" w:hRule="atLeast"/>
        </w:trPr>
        <w:tc>
          <w:tcPr>
            <w:tcW w:w="850"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uppressAutoHyphens w:val="true"/>
              <w:snapToGrid w:val="false"/>
              <w:spacing w:lineRule="auto" w:line="240" w:before="0" w:after="0"/>
              <w:jc w:val="center"/>
              <w:rPr/>
            </w:pPr>
            <w:r>
              <w:rPr>
                <w:rFonts w:eastAsia="Times New Roman" w:cs="Arial" w:ascii="Arial" w:hAnsi="Arial"/>
                <w:b/>
                <w:color w:val="000000"/>
                <w:sz w:val="24"/>
                <w:szCs w:val="24"/>
                <w:lang w:eastAsia="ar-SA"/>
              </w:rPr>
              <w:t>№</w:t>
            </w:r>
            <w:r>
              <w:rPr>
                <w:rFonts w:eastAsia="Arial" w:cs="Arial" w:ascii="Arial" w:hAnsi="Arial"/>
                <w:b/>
                <w:color w:val="000000"/>
                <w:sz w:val="24"/>
                <w:szCs w:val="24"/>
                <w:lang w:eastAsia="ar-SA"/>
              </w:rPr>
              <w:t xml:space="preserve"> </w:t>
            </w:r>
            <w:r>
              <w:rPr>
                <w:rFonts w:eastAsia="Times New Roman" w:cs="Arial" w:ascii="Arial" w:hAnsi="Arial"/>
                <w:b/>
                <w:color w:val="000000"/>
                <w:sz w:val="24"/>
                <w:szCs w:val="24"/>
                <w:lang w:eastAsia="ar-SA"/>
              </w:rPr>
              <w:t>п/п</w:t>
            </w:r>
          </w:p>
        </w:tc>
        <w:tc>
          <w:tcPr>
            <w:tcW w:w="3923"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uppressAutoHyphens w:val="true"/>
              <w:snapToGrid w:val="false"/>
              <w:spacing w:lineRule="auto" w:line="240" w:before="0" w:after="0"/>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Наименование объекта</w:t>
            </w:r>
          </w:p>
        </w:tc>
        <w:tc>
          <w:tcPr>
            <w:tcW w:w="2197"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uppressAutoHyphens w:val="true"/>
              <w:snapToGrid w:val="false"/>
              <w:spacing w:lineRule="auto" w:line="240" w:before="0" w:after="0"/>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Единица измерения</w:t>
            </w:r>
          </w:p>
        </w:tc>
        <w:tc>
          <w:tcPr>
            <w:tcW w:w="260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tcPr>
          <w:p>
            <w:pPr>
              <w:pStyle w:val="Normal"/>
              <w:suppressAutoHyphens w:val="true"/>
              <w:snapToGrid w:val="false"/>
              <w:spacing w:lineRule="auto" w:line="240" w:before="0" w:after="0"/>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Величина</w:t>
            </w:r>
          </w:p>
        </w:tc>
      </w:tr>
      <w:tr>
        <w:trPr>
          <w:trHeight w:val="533" w:hRule="atLeast"/>
        </w:trPr>
        <w:tc>
          <w:tcPr>
            <w:tcW w:w="850"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w:t>
            </w:r>
          </w:p>
        </w:tc>
        <w:tc>
          <w:tcPr>
            <w:tcW w:w="3923"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Ветеринарная станция</w:t>
            </w:r>
          </w:p>
        </w:tc>
        <w:tc>
          <w:tcPr>
            <w:tcW w:w="2197"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Объект</w:t>
            </w:r>
          </w:p>
        </w:tc>
        <w:tc>
          <w:tcPr>
            <w:tcW w:w="2600"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на 150 тыс. человек</w:t>
            </w:r>
          </w:p>
        </w:tc>
      </w:tr>
    </w:tbl>
    <w:p>
      <w:pPr>
        <w:pStyle w:val="5551"/>
        <w:rPr>
          <w:rFonts w:ascii="Arial" w:hAnsi="Arial" w:cs="Arial"/>
        </w:rPr>
      </w:pPr>
      <w:r>
        <w:rPr>
          <w:rFonts w:cs="Arial" w:ascii="Arial" w:hAnsi="Arial"/>
        </w:rPr>
        <w:t>Предусматривается размещение филиалов ветеринарных станций и ветеринарных пунктов в отдаленных населенных пунктах, жилых районах сельских населенных пунктов при фактической необходимости.</w:t>
      </w:r>
    </w:p>
    <w:p>
      <w:pPr>
        <w:pStyle w:val="5551"/>
        <w:rPr/>
      </w:pPr>
      <w:r>
        <w:rPr>
          <w:rFonts w:cs="Arial" w:ascii="Arial" w:hAnsi="Arial"/>
        </w:rPr>
        <w:t xml:space="preserve">18.2 </w:t>
        <w:tab/>
      </w:r>
      <w:r>
        <w:rPr>
          <w:rFonts w:cs="Arial" w:ascii="Arial" w:hAnsi="Arial"/>
          <w:i/>
        </w:rPr>
        <w:t>Расчетные показатели максимального уровня территориальной доступности объектов для обслуживания сельскохозяйственных и домашних животных, принадлежащих  населению сельского поселения.</w:t>
      </w:r>
    </w:p>
    <w:p>
      <w:pPr>
        <w:pStyle w:val="5551"/>
        <w:rPr/>
      </w:pPr>
      <w:r>
        <w:rPr>
          <w:rFonts w:cs="Arial" w:ascii="Arial" w:hAnsi="Arial"/>
        </w:rPr>
        <w:t>Доступность объектов для обслуживания сельскохозяйственных и домашних животных, принадлежащих  населению сельского поселения</w:t>
      </w:r>
      <w:r>
        <w:rPr>
          <w:rFonts w:eastAsia="Times New Roman" w:cs="Arial" w:ascii="Arial" w:hAnsi="Arial"/>
          <w:lang w:eastAsia="ar-SA"/>
        </w:rPr>
        <w:t xml:space="preserve"> </w:t>
      </w:r>
      <w:r>
        <w:rPr>
          <w:rFonts w:cs="Arial" w:ascii="Arial" w:hAnsi="Arial"/>
        </w:rPr>
        <w:t>принимается равной:</w:t>
      </w:r>
    </w:p>
    <w:p>
      <w:pPr>
        <w:pStyle w:val="5551"/>
        <w:rPr>
          <w:rFonts w:ascii="Arial" w:hAnsi="Arial" w:cs="Arial"/>
        </w:rPr>
      </w:pPr>
      <w:r>
        <w:rPr>
          <w:rFonts w:cs="Arial" w:ascii="Arial" w:hAnsi="Arial"/>
        </w:rPr>
        <w:t>пешеходная - не более 2500 м.;</w:t>
      </w:r>
    </w:p>
    <w:p>
      <w:pPr>
        <w:pStyle w:val="5551"/>
        <w:rPr>
          <w:rFonts w:ascii="Arial" w:hAnsi="Arial" w:cs="Arial"/>
        </w:rPr>
      </w:pPr>
      <w:r>
        <w:rPr>
          <w:rFonts w:cs="Arial" w:ascii="Arial" w:hAnsi="Arial"/>
        </w:rPr>
        <w:t>транспортная - не более 35 минут.</w:t>
      </w:r>
    </w:p>
    <w:p>
      <w:pPr>
        <w:pStyle w:val="Style46"/>
        <w:spacing w:lineRule="atLeast" w:line="100" w:before="0" w:after="0"/>
        <w:jc w:val="both"/>
        <w:rPr>
          <w:rFonts w:ascii="Arial" w:hAnsi="Arial" w:cs="Arial"/>
          <w:color w:val="000000"/>
        </w:rPr>
      </w:pPr>
      <w:r>
        <w:rPr>
          <w:rFonts w:cs="Arial" w:ascii="Arial" w:hAnsi="Arial"/>
          <w:color w:val="000000"/>
        </w:rPr>
      </w:r>
    </w:p>
    <w:p>
      <w:pPr>
        <w:pStyle w:val="Style46"/>
        <w:spacing w:lineRule="atLeast" w:line="100" w:before="0" w:after="0"/>
        <w:jc w:val="both"/>
        <w:rPr>
          <w:rFonts w:ascii="Arial" w:hAnsi="Arial" w:cs="Arial"/>
          <w:color w:val="000000"/>
        </w:rPr>
      </w:pPr>
      <w:r>
        <w:rPr>
          <w:rFonts w:cs="Arial" w:ascii="Arial" w:hAnsi="Arial"/>
          <w:color w:val="000000"/>
        </w:rPr>
      </w:r>
    </w:p>
    <w:p>
      <w:pPr>
        <w:pStyle w:val="Style46"/>
        <w:spacing w:lineRule="atLeast" w:line="100" w:before="0" w:after="0"/>
        <w:jc w:val="both"/>
        <w:rPr>
          <w:rFonts w:ascii="Arial" w:hAnsi="Arial" w:cs="Arial"/>
          <w:color w:val="000000"/>
        </w:rPr>
      </w:pPr>
      <w:r>
        <w:rPr>
          <w:rFonts w:cs="Arial" w:ascii="Arial" w:hAnsi="Arial"/>
          <w:color w:val="000000"/>
        </w:rPr>
      </w:r>
    </w:p>
    <w:p>
      <w:pPr>
        <w:pStyle w:val="Style46"/>
        <w:spacing w:lineRule="atLeast" w:line="100" w:before="0" w:after="0"/>
        <w:jc w:val="both"/>
        <w:rPr>
          <w:rFonts w:ascii="Arial" w:hAnsi="Arial" w:cs="Arial"/>
          <w:color w:val="000000"/>
        </w:rPr>
      </w:pPr>
      <w:r>
        <w:rPr>
          <w:rFonts w:cs="Arial" w:ascii="Arial" w:hAnsi="Arial"/>
          <w:color w:val="000000"/>
        </w:rPr>
      </w:r>
    </w:p>
    <w:p>
      <w:pPr>
        <w:pStyle w:val="Style46"/>
        <w:spacing w:lineRule="atLeast" w:line="100" w:before="0" w:after="0"/>
        <w:jc w:val="both"/>
        <w:rPr>
          <w:rFonts w:ascii="Arial" w:hAnsi="Arial" w:cs="Arial"/>
          <w:color w:val="000000"/>
        </w:rPr>
      </w:pPr>
      <w:r>
        <w:rPr>
          <w:rFonts w:cs="Arial" w:ascii="Arial" w:hAnsi="Arial"/>
          <w:color w:val="000000"/>
        </w:rPr>
      </w:r>
    </w:p>
    <w:p>
      <w:pPr>
        <w:pStyle w:val="Style46"/>
        <w:spacing w:lineRule="atLeast" w:line="100" w:before="0" w:after="0"/>
        <w:jc w:val="both"/>
        <w:rPr>
          <w:rFonts w:ascii="Arial" w:hAnsi="Arial" w:cs="Arial"/>
          <w:color w:val="000000"/>
        </w:rPr>
      </w:pPr>
      <w:r>
        <w:rPr>
          <w:rFonts w:cs="Arial" w:ascii="Arial" w:hAnsi="Arial"/>
          <w:color w:val="000000"/>
        </w:rPr>
      </w:r>
    </w:p>
    <w:p>
      <w:pPr>
        <w:pStyle w:val="Style46"/>
        <w:spacing w:lineRule="atLeast" w:line="100" w:before="0" w:after="0"/>
        <w:jc w:val="both"/>
        <w:rPr>
          <w:rFonts w:ascii="Arial" w:hAnsi="Arial" w:cs="Arial"/>
          <w:color w:val="000000"/>
        </w:rPr>
      </w:pPr>
      <w:r>
        <w:rPr>
          <w:rFonts w:cs="Arial" w:ascii="Arial" w:hAnsi="Arial"/>
          <w:color w:val="000000"/>
        </w:rPr>
      </w:r>
    </w:p>
    <w:p>
      <w:pPr>
        <w:pStyle w:val="Style46"/>
        <w:spacing w:lineRule="atLeast" w:line="100" w:before="0" w:after="0"/>
        <w:jc w:val="both"/>
        <w:rPr>
          <w:rFonts w:ascii="Arial" w:hAnsi="Arial" w:cs="Arial"/>
          <w:color w:val="000000"/>
        </w:rPr>
      </w:pPr>
      <w:r>
        <w:rPr>
          <w:rFonts w:cs="Arial" w:ascii="Arial" w:hAnsi="Arial"/>
          <w:color w:val="000000"/>
        </w:rPr>
      </w:r>
    </w:p>
    <w:p>
      <w:pPr>
        <w:pStyle w:val="Style46"/>
        <w:spacing w:lineRule="atLeast" w:line="100" w:before="0" w:after="0"/>
        <w:jc w:val="both"/>
        <w:rPr>
          <w:rFonts w:ascii="Arial" w:hAnsi="Arial" w:cs="Arial"/>
          <w:color w:val="000000"/>
        </w:rPr>
      </w:pPr>
      <w:r>
        <w:rPr>
          <w:rFonts w:cs="Arial" w:ascii="Arial" w:hAnsi="Arial"/>
          <w:color w:val="000000"/>
        </w:rPr>
      </w:r>
    </w:p>
    <w:p>
      <w:pPr>
        <w:pStyle w:val="Style46"/>
        <w:spacing w:lineRule="atLeast" w:line="100" w:before="0" w:after="0"/>
        <w:jc w:val="both"/>
        <w:rPr>
          <w:rFonts w:ascii="Arial" w:hAnsi="Arial" w:cs="Arial"/>
          <w:color w:val="000000"/>
        </w:rPr>
      </w:pPr>
      <w:r>
        <w:rPr>
          <w:rFonts w:cs="Arial" w:ascii="Arial" w:hAnsi="Arial"/>
          <w:color w:val="000000"/>
        </w:rPr>
      </w:r>
    </w:p>
    <w:p>
      <w:pPr>
        <w:pStyle w:val="Style46"/>
        <w:spacing w:lineRule="atLeast" w:line="100" w:before="0" w:after="0"/>
        <w:jc w:val="both"/>
        <w:rPr>
          <w:rFonts w:ascii="Arial" w:hAnsi="Arial" w:cs="Arial"/>
          <w:color w:val="000000"/>
        </w:rPr>
      </w:pPr>
      <w:r>
        <w:rPr>
          <w:rFonts w:cs="Arial" w:ascii="Arial" w:hAnsi="Arial"/>
          <w:color w:val="000000"/>
        </w:rPr>
      </w:r>
    </w:p>
    <w:p>
      <w:pPr>
        <w:pStyle w:val="Normal"/>
        <w:spacing w:lineRule="auto" w:line="240" w:before="120" w:after="0"/>
        <w:rPr>
          <w:rFonts w:ascii="Arial" w:hAnsi="Arial" w:cs="Arial"/>
          <w:b/>
          <w:b/>
          <w:color w:val="000000"/>
          <w:sz w:val="32"/>
          <w:szCs w:val="32"/>
        </w:rPr>
      </w:pPr>
      <w:r>
        <w:rPr>
          <w:rFonts w:cs="Arial" w:ascii="Arial" w:hAnsi="Arial"/>
          <w:b/>
          <w:color w:val="000000"/>
          <w:sz w:val="32"/>
          <w:szCs w:val="32"/>
        </w:rPr>
      </w:r>
    </w:p>
    <w:p>
      <w:pPr>
        <w:pStyle w:val="Normal"/>
        <w:spacing w:lineRule="auto" w:line="240" w:before="120" w:after="0"/>
        <w:jc w:val="center"/>
        <w:rPr>
          <w:rFonts w:ascii="Arial" w:hAnsi="Arial" w:cs="Arial"/>
          <w:b/>
          <w:b/>
          <w:sz w:val="32"/>
          <w:szCs w:val="32"/>
        </w:rPr>
      </w:pPr>
      <w:r>
        <w:rPr>
          <w:rFonts w:cs="Arial" w:ascii="Arial" w:hAnsi="Arial"/>
          <w:b/>
          <w:sz w:val="32"/>
          <w:szCs w:val="32"/>
        </w:rPr>
        <w:t>Часть2</w:t>
      </w:r>
    </w:p>
    <w:p>
      <w:pPr>
        <w:pStyle w:val="Normal"/>
        <w:spacing w:lineRule="auto" w:line="240" w:before="0" w:after="0"/>
        <w:rPr>
          <w:rFonts w:ascii="Arial" w:hAnsi="Arial" w:cs="Arial"/>
          <w:b/>
          <w:b/>
          <w:sz w:val="32"/>
          <w:szCs w:val="32"/>
        </w:rPr>
      </w:pPr>
      <w:r>
        <w:rPr>
          <w:rFonts w:cs="Arial" w:ascii="Arial" w:hAnsi="Arial"/>
          <w:b/>
          <w:sz w:val="32"/>
          <w:szCs w:val="32"/>
        </w:rPr>
      </w:r>
    </w:p>
    <w:p>
      <w:pPr>
        <w:pStyle w:val="Normal"/>
        <w:spacing w:lineRule="auto" w:line="240" w:before="120" w:after="0"/>
        <w:jc w:val="center"/>
        <w:rPr>
          <w:rFonts w:ascii="Arial" w:hAnsi="Arial" w:cs="Arial"/>
          <w:b/>
          <w:b/>
          <w:bCs/>
          <w:sz w:val="32"/>
          <w:szCs w:val="32"/>
          <w:lang w:eastAsia="ru-RU"/>
        </w:rPr>
      </w:pPr>
      <w:r>
        <w:rPr>
          <w:rFonts w:cs="Arial" w:ascii="Arial" w:hAnsi="Arial"/>
          <w:b/>
          <w:bCs/>
          <w:sz w:val="32"/>
          <w:szCs w:val="32"/>
          <w:lang w:eastAsia="ru-RU"/>
        </w:rPr>
        <w:t>МАТЕРИАЛЫ ПО ОБОСНОВАНИЮ РАСЧЕТНЫХ ПОКАЗАТЕЛЕЙ</w:t>
      </w:r>
    </w:p>
    <w:p>
      <w:pPr>
        <w:pStyle w:val="Normal"/>
        <w:spacing w:lineRule="auto" w:line="240" w:before="0" w:after="0"/>
        <w:rPr>
          <w:rFonts w:ascii="Arial" w:hAnsi="Arial" w:eastAsia="Times New Roman" w:cs="Arial"/>
          <w:b/>
          <w:b/>
          <w:bCs/>
          <w:sz w:val="24"/>
          <w:szCs w:val="24"/>
          <w:lang w:eastAsia="ru-RU"/>
        </w:rPr>
      </w:pPr>
      <w:r>
        <w:rPr>
          <w:rFonts w:eastAsia="Times New Roman" w:cs="Arial" w:ascii="Arial" w:hAnsi="Arial"/>
          <w:b/>
          <w:bCs/>
          <w:sz w:val="24"/>
          <w:szCs w:val="24"/>
          <w:lang w:eastAsia="ru-RU"/>
        </w:rPr>
      </w:r>
    </w:p>
    <w:p>
      <w:pPr>
        <w:pStyle w:val="113"/>
        <w:rPr>
          <w:rFonts w:ascii="Arial" w:hAnsi="Arial" w:cs="Arial"/>
          <w:sz w:val="24"/>
          <w:szCs w:val="24"/>
          <w:u w:val="single"/>
        </w:rPr>
      </w:pPr>
      <w:r>
        <w:rPr>
          <w:rFonts w:cs="Arial" w:ascii="Arial" w:hAnsi="Arial"/>
          <w:sz w:val="24"/>
          <w:szCs w:val="24"/>
          <w:u w:val="single"/>
        </w:rPr>
        <w:t>Оглавление</w:t>
      </w:r>
    </w:p>
    <w:p>
      <w:pPr>
        <w:pStyle w:val="113"/>
        <w:rPr/>
      </w:pPr>
      <w:r>
        <w:fldChar w:fldCharType="begin"/>
      </w:r>
      <w:r>
        <w:instrText> HYPERLINK "file:///D:/! Вадим/! www.sharanga.nnov.ru/Sel'skie poseleniya/Kushnur/2017/Re//C:/Users/Специалист/Desktop/Мои документы/декабрь 2017/MNGP2.docx" \l "__RefHeading___Toc494965523"</w:instrText>
      </w:r>
      <w:r>
        <w:fldChar w:fldCharType="separate"/>
      </w:r>
      <w:r>
        <w:rPr>
          <w:rStyle w:val="Style9"/>
          <w:rFonts w:cs="Arial" w:ascii="Arial" w:hAnsi="Arial"/>
          <w:sz w:val="24"/>
          <w:szCs w:val="24"/>
        </w:rPr>
        <w:t>1.</w:t>
      </w:r>
      <w:r>
        <w:fldChar w:fldCharType="end"/>
      </w:r>
      <w:r>
        <w:rPr>
          <w:rStyle w:val="Style9"/>
          <w:rFonts w:eastAsia="" w:cs="Arial" w:ascii="Arial" w:hAnsi="Arial"/>
          <w:sz w:val="24"/>
          <w:szCs w:val="24"/>
          <w:lang w:eastAsia="ru-RU"/>
        </w:rPr>
        <w:tab/>
      </w:r>
      <w:r>
        <w:rPr>
          <w:rStyle w:val="Style9"/>
          <w:rFonts w:cs="Arial" w:ascii="Arial" w:hAnsi="Arial"/>
          <w:sz w:val="24"/>
          <w:szCs w:val="24"/>
        </w:rPr>
        <w:t>Список нормативных правовых актов, использованных при подготовке местных нормативов градостроительного проектирования</w:t>
      </w:r>
      <w:r>
        <w:rPr>
          <w:rStyle w:val="Style9"/>
          <w:rFonts w:cs="Arial" w:ascii="Arial" w:hAnsi="Arial"/>
          <w:vanish/>
          <w:sz w:val="24"/>
          <w:szCs w:val="24"/>
        </w:rPr>
        <w:tab/>
        <w:t xml:space="preserve">                                                     111</w:t>
      </w:r>
    </w:p>
    <w:p>
      <w:pPr>
        <w:pStyle w:val="113"/>
        <w:rPr/>
      </w:pPr>
      <w:r>
        <w:fldChar w:fldCharType="begin"/>
      </w:r>
      <w:r>
        <w:instrText> HYPERLINK "file:///D:/! Вадим/! www.sharanga.nnov.ru/Sel'skie poseleniya/Kushnur/2017/Re//C:/Users/Специалист/Desktop/Мои документы/декабрь 2017/MNGP2.docx" \l "__RefHeading___Toc494965524"</w:instrText>
      </w:r>
      <w:r>
        <w:fldChar w:fldCharType="separate"/>
      </w:r>
      <w:r>
        <w:rPr>
          <w:rStyle w:val="Style9"/>
          <w:rFonts w:cs="Arial" w:ascii="Arial" w:hAnsi="Arial"/>
          <w:sz w:val="24"/>
          <w:szCs w:val="24"/>
        </w:rPr>
        <w:t>2.</w:t>
      </w:r>
      <w:r>
        <w:fldChar w:fldCharType="end"/>
      </w:r>
      <w:r>
        <w:rPr>
          <w:rStyle w:val="Style9"/>
          <w:rFonts w:eastAsia="" w:cs="Arial" w:ascii="Arial" w:hAnsi="Arial"/>
          <w:sz w:val="24"/>
          <w:szCs w:val="24"/>
          <w:lang w:eastAsia="ru-RU"/>
        </w:rPr>
        <w:tab/>
      </w:r>
      <w:r>
        <w:rPr>
          <w:rStyle w:val="Style9"/>
          <w:rFonts w:cs="Arial" w:ascii="Arial" w:hAnsi="Arial"/>
          <w:sz w:val="24"/>
          <w:szCs w:val="24"/>
        </w:rPr>
        <w:t>Цели и задачи</w:t>
      </w:r>
      <w:r>
        <w:rPr>
          <w:rStyle w:val="Style9"/>
          <w:rFonts w:cs="Arial" w:ascii="Arial" w:hAnsi="Arial"/>
          <w:vanish/>
          <w:sz w:val="24"/>
          <w:szCs w:val="24"/>
        </w:rPr>
        <w:tab/>
        <w:t xml:space="preserve">                                                                                               112</w:t>
      </w:r>
    </w:p>
    <w:p>
      <w:pPr>
        <w:pStyle w:val="113"/>
        <w:rPr/>
      </w:pPr>
      <w:r>
        <w:fldChar w:fldCharType="begin"/>
      </w:r>
      <w:r>
        <w:instrText> HYPERLINK "file:///D:/! Вадим/! www.sharanga.nnov.ru/Sel'skie poseleniya/Kushnur/2017/Re//C:/Users/Специалист/Desktop/Мои документы/декабрь 2017/MNGP2.docx" \l "__RefHeading___Toc494965525"</w:instrText>
      </w:r>
      <w:r>
        <w:fldChar w:fldCharType="separate"/>
      </w:r>
      <w:r>
        <w:rPr>
          <w:rStyle w:val="Style9"/>
          <w:rFonts w:cs="Arial" w:ascii="Arial" w:hAnsi="Arial"/>
          <w:sz w:val="24"/>
          <w:szCs w:val="24"/>
        </w:rPr>
        <w:t>3.</w:t>
      </w:r>
      <w:r>
        <w:fldChar w:fldCharType="end"/>
      </w:r>
      <w:r>
        <w:rPr>
          <w:rStyle w:val="Style9"/>
          <w:rFonts w:eastAsia="" w:cs="Arial" w:ascii="Arial" w:hAnsi="Arial"/>
          <w:sz w:val="24"/>
          <w:szCs w:val="24"/>
          <w:lang w:eastAsia="ru-RU"/>
        </w:rPr>
        <w:tab/>
      </w:r>
      <w:r>
        <w:rPr>
          <w:rStyle w:val="Style9"/>
          <w:rFonts w:cs="Arial" w:ascii="Arial" w:hAnsi="Arial"/>
          <w:sz w:val="24"/>
          <w:szCs w:val="24"/>
        </w:rPr>
        <w:t>Показатели градостроительного проектирования, устанавливаемые местными нормативами градостроительного проектирования</w:t>
      </w:r>
      <w:r>
        <w:rPr>
          <w:rStyle w:val="Style9"/>
          <w:rFonts w:cs="Arial" w:ascii="Arial" w:hAnsi="Arial"/>
          <w:vanish/>
          <w:sz w:val="24"/>
          <w:szCs w:val="24"/>
        </w:rPr>
        <w:tab/>
        <w:t xml:space="preserve">                                          113</w:t>
      </w:r>
    </w:p>
    <w:p>
      <w:pPr>
        <w:pStyle w:val="113"/>
        <w:rPr/>
      </w:pPr>
      <w:r>
        <w:fldChar w:fldCharType="begin"/>
      </w:r>
      <w:r>
        <w:instrText> HYPERLINK "file:///D:/! Вадим/! www.sharanga.nnov.ru/Sel'skie poseleniya/Kushnur/2017/Re//C:/Users/Специалист/Desktop/Мои документы/декабрь 2017/MNGP2.docx" \l "__RefHeading___Toc494965526"</w:instrText>
      </w:r>
      <w:r>
        <w:fldChar w:fldCharType="separate"/>
      </w:r>
      <w:r>
        <w:rPr>
          <w:rStyle w:val="Style9"/>
          <w:rFonts w:cs="Arial" w:ascii="Arial" w:hAnsi="Arial"/>
          <w:sz w:val="24"/>
          <w:szCs w:val="24"/>
        </w:rPr>
        <w:t>4.</w:t>
      </w:r>
      <w:r>
        <w:fldChar w:fldCharType="end"/>
      </w:r>
      <w:r>
        <w:rPr>
          <w:rStyle w:val="Style9"/>
          <w:rFonts w:eastAsia="" w:cs="Arial" w:ascii="Arial" w:hAnsi="Arial"/>
          <w:sz w:val="24"/>
          <w:szCs w:val="24"/>
          <w:lang w:eastAsia="ru-RU"/>
        </w:rPr>
        <w:tab/>
      </w:r>
      <w:r>
        <w:rPr>
          <w:rStyle w:val="Style9"/>
          <w:rFonts w:cs="Arial" w:ascii="Arial" w:hAnsi="Arial"/>
          <w:sz w:val="24"/>
          <w:szCs w:val="24"/>
        </w:rPr>
        <w:t>Объекты местного значения, в том числе объекты капитального строительства местного значения, с нормируемым уровнем обеспеченности населения, нормируемым радиусом обслуживания</w:t>
      </w:r>
      <w:r>
        <w:rPr>
          <w:rStyle w:val="Style9"/>
          <w:rFonts w:cs="Arial" w:ascii="Arial" w:hAnsi="Arial"/>
          <w:vanish/>
          <w:sz w:val="24"/>
          <w:szCs w:val="24"/>
        </w:rPr>
        <w:tab/>
        <w:t xml:space="preserve">                                                                                                113</w:t>
      </w:r>
    </w:p>
    <w:p>
      <w:pPr>
        <w:pStyle w:val="113"/>
        <w:rPr/>
      </w:pPr>
      <w:r>
        <w:fldChar w:fldCharType="begin"/>
      </w:r>
      <w:r>
        <w:instrText> HYPERLINK "file:///D:/! Вадим/! www.sharanga.nnov.ru/Sel'skie poseleniya/Kushnur/2017/Re//C:/Users/Специалист/Desktop/Мои документы/декабрь 2017/MNGP2.docx" \l "__RefHeading___Toc494965527"</w:instrText>
      </w:r>
      <w:r>
        <w:fldChar w:fldCharType="separate"/>
      </w:r>
      <w:r>
        <w:rPr>
          <w:rStyle w:val="Style9"/>
          <w:rFonts w:cs="Arial" w:ascii="Arial" w:hAnsi="Arial"/>
          <w:sz w:val="24"/>
          <w:szCs w:val="24"/>
        </w:rPr>
        <w:t>5.</w:t>
      </w:r>
      <w:r>
        <w:fldChar w:fldCharType="end"/>
      </w:r>
      <w:r>
        <w:rPr>
          <w:rStyle w:val="Style9"/>
          <w:rFonts w:eastAsia="" w:cs="Arial" w:ascii="Arial" w:hAnsi="Arial"/>
          <w:sz w:val="24"/>
          <w:szCs w:val="24"/>
          <w:lang w:eastAsia="ru-RU"/>
        </w:rPr>
        <w:tab/>
      </w:r>
      <w:r>
        <w:rPr>
          <w:rStyle w:val="Style9"/>
          <w:rFonts w:cs="Arial" w:ascii="Arial" w:hAnsi="Arial"/>
          <w:sz w:val="24"/>
          <w:szCs w:val="24"/>
        </w:rPr>
        <w:t>Общая организация и территориальное зонирование поселения</w:t>
      </w:r>
      <w:r>
        <w:rPr>
          <w:rStyle w:val="Style9"/>
          <w:rFonts w:cs="Arial" w:ascii="Arial" w:hAnsi="Arial"/>
          <w:vanish/>
          <w:sz w:val="24"/>
          <w:szCs w:val="24"/>
        </w:rPr>
        <w:tab/>
        <w:t xml:space="preserve">           </w:t>
      </w:r>
      <w:r>
        <w:rPr>
          <w:rStyle w:val="Style9"/>
          <w:rFonts w:cs="Arial"/>
          <w:vanish/>
          <w:sz w:val="24"/>
          <w:szCs w:val="24"/>
        </w:rPr>
        <w:fldChar w:fldCharType="begin"/>
      </w:r>
      <w:r>
        <w:instrText> PAGEREF __RefHeading___Toc494965527 \h </w:instrText>
      </w:r>
      <w:r>
        <w:fldChar w:fldCharType="separate"/>
      </w:r>
      <w:r>
        <w:t>100</w:t>
      </w:r>
      <w:r>
        <w:fldChar w:fldCharType="end"/>
      </w:r>
    </w:p>
    <w:p>
      <w:pPr>
        <w:pStyle w:val="28"/>
        <w:tabs>
          <w:tab w:val="left" w:pos="880" w:leader="none"/>
          <w:tab w:val="right" w:pos="9679" w:leader="dot"/>
        </w:tabs>
        <w:rPr/>
      </w:pPr>
      <w:r>
        <w:fldChar w:fldCharType="begin"/>
      </w:r>
      <w:r>
        <w:instrText> HYPERLINK "file:///D:/! Вадим/! www.sharanga.nnov.ru/Sel'skie poseleniya/Kushnur/2017/Re//C:/Users/Специалист/Desktop/Мои документы/декабрь 2017/MNGP2.docx" \l "__RefHeading___Toc494965528"</w:instrText>
      </w:r>
      <w:r>
        <w:fldChar w:fldCharType="separate"/>
      </w:r>
      <w:r>
        <w:rPr>
          <w:rStyle w:val="Style9"/>
          <w:rFonts w:cs="Arial" w:ascii="Arial" w:hAnsi="Arial"/>
          <w:sz w:val="24"/>
          <w:szCs w:val="24"/>
        </w:rPr>
        <w:t>5.1.</w:t>
      </w:r>
      <w:r>
        <w:fldChar w:fldCharType="end"/>
      </w:r>
      <w:r>
        <w:rPr>
          <w:rStyle w:val="Style9"/>
          <w:rFonts w:eastAsia="" w:cs="Arial" w:ascii="Arial" w:hAnsi="Arial"/>
          <w:color w:val="00000A"/>
          <w:sz w:val="24"/>
          <w:szCs w:val="24"/>
        </w:rPr>
        <w:tab/>
      </w:r>
      <w:r>
        <w:rPr>
          <w:rStyle w:val="Style9"/>
          <w:rFonts w:cs="Arial" w:ascii="Arial" w:hAnsi="Arial"/>
          <w:sz w:val="24"/>
          <w:szCs w:val="24"/>
        </w:rPr>
        <w:t>Общие положения</w:t>
      </w:r>
      <w:r>
        <w:rPr>
          <w:rStyle w:val="Style9"/>
          <w:rFonts w:cs="Arial" w:ascii="Arial" w:hAnsi="Arial"/>
          <w:vanish/>
          <w:color w:val="00000A"/>
          <w:sz w:val="24"/>
          <w:szCs w:val="24"/>
        </w:rPr>
        <w:tab/>
      </w:r>
      <w:r>
        <w:rPr>
          <w:rStyle w:val="Style9"/>
          <w:rFonts w:cs="Arial"/>
          <w:vanish/>
          <w:color w:val="00000A"/>
          <w:sz w:val="24"/>
          <w:szCs w:val="24"/>
        </w:rPr>
        <w:fldChar w:fldCharType="begin"/>
      </w:r>
      <w:r>
        <w:instrText> PAGEREF __RefHeading___Toc494965528 \h </w:instrText>
      </w:r>
      <w:r>
        <w:fldChar w:fldCharType="separate"/>
      </w:r>
      <w:r>
        <w:t>100</w:t>
      </w:r>
      <w:r>
        <w:fldChar w:fldCharType="end"/>
      </w:r>
    </w:p>
    <w:p>
      <w:pPr>
        <w:pStyle w:val="28"/>
        <w:tabs>
          <w:tab w:val="left" w:pos="880" w:leader="none"/>
          <w:tab w:val="right" w:pos="9679" w:leader="dot"/>
        </w:tabs>
        <w:rPr/>
      </w:pPr>
      <w:r>
        <w:fldChar w:fldCharType="begin"/>
      </w:r>
      <w:r>
        <w:instrText> HYPERLINK "file:///D:/! Вадим/! www.sharanga.nnov.ru/Sel'skie poseleniya/Kushnur/2017/Re//C:/Users/Специалист/Desktop/Мои документы/декабрь 2017/MNGP2.docx" \l "__RefHeading___Toc494965529"</w:instrText>
      </w:r>
      <w:r>
        <w:fldChar w:fldCharType="separate"/>
      </w:r>
      <w:r>
        <w:rPr>
          <w:rStyle w:val="Style9"/>
          <w:rFonts w:cs="Arial" w:ascii="Arial" w:hAnsi="Arial"/>
          <w:sz w:val="24"/>
          <w:szCs w:val="24"/>
        </w:rPr>
        <w:t>5.2.</w:t>
      </w:r>
      <w:r>
        <w:fldChar w:fldCharType="end"/>
      </w:r>
      <w:r>
        <w:rPr>
          <w:rStyle w:val="Style9"/>
          <w:rFonts w:eastAsia="" w:cs="Arial" w:ascii="Arial" w:hAnsi="Arial"/>
          <w:color w:val="00000A"/>
          <w:sz w:val="24"/>
          <w:szCs w:val="24"/>
        </w:rPr>
        <w:tab/>
      </w:r>
      <w:r>
        <w:rPr>
          <w:rStyle w:val="Style9"/>
          <w:rFonts w:cs="Arial" w:ascii="Arial" w:hAnsi="Arial"/>
          <w:sz w:val="24"/>
          <w:szCs w:val="24"/>
        </w:rPr>
        <w:t>Жилые зоны.</w:t>
      </w:r>
      <w:r>
        <w:rPr>
          <w:rStyle w:val="Style9"/>
          <w:rFonts w:cs="Arial" w:ascii="Arial" w:hAnsi="Arial"/>
          <w:vanish/>
          <w:color w:val="00000A"/>
          <w:sz w:val="24"/>
          <w:szCs w:val="24"/>
        </w:rPr>
        <w:tab/>
      </w:r>
      <w:r>
        <w:rPr>
          <w:rStyle w:val="Style9"/>
          <w:rFonts w:cs="Arial"/>
          <w:vanish/>
          <w:color w:val="00000A"/>
          <w:sz w:val="24"/>
          <w:szCs w:val="24"/>
        </w:rPr>
        <w:fldChar w:fldCharType="begin"/>
      </w:r>
      <w:r>
        <w:instrText> PAGEREF __RefHeading___Toc494965529 \h </w:instrText>
      </w:r>
      <w:r>
        <w:fldChar w:fldCharType="separate"/>
      </w:r>
      <w:r>
        <w:t>103</w:t>
      </w:r>
      <w:r>
        <w:fldChar w:fldCharType="end"/>
      </w:r>
    </w:p>
    <w:p>
      <w:pPr>
        <w:pStyle w:val="28"/>
        <w:tabs>
          <w:tab w:val="left" w:pos="880" w:leader="none"/>
          <w:tab w:val="right" w:pos="9679" w:leader="dot"/>
        </w:tabs>
        <w:rPr/>
      </w:pPr>
      <w:r>
        <w:fldChar w:fldCharType="begin"/>
      </w:r>
      <w:r>
        <w:instrText> HYPERLINK "file:///D:/! Вадим/! www.sharanga.nnov.ru/Sel'skie poseleniya/Kushnur/2017/Re//C:/Users/Специалист/Desktop/Мои документы/декабрь 2017/MNGP2.docx" \l "__RefHeading___Toc494965530"</w:instrText>
      </w:r>
      <w:r>
        <w:fldChar w:fldCharType="separate"/>
      </w:r>
      <w:r>
        <w:rPr>
          <w:rStyle w:val="Style9"/>
          <w:rFonts w:cs="Arial" w:ascii="Arial" w:hAnsi="Arial"/>
          <w:sz w:val="24"/>
          <w:szCs w:val="24"/>
        </w:rPr>
        <w:t>5.3.</w:t>
      </w:r>
      <w:r>
        <w:fldChar w:fldCharType="end"/>
      </w:r>
      <w:r>
        <w:rPr>
          <w:rStyle w:val="Style9"/>
          <w:rFonts w:eastAsia="" w:cs="Arial" w:ascii="Arial" w:hAnsi="Arial"/>
          <w:color w:val="00000A"/>
          <w:sz w:val="24"/>
          <w:szCs w:val="24"/>
        </w:rPr>
        <w:tab/>
      </w:r>
      <w:r>
        <w:rPr>
          <w:rStyle w:val="Style9"/>
          <w:rFonts w:cs="Arial" w:ascii="Arial" w:hAnsi="Arial"/>
          <w:sz w:val="24"/>
          <w:szCs w:val="24"/>
        </w:rPr>
        <w:t>Общественно-деловые зоны.</w:t>
      </w:r>
      <w:r>
        <w:rPr>
          <w:rStyle w:val="Style9"/>
          <w:rFonts w:cs="Arial" w:ascii="Arial" w:hAnsi="Arial"/>
          <w:vanish/>
          <w:color w:val="00000A"/>
          <w:sz w:val="24"/>
          <w:szCs w:val="24"/>
        </w:rPr>
        <w:tab/>
        <w:t>119</w:t>
      </w:r>
    </w:p>
    <w:p>
      <w:pPr>
        <w:pStyle w:val="28"/>
        <w:tabs>
          <w:tab w:val="left" w:pos="880" w:leader="none"/>
          <w:tab w:val="right" w:pos="9679" w:leader="dot"/>
        </w:tabs>
        <w:rPr/>
      </w:pPr>
      <w:r>
        <w:fldChar w:fldCharType="begin"/>
      </w:r>
      <w:r>
        <w:instrText> HYPERLINK "file:///D:/! Вадим/! www.sharanga.nnov.ru/Sel'skie poseleniya/Kushnur/2017/Re//C:/Users/Специалист/Desktop/Мои документы/декабрь 2017/MNGP2.docx" \l "__RefHeading___Toc494965531"</w:instrText>
      </w:r>
      <w:r>
        <w:fldChar w:fldCharType="separate"/>
      </w:r>
      <w:r>
        <w:rPr>
          <w:rStyle w:val="Style9"/>
          <w:rFonts w:cs="Arial" w:ascii="Arial" w:hAnsi="Arial"/>
          <w:sz w:val="24"/>
          <w:szCs w:val="24"/>
        </w:rPr>
        <w:t>5.4.</w:t>
      </w:r>
      <w:r>
        <w:fldChar w:fldCharType="end"/>
      </w:r>
      <w:r>
        <w:rPr>
          <w:rStyle w:val="Style9"/>
          <w:rFonts w:eastAsia="" w:cs="Arial" w:ascii="Arial" w:hAnsi="Arial"/>
          <w:color w:val="00000A"/>
          <w:sz w:val="24"/>
          <w:szCs w:val="24"/>
        </w:rPr>
        <w:tab/>
      </w:r>
      <w:r>
        <w:rPr>
          <w:rStyle w:val="Style9"/>
          <w:rFonts w:cs="Arial" w:ascii="Arial" w:hAnsi="Arial"/>
          <w:sz w:val="24"/>
          <w:szCs w:val="24"/>
        </w:rPr>
        <w:t>Производственные и коммунально-складские  зоны.</w:t>
      </w:r>
      <w:r>
        <w:rPr>
          <w:rStyle w:val="Style9"/>
          <w:rFonts w:cs="Arial" w:ascii="Arial" w:hAnsi="Arial"/>
          <w:vanish/>
          <w:color w:val="00000A"/>
          <w:sz w:val="24"/>
          <w:szCs w:val="24"/>
        </w:rPr>
        <w:tab/>
        <w:t>122</w:t>
      </w:r>
    </w:p>
    <w:p>
      <w:pPr>
        <w:pStyle w:val="28"/>
        <w:tabs>
          <w:tab w:val="left" w:pos="880" w:leader="none"/>
          <w:tab w:val="right" w:pos="9679" w:leader="dot"/>
        </w:tabs>
        <w:rPr/>
      </w:pPr>
      <w:r>
        <w:fldChar w:fldCharType="begin"/>
      </w:r>
      <w:r>
        <w:instrText> HYPERLINK "file:///D:/! Вадим/! www.sharanga.nnov.ru/Sel'skie poseleniya/Kushnur/2017/Re//C:/Users/Специалист/Desktop/Мои документы/декабрь 2017/MNGP2.docx" \l "__RefHeading___Toc494965532"</w:instrText>
      </w:r>
      <w:r>
        <w:fldChar w:fldCharType="separate"/>
      </w:r>
      <w:r>
        <w:rPr>
          <w:rStyle w:val="Style9"/>
          <w:rFonts w:cs="Arial" w:ascii="Arial" w:hAnsi="Arial"/>
          <w:sz w:val="24"/>
          <w:szCs w:val="24"/>
        </w:rPr>
        <w:t>5.5.</w:t>
      </w:r>
      <w:r>
        <w:fldChar w:fldCharType="end"/>
      </w:r>
      <w:r>
        <w:rPr>
          <w:rStyle w:val="Style9"/>
          <w:rFonts w:eastAsia="" w:cs="Arial" w:ascii="Arial" w:hAnsi="Arial"/>
          <w:color w:val="00000A"/>
          <w:sz w:val="24"/>
          <w:szCs w:val="24"/>
        </w:rPr>
        <w:tab/>
      </w:r>
      <w:r>
        <w:rPr>
          <w:rStyle w:val="Style9"/>
          <w:rFonts w:cs="Arial" w:ascii="Arial" w:hAnsi="Arial"/>
          <w:sz w:val="24"/>
          <w:szCs w:val="24"/>
        </w:rPr>
        <w:t>Зоны инженерной инфраструктуры.</w:t>
      </w:r>
      <w:r>
        <w:rPr>
          <w:rStyle w:val="Style9"/>
          <w:rFonts w:cs="Arial" w:ascii="Arial" w:hAnsi="Arial"/>
          <w:vanish/>
          <w:color w:val="00000A"/>
          <w:sz w:val="24"/>
          <w:szCs w:val="24"/>
        </w:rPr>
        <w:tab/>
        <w:t>125</w:t>
      </w:r>
    </w:p>
    <w:p>
      <w:pPr>
        <w:pStyle w:val="28"/>
        <w:tabs>
          <w:tab w:val="left" w:pos="880" w:leader="none"/>
          <w:tab w:val="right" w:pos="9679" w:leader="dot"/>
        </w:tabs>
        <w:rPr/>
      </w:pPr>
      <w:r>
        <w:fldChar w:fldCharType="begin"/>
      </w:r>
      <w:r>
        <w:instrText> HYPERLINK "file:///D:/! Вадим/! www.sharanga.nnov.ru/Sel'skie poseleniya/Kushnur/2017/Re//C:/Users/Специалист/Desktop/Мои документы/декабрь 2017/MNGP2.docx" \l "__RefHeading___Toc494965533"</w:instrText>
      </w:r>
      <w:r>
        <w:fldChar w:fldCharType="separate"/>
      </w:r>
      <w:r>
        <w:rPr>
          <w:rStyle w:val="Style9"/>
          <w:rFonts w:cs="Arial" w:ascii="Arial" w:hAnsi="Arial"/>
          <w:sz w:val="24"/>
          <w:szCs w:val="24"/>
        </w:rPr>
        <w:t>5.6.</w:t>
      </w:r>
      <w:r>
        <w:fldChar w:fldCharType="end"/>
      </w:r>
      <w:r>
        <w:rPr>
          <w:rStyle w:val="Style9"/>
          <w:rFonts w:eastAsia="" w:cs="Arial" w:ascii="Arial" w:hAnsi="Arial"/>
          <w:color w:val="00000A"/>
          <w:sz w:val="24"/>
          <w:szCs w:val="24"/>
        </w:rPr>
        <w:tab/>
      </w:r>
      <w:r>
        <w:rPr>
          <w:rStyle w:val="Style9"/>
          <w:rFonts w:cs="Arial" w:ascii="Arial" w:hAnsi="Arial"/>
          <w:sz w:val="24"/>
          <w:szCs w:val="24"/>
        </w:rPr>
        <w:t>Зона транспортной инфраструктуры.</w:t>
      </w:r>
      <w:r>
        <w:rPr>
          <w:rStyle w:val="Style9"/>
          <w:rFonts w:cs="Arial" w:ascii="Arial" w:hAnsi="Arial"/>
          <w:vanish/>
          <w:color w:val="00000A"/>
          <w:sz w:val="24"/>
          <w:szCs w:val="24"/>
        </w:rPr>
        <w:tab/>
        <w:t>156</w:t>
      </w:r>
    </w:p>
    <w:p>
      <w:pPr>
        <w:pStyle w:val="28"/>
        <w:tabs>
          <w:tab w:val="left" w:pos="880" w:leader="none"/>
          <w:tab w:val="right" w:pos="9679" w:leader="dot"/>
        </w:tabs>
        <w:rPr/>
      </w:pPr>
      <w:r>
        <w:fldChar w:fldCharType="begin"/>
      </w:r>
      <w:r>
        <w:instrText> HYPERLINK "file:///D:/! Вадим/! www.sharanga.nnov.ru/Sel'skie poseleniya/Kushnur/2017/Re//C:/Users/Специалист/Desktop/Мои документы/декабрь 2017/MNGP2.docx" \l "__RefHeading___Toc494965534"</w:instrText>
      </w:r>
      <w:r>
        <w:fldChar w:fldCharType="separate"/>
      </w:r>
      <w:r>
        <w:rPr>
          <w:rStyle w:val="Style9"/>
          <w:rFonts w:cs="Arial" w:ascii="Arial" w:hAnsi="Arial"/>
          <w:sz w:val="24"/>
          <w:szCs w:val="24"/>
        </w:rPr>
        <w:t>5.7.</w:t>
      </w:r>
      <w:r>
        <w:fldChar w:fldCharType="end"/>
      </w:r>
      <w:r>
        <w:rPr>
          <w:rStyle w:val="Style9"/>
          <w:rFonts w:eastAsia="" w:cs="Arial" w:ascii="Arial" w:hAnsi="Arial"/>
          <w:color w:val="00000A"/>
          <w:sz w:val="24"/>
          <w:szCs w:val="24"/>
        </w:rPr>
        <w:tab/>
      </w:r>
      <w:r>
        <w:rPr>
          <w:rStyle w:val="Style9"/>
          <w:rFonts w:cs="Arial" w:ascii="Arial" w:hAnsi="Arial"/>
          <w:sz w:val="24"/>
          <w:szCs w:val="24"/>
        </w:rPr>
        <w:t>Рекреационные зоны.</w:t>
      </w:r>
      <w:r>
        <w:rPr>
          <w:rStyle w:val="Style9"/>
          <w:rFonts w:cs="Arial" w:ascii="Arial" w:hAnsi="Arial"/>
          <w:vanish/>
          <w:color w:val="00000A"/>
          <w:sz w:val="24"/>
          <w:szCs w:val="24"/>
        </w:rPr>
        <w:tab/>
        <w:t>159</w:t>
      </w:r>
    </w:p>
    <w:p>
      <w:pPr>
        <w:pStyle w:val="28"/>
        <w:tabs>
          <w:tab w:val="left" w:pos="880" w:leader="none"/>
          <w:tab w:val="right" w:pos="9679" w:leader="dot"/>
        </w:tabs>
        <w:rPr/>
      </w:pPr>
      <w:r>
        <w:fldChar w:fldCharType="begin"/>
      </w:r>
      <w:r>
        <w:instrText> HYPERLINK "file:///D:/! Вадим/! www.sharanga.nnov.ru/Sel'skie poseleniya/Kushnur/2017/Re//C:/Users/Специалист/Desktop/Мои документы/декабрь 2017/MNGP2.docx" \l "__RefHeading___Toc494965535"</w:instrText>
      </w:r>
      <w:r>
        <w:fldChar w:fldCharType="separate"/>
      </w:r>
      <w:r>
        <w:rPr>
          <w:rStyle w:val="Style9"/>
          <w:rFonts w:cs="Arial" w:ascii="Arial" w:hAnsi="Arial"/>
          <w:sz w:val="24"/>
          <w:szCs w:val="24"/>
        </w:rPr>
        <w:t>5.8.</w:t>
      </w:r>
      <w:r>
        <w:fldChar w:fldCharType="end"/>
      </w:r>
      <w:r>
        <w:rPr>
          <w:rStyle w:val="Style9"/>
          <w:rFonts w:eastAsia="" w:cs="Arial" w:ascii="Arial" w:hAnsi="Arial"/>
          <w:color w:val="00000A"/>
          <w:sz w:val="24"/>
          <w:szCs w:val="24"/>
        </w:rPr>
        <w:tab/>
      </w:r>
      <w:r>
        <w:rPr>
          <w:rStyle w:val="Style9"/>
          <w:rFonts w:cs="Arial" w:ascii="Arial" w:hAnsi="Arial"/>
          <w:sz w:val="24"/>
          <w:szCs w:val="24"/>
        </w:rPr>
        <w:t>Зоны специального назначения</w:t>
      </w:r>
      <w:r>
        <w:rPr>
          <w:rStyle w:val="Style9"/>
          <w:rFonts w:cs="Arial" w:ascii="Arial" w:hAnsi="Arial"/>
          <w:vanish/>
          <w:color w:val="00000A"/>
          <w:sz w:val="24"/>
          <w:szCs w:val="24"/>
        </w:rPr>
        <w:tab/>
        <w:t>160</w:t>
      </w:r>
    </w:p>
    <w:p>
      <w:pPr>
        <w:pStyle w:val="28"/>
        <w:tabs>
          <w:tab w:val="left" w:pos="880" w:leader="none"/>
          <w:tab w:val="right" w:pos="9679" w:leader="dot"/>
        </w:tabs>
        <w:rPr/>
      </w:pPr>
      <w:r>
        <w:fldChar w:fldCharType="begin"/>
      </w:r>
      <w:r>
        <w:instrText> HYPERLINK "file:///D:/! Вадим/! www.sharanga.nnov.ru/Sel'skie poseleniya/Kushnur/2017/Re//C:/Users/Специалист/Desktop/Мои документы/декабрь 2017/MNGP2.docx" \l "__RefHeading___Toc494965536"</w:instrText>
      </w:r>
      <w:r>
        <w:fldChar w:fldCharType="separate"/>
      </w:r>
      <w:r>
        <w:rPr>
          <w:rStyle w:val="Style9"/>
          <w:rFonts w:cs="Arial" w:ascii="Arial" w:hAnsi="Arial"/>
          <w:sz w:val="24"/>
          <w:szCs w:val="24"/>
        </w:rPr>
        <w:t>5.9.</w:t>
      </w:r>
      <w:r>
        <w:fldChar w:fldCharType="end"/>
      </w:r>
      <w:r>
        <w:rPr>
          <w:rStyle w:val="Style9"/>
          <w:rFonts w:eastAsia="" w:cs="Arial" w:ascii="Arial" w:hAnsi="Arial"/>
          <w:color w:val="00000A"/>
          <w:sz w:val="24"/>
          <w:szCs w:val="24"/>
        </w:rPr>
        <w:tab/>
      </w:r>
      <w:r>
        <w:rPr>
          <w:rStyle w:val="Style9"/>
          <w:rFonts w:cs="Arial" w:ascii="Arial" w:hAnsi="Arial"/>
          <w:sz w:val="24"/>
          <w:szCs w:val="24"/>
        </w:rPr>
        <w:t>Зоны сельскохозяйственного назначения</w:t>
      </w:r>
      <w:r>
        <w:rPr>
          <w:rStyle w:val="Style9"/>
          <w:rFonts w:cs="Arial" w:ascii="Arial" w:hAnsi="Arial"/>
          <w:vanish/>
          <w:color w:val="00000A"/>
          <w:sz w:val="24"/>
          <w:szCs w:val="24"/>
        </w:rPr>
        <w:tab/>
        <w:t>165</w:t>
      </w:r>
    </w:p>
    <w:p>
      <w:pPr>
        <w:pStyle w:val="28"/>
        <w:tabs>
          <w:tab w:val="left" w:pos="1100" w:leader="none"/>
          <w:tab w:val="right" w:pos="9679" w:leader="dot"/>
        </w:tabs>
        <w:rPr/>
      </w:pPr>
      <w:r>
        <w:fldChar w:fldCharType="begin"/>
      </w:r>
      <w:r>
        <w:instrText> HYPERLINK "file:///D:/! Вадим/! www.sharanga.nnov.ru/Sel'skie poseleniya/Kushnur/2017/Re//C:/Users/Специалист/Desktop/Мои документы/декабрь 2017/MNGP2.docx" \l "__RefHeading___Toc494965537"</w:instrText>
      </w:r>
      <w:r>
        <w:fldChar w:fldCharType="separate"/>
      </w:r>
      <w:r>
        <w:rPr>
          <w:rStyle w:val="Style9"/>
          <w:rFonts w:cs="Arial" w:ascii="Arial" w:hAnsi="Arial"/>
          <w:sz w:val="24"/>
          <w:szCs w:val="24"/>
        </w:rPr>
        <w:t>5.10.</w:t>
      </w:r>
      <w:r>
        <w:fldChar w:fldCharType="end"/>
      </w:r>
      <w:r>
        <w:rPr>
          <w:rStyle w:val="Style9"/>
          <w:rFonts w:eastAsia="" w:cs="Arial" w:ascii="Arial" w:hAnsi="Arial"/>
          <w:color w:val="00000A"/>
          <w:sz w:val="24"/>
          <w:szCs w:val="24"/>
        </w:rPr>
        <w:tab/>
      </w:r>
      <w:r>
        <w:rPr>
          <w:rStyle w:val="Style9"/>
          <w:rFonts w:cs="Arial" w:ascii="Arial" w:hAnsi="Arial"/>
          <w:sz w:val="24"/>
          <w:szCs w:val="24"/>
        </w:rPr>
        <w:t>Особо охраняемые территории</w:t>
      </w:r>
      <w:r>
        <w:rPr>
          <w:rStyle w:val="Style9"/>
          <w:rFonts w:cs="Arial" w:ascii="Arial" w:hAnsi="Arial"/>
          <w:vanish/>
          <w:color w:val="00000A"/>
          <w:sz w:val="24"/>
          <w:szCs w:val="24"/>
        </w:rPr>
        <w:tab/>
        <w:t>165</w:t>
      </w:r>
    </w:p>
    <w:p>
      <w:pPr>
        <w:pStyle w:val="113"/>
        <w:rPr/>
      </w:pPr>
      <w:r>
        <w:fldChar w:fldCharType="begin"/>
      </w:r>
      <w:r>
        <w:instrText> HYPERLINK "file:///D:/! Вадим/! www.sharanga.nnov.ru/Sel'skie poseleniya/Kushnur/2017/Re//C:/Users/Специалист/Desktop/Мои документы/декабрь 2017/MNGP2.docx" \l "__RefHeading___Toc494965538"</w:instrText>
      </w:r>
      <w:r>
        <w:fldChar w:fldCharType="separate"/>
      </w:r>
      <w:r>
        <w:rPr>
          <w:rStyle w:val="Style9"/>
          <w:rFonts w:cs="Arial" w:ascii="Arial" w:hAnsi="Arial"/>
          <w:sz w:val="24"/>
          <w:szCs w:val="24"/>
        </w:rPr>
        <w:t>6.</w:t>
      </w:r>
      <w:r>
        <w:fldChar w:fldCharType="end"/>
      </w:r>
      <w:r>
        <w:rPr>
          <w:rStyle w:val="Style9"/>
          <w:rFonts w:eastAsia="" w:cs="Arial" w:ascii="Arial" w:hAnsi="Arial"/>
          <w:sz w:val="24"/>
          <w:szCs w:val="24"/>
          <w:lang w:eastAsia="ru-RU"/>
        </w:rPr>
        <w:tab/>
      </w:r>
      <w:r>
        <w:rPr>
          <w:rStyle w:val="Style9"/>
          <w:rFonts w:cs="Arial" w:ascii="Arial" w:hAnsi="Arial"/>
          <w:sz w:val="24"/>
          <w:szCs w:val="24"/>
        </w:rPr>
        <w:t>Обоснование расчетных показателей объектов, предназначенных для защиты населения и территории поселения от чрезвычайных ситуаций природного и техногенного характера.</w:t>
      </w:r>
      <w:r>
        <w:rPr>
          <w:rStyle w:val="Style9"/>
          <w:rFonts w:cs="Arial" w:ascii="Arial" w:hAnsi="Arial"/>
          <w:vanish/>
          <w:sz w:val="24"/>
          <w:szCs w:val="24"/>
        </w:rPr>
        <w:tab/>
        <w:t xml:space="preserve">                                                                                                                      176</w:t>
      </w:r>
    </w:p>
    <w:p>
      <w:pPr>
        <w:pStyle w:val="113"/>
        <w:rPr/>
      </w:pPr>
      <w:r>
        <w:fldChar w:fldCharType="begin"/>
      </w:r>
      <w:r>
        <w:instrText> HYPERLINK "file:///D:/! Вадим/! www.sharanga.nnov.ru/Sel'skie poseleniya/Kushnur/2017/Re//C:/Users/Специалист/Desktop/Мои документы/декабрь 2017/MNGP2.docx" \l "__RefHeading___Toc494965539"</w:instrText>
      </w:r>
      <w:r>
        <w:fldChar w:fldCharType="separate"/>
      </w:r>
      <w:r>
        <w:rPr>
          <w:rStyle w:val="Style9"/>
          <w:rFonts w:cs="Arial" w:ascii="Arial" w:hAnsi="Arial"/>
          <w:sz w:val="24"/>
          <w:szCs w:val="24"/>
        </w:rPr>
        <w:t>7.</w:t>
      </w:r>
      <w:r>
        <w:fldChar w:fldCharType="end"/>
      </w:r>
      <w:r>
        <w:rPr>
          <w:rStyle w:val="Style9"/>
          <w:rFonts w:eastAsia="" w:cs="Arial" w:ascii="Arial" w:hAnsi="Arial"/>
          <w:sz w:val="24"/>
          <w:szCs w:val="24"/>
          <w:lang w:eastAsia="ru-RU"/>
        </w:rPr>
        <w:tab/>
      </w:r>
      <w:r>
        <w:rPr>
          <w:rStyle w:val="Style9"/>
          <w:rFonts w:cs="Arial" w:ascii="Arial" w:hAnsi="Arial"/>
          <w:sz w:val="24"/>
          <w:szCs w:val="24"/>
        </w:rPr>
        <w:t>Обоснование расчетных показателей объектов, предназначенных для обеспечения первичных мер пожарной безопасности.</w:t>
      </w:r>
      <w:r>
        <w:rPr>
          <w:rStyle w:val="Style9"/>
          <w:rFonts w:cs="Arial" w:ascii="Arial" w:hAnsi="Arial"/>
          <w:vanish/>
          <w:sz w:val="24"/>
          <w:szCs w:val="24"/>
        </w:rPr>
        <w:tab/>
        <w:t xml:space="preserve">                                                                177</w:t>
      </w:r>
    </w:p>
    <w:p>
      <w:pPr>
        <w:pStyle w:val="113"/>
        <w:rPr/>
      </w:pPr>
      <w:r>
        <w:fldChar w:fldCharType="begin"/>
      </w:r>
      <w:r>
        <w:instrText> HYPERLINK "file:///D:/! Вадим/! www.sharanga.nnov.ru/Sel'skie poseleniya/Kushnur/2017/Re//C:/Users/Специалист/Desktop/Мои документы/декабрь 2017/MNGP2.docx" \l "__RefHeading___Toc494965540"</w:instrText>
      </w:r>
      <w:r>
        <w:fldChar w:fldCharType="separate"/>
      </w:r>
      <w:r>
        <w:rPr>
          <w:rStyle w:val="Style9"/>
          <w:rFonts w:cs="Arial" w:ascii="Arial" w:hAnsi="Arial"/>
          <w:sz w:val="24"/>
          <w:szCs w:val="24"/>
        </w:rPr>
        <w:t>8.</w:t>
      </w:r>
      <w:r>
        <w:fldChar w:fldCharType="end"/>
      </w:r>
      <w:r>
        <w:rPr>
          <w:rStyle w:val="Style9"/>
          <w:rFonts w:eastAsia="" w:cs="Arial" w:ascii="Arial" w:hAnsi="Arial"/>
          <w:sz w:val="24"/>
          <w:szCs w:val="24"/>
          <w:lang w:eastAsia="ru-RU"/>
        </w:rPr>
        <w:tab/>
      </w:r>
      <w:r>
        <w:rPr>
          <w:rStyle w:val="Style9"/>
          <w:rFonts w:cs="Arial" w:ascii="Arial" w:hAnsi="Arial"/>
          <w:sz w:val="24"/>
          <w:szCs w:val="24"/>
        </w:rPr>
        <w:t>Обоснование расчетных показателей объектов, предназначенных для обеспечения мероприятий по охране окружающей среды.</w:t>
      </w:r>
      <w:r>
        <w:rPr>
          <w:rStyle w:val="Style9"/>
          <w:rFonts w:cs="Arial" w:ascii="Arial" w:hAnsi="Arial"/>
          <w:vanish/>
          <w:sz w:val="24"/>
          <w:szCs w:val="24"/>
        </w:rPr>
        <w:tab/>
        <w:t xml:space="preserve">                                                     178</w:t>
      </w:r>
    </w:p>
    <w:p>
      <w:pPr>
        <w:pStyle w:val="113"/>
        <w:rPr>
          <w:rFonts w:ascii="Arial" w:hAnsi="Arial" w:eastAsia="Times New Roman" w:cs="Arial"/>
          <w:b/>
          <w:b/>
          <w:bCs/>
          <w:sz w:val="24"/>
          <w:szCs w:val="24"/>
          <w:lang w:eastAsia="ru-RU"/>
        </w:rPr>
      </w:pPr>
      <w:r>
        <w:fldChar w:fldCharType="begin"/>
      </w:r>
      <w:r>
        <w:instrText> HYPERLINK "file:///D:/! Вадим/! www.sharanga.nnov.ru/Sel'skie poseleniya/Kushnur/2017/Re//C:/Users/Специалист/Desktop/Мои документы/декабрь 2017/MNGP2.docx" \l "__RefHeading___Toc494965541"</w:instrText>
      </w:r>
      <w:r>
        <w:fldChar w:fldCharType="separate"/>
      </w:r>
      <w:r>
        <w:rPr>
          <w:rStyle w:val="Style9"/>
          <w:rFonts w:cs="Arial" w:ascii="Arial" w:hAnsi="Arial"/>
          <w:sz w:val="24"/>
          <w:szCs w:val="24"/>
        </w:rPr>
        <w:t>9.</w:t>
      </w:r>
      <w:r>
        <w:fldChar w:fldCharType="end"/>
      </w:r>
      <w:r>
        <w:rPr>
          <w:rStyle w:val="Style9"/>
          <w:rFonts w:eastAsia="" w:cs="Arial" w:ascii="Arial" w:hAnsi="Arial"/>
          <w:sz w:val="24"/>
          <w:szCs w:val="24"/>
          <w:lang w:eastAsia="ru-RU"/>
        </w:rPr>
        <w:tab/>
      </w:r>
      <w:r>
        <w:rPr>
          <w:rStyle w:val="Style9"/>
          <w:rFonts w:cs="Arial" w:ascii="Arial" w:hAnsi="Arial"/>
          <w:sz w:val="24"/>
          <w:szCs w:val="24"/>
        </w:rPr>
        <w:t>Обеспечение доступности объектов социальной инфраструктуры для инвалидов и других маломобильных групп населения</w:t>
      </w:r>
      <w:r>
        <w:rPr>
          <w:rStyle w:val="Style9"/>
          <w:rFonts w:cs="Arial" w:ascii="Arial" w:hAnsi="Arial"/>
          <w:vanish/>
          <w:sz w:val="24"/>
          <w:szCs w:val="24"/>
        </w:rPr>
        <w:tab/>
        <w:t xml:space="preserve">                                                                178</w:t>
      </w:r>
    </w:p>
    <w:p>
      <w:pPr>
        <w:pStyle w:val="Normal"/>
        <w:spacing w:lineRule="auto" w:line="240" w:before="0" w:after="0"/>
        <w:rPr>
          <w:rFonts w:ascii="Arial" w:hAnsi="Arial" w:eastAsia="Times New Roman" w:cs="Arial"/>
          <w:b/>
          <w:b/>
          <w:bCs/>
          <w:sz w:val="24"/>
          <w:szCs w:val="24"/>
          <w:lang w:eastAsia="ru-RU"/>
        </w:rPr>
      </w:pPr>
      <w:r>
        <w:rPr>
          <w:rFonts w:eastAsia="Times New Roman" w:cs="Arial" w:ascii="Arial" w:hAnsi="Arial"/>
          <w:b/>
          <w:bCs/>
          <w:sz w:val="24"/>
          <w:szCs w:val="24"/>
          <w:lang w:eastAsia="ru-RU"/>
        </w:rPr>
      </w:r>
    </w:p>
    <w:p>
      <w:pPr>
        <w:pStyle w:val="Normal"/>
        <w:spacing w:lineRule="auto" w:line="240" w:before="0" w:after="0"/>
        <w:rPr>
          <w:rFonts w:ascii="Arial" w:hAnsi="Arial" w:eastAsia="Times New Roman" w:cs="Arial"/>
          <w:b/>
          <w:b/>
          <w:bCs/>
          <w:sz w:val="24"/>
          <w:szCs w:val="24"/>
          <w:lang w:eastAsia="ru-RU"/>
        </w:rPr>
      </w:pPr>
      <w:r>
        <w:rPr>
          <w:rFonts w:eastAsia="Times New Roman" w:cs="Arial" w:ascii="Arial" w:hAnsi="Arial"/>
          <w:b/>
          <w:bCs/>
          <w:sz w:val="24"/>
          <w:szCs w:val="24"/>
          <w:lang w:eastAsia="ru-RU"/>
        </w:rPr>
      </w:r>
    </w:p>
    <w:p>
      <w:pPr>
        <w:pStyle w:val="Normal"/>
        <w:spacing w:lineRule="auto" w:line="240" w:before="0" w:after="0"/>
        <w:rPr>
          <w:rFonts w:ascii="Arial" w:hAnsi="Arial" w:eastAsia="Times New Roman" w:cs="Arial"/>
          <w:b/>
          <w:b/>
          <w:bCs/>
          <w:sz w:val="24"/>
          <w:szCs w:val="24"/>
          <w:lang w:eastAsia="ru-RU"/>
        </w:rPr>
      </w:pPr>
      <w:r>
        <w:rPr>
          <w:rFonts w:eastAsia="Times New Roman" w:cs="Arial" w:ascii="Arial" w:hAnsi="Arial"/>
          <w:b/>
          <w:bCs/>
          <w:sz w:val="24"/>
          <w:szCs w:val="24"/>
          <w:lang w:eastAsia="ru-RU"/>
        </w:rPr>
      </w:r>
    </w:p>
    <w:p>
      <w:pPr>
        <w:pStyle w:val="Style117"/>
        <w:ind w:left="851" w:right="0" w:hanging="0"/>
        <w:rPr>
          <w:rFonts w:ascii="Arial" w:hAnsi="Arial" w:cs="Arial"/>
        </w:rPr>
      </w:pPr>
      <w:bookmarkStart w:id="74" w:name="__RefHeading___Toc494965523"/>
      <w:bookmarkEnd w:id="74"/>
      <w:r>
        <w:rPr>
          <w:rFonts w:cs="Arial" w:ascii="Arial" w:hAnsi="Arial"/>
        </w:rPr>
        <w:t>1.Список нормативных правовых актов, использованных при подготовке местных нормативов градостроительного проектирования</w:t>
      </w:r>
    </w:p>
    <w:p>
      <w:pPr>
        <w:pStyle w:val="Style46"/>
        <w:spacing w:lineRule="atLeast" w:line="100" w:before="0" w:after="0"/>
        <w:ind w:left="0" w:right="0" w:firstLine="714"/>
        <w:jc w:val="right"/>
        <w:rPr>
          <w:rFonts w:ascii="Arial" w:hAnsi="Arial" w:cs="Arial"/>
          <w:color w:val="000000"/>
        </w:rPr>
      </w:pPr>
      <w:r>
        <w:rPr>
          <w:rFonts w:cs="Arial" w:ascii="Arial" w:hAnsi="Arial"/>
          <w:color w:val="000000"/>
        </w:rPr>
      </w:r>
    </w:p>
    <w:p>
      <w:pPr>
        <w:pStyle w:val="Normal"/>
        <w:tabs>
          <w:tab w:val="right" w:pos="-12" w:leader="none"/>
        </w:tabs>
        <w:suppressAutoHyphens w:val="true"/>
        <w:spacing w:lineRule="atLeast" w:line="100" w:before="0" w:after="0"/>
        <w:ind w:left="-12" w:right="0" w:firstLine="542"/>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При подготовке настоящих нормативов использованы следующие нормативные документы:</w:t>
      </w:r>
    </w:p>
    <w:p>
      <w:pPr>
        <w:pStyle w:val="Normal"/>
        <w:tabs>
          <w:tab w:val="right" w:pos="567" w:leader="none"/>
        </w:tabs>
        <w:suppressAutoHyphens w:val="true"/>
        <w:spacing w:lineRule="atLeast" w:line="10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 Конституция Российской Федерации</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1.2 Градостроительный кодекс Российской Федерации от 12 декабря 2004 года № 190-ФЗ.</w:t>
      </w:r>
    </w:p>
    <w:p>
      <w:pPr>
        <w:pStyle w:val="Normal"/>
        <w:widowControl w:val="false"/>
        <w:suppressAutoHyphens w:val="true"/>
        <w:spacing w:lineRule="auto" w:line="240" w:before="0" w:after="0"/>
        <w:ind w:left="0" w:right="0" w:firstLine="588"/>
        <w:jc w:val="both"/>
        <w:rPr/>
      </w:pPr>
      <w:r>
        <w:rPr>
          <w:rFonts w:cs="Arial" w:ascii="Arial" w:hAnsi="Arial"/>
          <w:color w:val="000000"/>
          <w:kern w:val="2"/>
          <w:sz w:val="24"/>
          <w:szCs w:val="24"/>
          <w:lang w:eastAsia="ar-SA"/>
        </w:rPr>
        <w:t xml:space="preserve">1.3 Земельный кодекс Российской Федерации </w:t>
      </w:r>
      <w:r>
        <w:rPr>
          <w:rFonts w:eastAsia="SimSun" w:cs="Arial" w:ascii="Arial" w:hAnsi="Arial"/>
          <w:color w:val="000000"/>
          <w:kern w:val="2"/>
          <w:sz w:val="24"/>
          <w:szCs w:val="24"/>
          <w:lang w:eastAsia="ar-SA"/>
        </w:rPr>
        <w:t xml:space="preserve">от 25.10.2001 N 136-ФЗ. </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 xml:space="preserve">1.4 Водный кодекс Российской Федерации от  03.06.2006 N 74-ФЗ. </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1.5 Лесной кодекс Российской Федерации от 4 декабря 2006 г. N 200-ФЗ.</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1.6 Закон Российской Федерации "О недрах" от 21.02.1992 N 2395-1.</w:t>
      </w:r>
    </w:p>
    <w:p>
      <w:pPr>
        <w:pStyle w:val="Normal"/>
        <w:widowControl w:val="false"/>
        <w:suppressAutoHyphens w:val="true"/>
        <w:spacing w:lineRule="auto" w:line="240" w:before="0" w:after="0"/>
        <w:ind w:left="0" w:right="0" w:firstLine="588"/>
        <w:jc w:val="both"/>
        <w:rPr/>
      </w:pPr>
      <w:r>
        <w:rPr>
          <w:rFonts w:eastAsia="SimSun" w:cs="Arial" w:ascii="Arial" w:hAnsi="Arial"/>
          <w:color w:val="000000"/>
          <w:kern w:val="2"/>
          <w:sz w:val="24"/>
          <w:szCs w:val="24"/>
          <w:lang w:eastAsia="ar-SA"/>
        </w:rPr>
        <w:t>1.7 Федеральный закон от 21 декабря 1994 г. N 68-ФЗ "</w:t>
      </w:r>
      <w:r>
        <w:rPr>
          <w:rFonts w:eastAsia="SimSun" w:cs="Arial" w:ascii="Arial" w:hAnsi="Arial"/>
          <w:bCs/>
          <w:color w:val="000000"/>
          <w:kern w:val="2"/>
          <w:sz w:val="24"/>
          <w:szCs w:val="24"/>
          <w:lang w:eastAsia="ar-SA"/>
        </w:rPr>
        <w:t xml:space="preserve">О защите населения и территорий от чрезвычайных ситуаций природного и </w:t>
      </w:r>
      <w:r>
        <w:rPr>
          <w:rFonts w:eastAsia="SimSun" w:cs="Arial" w:ascii="Arial" w:hAnsi="Arial"/>
          <w:color w:val="000000"/>
          <w:kern w:val="2"/>
          <w:sz w:val="24"/>
          <w:szCs w:val="24"/>
          <w:lang w:eastAsia="ar-SA"/>
        </w:rPr>
        <w:t>техногенного характера".</w:t>
      </w:r>
    </w:p>
    <w:p>
      <w:pPr>
        <w:pStyle w:val="Normal"/>
        <w:widowControl w:val="false"/>
        <w:suppressAutoHyphens w:val="true"/>
        <w:spacing w:lineRule="auto" w:line="240" w:before="0" w:after="0"/>
        <w:ind w:left="0" w:right="0" w:firstLine="588"/>
        <w:jc w:val="both"/>
        <w:rPr/>
      </w:pPr>
      <w:r>
        <w:rPr>
          <w:rFonts w:eastAsia="SimSun" w:cs="Arial" w:ascii="Arial" w:hAnsi="Arial"/>
          <w:color w:val="000000"/>
          <w:kern w:val="2"/>
          <w:sz w:val="24"/>
          <w:szCs w:val="24"/>
          <w:lang w:eastAsia="ar-SA"/>
        </w:rPr>
        <w:t xml:space="preserve">1.8 Федеральный </w:t>
      </w:r>
      <w:r>
        <w:rPr>
          <w:rFonts w:eastAsia="SimSun" w:cs="Arial" w:ascii="Arial" w:hAnsi="Arial"/>
          <w:bCs/>
          <w:color w:val="000000"/>
          <w:kern w:val="2"/>
          <w:sz w:val="24"/>
          <w:szCs w:val="24"/>
          <w:lang w:eastAsia="ar-SA"/>
        </w:rPr>
        <w:t xml:space="preserve">закон </w:t>
      </w:r>
      <w:r>
        <w:rPr>
          <w:rFonts w:eastAsia="SimSun" w:cs="Arial" w:ascii="Arial" w:hAnsi="Arial"/>
          <w:color w:val="000000"/>
          <w:kern w:val="2"/>
          <w:sz w:val="24"/>
          <w:szCs w:val="24"/>
          <w:lang w:eastAsia="ar-SA"/>
        </w:rPr>
        <w:t>от 14 марта 1995 г. N 33-ФЗ "</w:t>
      </w:r>
      <w:r>
        <w:rPr>
          <w:rFonts w:eastAsia="SimSun" w:cs="Arial" w:ascii="Arial" w:hAnsi="Arial"/>
          <w:bCs/>
          <w:color w:val="000000"/>
          <w:kern w:val="2"/>
          <w:sz w:val="24"/>
          <w:szCs w:val="24"/>
          <w:lang w:eastAsia="ar-SA"/>
        </w:rPr>
        <w:t>Об особо охраняемых природных территориях</w:t>
      </w:r>
      <w:r>
        <w:rPr>
          <w:rFonts w:eastAsia="SimSun" w:cs="Arial" w:ascii="Arial" w:hAnsi="Arial"/>
          <w:color w:val="000000"/>
          <w:kern w:val="2"/>
          <w:sz w:val="24"/>
          <w:szCs w:val="24"/>
          <w:lang w:eastAsia="ar-SA"/>
        </w:rPr>
        <w:t>".</w:t>
      </w:r>
    </w:p>
    <w:p>
      <w:pPr>
        <w:pStyle w:val="Normal"/>
        <w:widowControl w:val="false"/>
        <w:suppressAutoHyphens w:val="true"/>
        <w:spacing w:lineRule="auto" w:line="240" w:before="0" w:after="0"/>
        <w:ind w:left="0" w:right="0" w:firstLine="588"/>
        <w:jc w:val="both"/>
        <w:rPr/>
      </w:pPr>
      <w:r>
        <w:rPr>
          <w:rFonts w:eastAsia="SimSun" w:cs="Arial" w:ascii="Arial" w:hAnsi="Arial"/>
          <w:color w:val="000000"/>
          <w:kern w:val="2"/>
          <w:sz w:val="24"/>
          <w:szCs w:val="24"/>
          <w:lang w:eastAsia="ar-SA"/>
        </w:rPr>
        <w:t>1.9 Федеральный закон от 24 ноября 1995 г. N 181-ФЗ "</w:t>
      </w:r>
      <w:r>
        <w:rPr>
          <w:rFonts w:eastAsia="SimSun" w:cs="Arial" w:ascii="Arial" w:hAnsi="Arial"/>
          <w:bCs/>
          <w:color w:val="000000"/>
          <w:kern w:val="2"/>
          <w:sz w:val="24"/>
          <w:szCs w:val="24"/>
          <w:lang w:eastAsia="ar-SA"/>
        </w:rPr>
        <w:t>О социальной защите инвалидов в Российской Федерации</w:t>
      </w:r>
      <w:r>
        <w:rPr>
          <w:rFonts w:eastAsia="SimSun" w:cs="Arial" w:ascii="Arial" w:hAnsi="Arial"/>
          <w:color w:val="000000"/>
          <w:kern w:val="2"/>
          <w:sz w:val="24"/>
          <w:szCs w:val="24"/>
          <w:lang w:eastAsia="ar-SA"/>
        </w:rPr>
        <w:t>"</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1.10 Федеральный закон от 24 июня 1998 г. N 89-ФЗ "Об отходах производства и потребления".</w:t>
      </w:r>
    </w:p>
    <w:p>
      <w:pPr>
        <w:pStyle w:val="Normal"/>
        <w:widowControl w:val="false"/>
        <w:suppressAutoHyphens w:val="true"/>
        <w:spacing w:lineRule="auto" w:line="240" w:before="0" w:after="0"/>
        <w:ind w:left="0" w:right="0" w:firstLine="588"/>
        <w:jc w:val="both"/>
        <w:rPr/>
      </w:pPr>
      <w:r>
        <w:rPr>
          <w:rFonts w:eastAsia="SimSun" w:cs="Arial" w:ascii="Arial" w:hAnsi="Arial"/>
          <w:color w:val="000000"/>
          <w:kern w:val="2"/>
          <w:sz w:val="24"/>
          <w:szCs w:val="24"/>
          <w:lang w:eastAsia="ar-SA"/>
        </w:rPr>
        <w:t xml:space="preserve">1.11 Федеральный закон от 30 марта 1999 г. N 52-ФЗ "О </w:t>
      </w:r>
      <w:r>
        <w:rPr>
          <w:rFonts w:eastAsia="SimSun" w:cs="Arial" w:ascii="Arial" w:hAnsi="Arial"/>
          <w:bCs/>
          <w:color w:val="000000"/>
          <w:kern w:val="2"/>
          <w:sz w:val="24"/>
          <w:szCs w:val="24"/>
          <w:lang w:eastAsia="ar-SA"/>
        </w:rPr>
        <w:t>санитарно</w:t>
      </w:r>
      <w:r>
        <w:rPr>
          <w:rFonts w:eastAsia="SimSun" w:cs="Arial" w:ascii="Arial" w:hAnsi="Arial"/>
          <w:color w:val="000000"/>
          <w:kern w:val="2"/>
          <w:sz w:val="24"/>
          <w:szCs w:val="24"/>
          <w:lang w:eastAsia="ar-SA"/>
        </w:rPr>
        <w:t>-</w:t>
      </w:r>
      <w:r>
        <w:rPr>
          <w:rFonts w:eastAsia="SimSun" w:cs="Arial" w:ascii="Arial" w:hAnsi="Arial"/>
          <w:bCs/>
          <w:color w:val="000000"/>
          <w:kern w:val="2"/>
          <w:sz w:val="24"/>
          <w:szCs w:val="24"/>
          <w:lang w:eastAsia="ar-SA"/>
        </w:rPr>
        <w:t>эпидемиологическом благополучии населения</w:t>
      </w:r>
      <w:r>
        <w:rPr>
          <w:rFonts w:eastAsia="SimSun" w:cs="Arial" w:ascii="Arial" w:hAnsi="Arial"/>
          <w:color w:val="000000"/>
          <w:kern w:val="2"/>
          <w:sz w:val="24"/>
          <w:szCs w:val="24"/>
          <w:lang w:eastAsia="ar-SA"/>
        </w:rPr>
        <w:t>".</w:t>
      </w:r>
    </w:p>
    <w:p>
      <w:pPr>
        <w:pStyle w:val="Normal"/>
        <w:widowControl w:val="false"/>
        <w:suppressAutoHyphens w:val="true"/>
        <w:spacing w:lineRule="auto" w:line="240" w:before="0" w:after="0"/>
        <w:ind w:left="0" w:right="0" w:firstLine="588"/>
        <w:jc w:val="both"/>
        <w:rPr/>
      </w:pPr>
      <w:r>
        <w:rPr>
          <w:rFonts w:eastAsia="SimSun" w:cs="Arial" w:ascii="Arial" w:hAnsi="Arial"/>
          <w:color w:val="000000"/>
          <w:kern w:val="2"/>
          <w:sz w:val="24"/>
          <w:szCs w:val="24"/>
          <w:lang w:eastAsia="ar-SA"/>
        </w:rPr>
        <w:t>1.12 Федеральный закон от 4 мая 1999 г. N 96-ФЗ "</w:t>
      </w:r>
      <w:r>
        <w:rPr>
          <w:rFonts w:eastAsia="SimSun" w:cs="Arial" w:ascii="Arial" w:hAnsi="Arial"/>
          <w:bCs/>
          <w:color w:val="000000"/>
          <w:kern w:val="2"/>
          <w:sz w:val="24"/>
          <w:szCs w:val="24"/>
          <w:lang w:eastAsia="ar-SA"/>
        </w:rPr>
        <w:t>Об охране атмосферного воздуха</w:t>
      </w:r>
      <w:r>
        <w:rPr>
          <w:rFonts w:eastAsia="SimSun" w:cs="Arial" w:ascii="Arial" w:hAnsi="Arial"/>
          <w:color w:val="000000"/>
          <w:kern w:val="2"/>
          <w:sz w:val="24"/>
          <w:szCs w:val="24"/>
          <w:lang w:eastAsia="ar-SA"/>
        </w:rPr>
        <w:t>".</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1.13 Федеральный закон от 10 января 2002 г. N 7-ФЗ "Об охране окружающей среды".</w:t>
      </w:r>
    </w:p>
    <w:p>
      <w:pPr>
        <w:pStyle w:val="Normal"/>
        <w:widowControl w:val="false"/>
        <w:tabs>
          <w:tab w:val="left" w:pos="10773" w:leader="none"/>
        </w:tabs>
        <w:suppressAutoHyphens w:val="true"/>
        <w:spacing w:lineRule="auto" w:line="240" w:before="0" w:after="0"/>
        <w:ind w:left="0" w:right="0" w:firstLine="588"/>
        <w:jc w:val="both"/>
        <w:rPr/>
      </w:pPr>
      <w:r>
        <w:rPr>
          <w:rFonts w:eastAsia="SimSun" w:cs="Arial" w:ascii="Arial" w:hAnsi="Arial"/>
          <w:color w:val="000000"/>
          <w:kern w:val="2"/>
          <w:sz w:val="24"/>
          <w:szCs w:val="24"/>
          <w:lang w:eastAsia="ar-SA"/>
        </w:rPr>
        <w:t>1.14 Федеральный закон от 25 июня 2002 г. N 73-ФЗ "</w:t>
      </w:r>
      <w:r>
        <w:rPr>
          <w:rFonts w:eastAsia="SimSun" w:cs="Arial" w:ascii="Arial" w:hAnsi="Arial"/>
          <w:bCs/>
          <w:color w:val="000000"/>
          <w:kern w:val="2"/>
          <w:sz w:val="24"/>
          <w:szCs w:val="24"/>
          <w:lang w:eastAsia="ar-SA"/>
        </w:rPr>
        <w:t xml:space="preserve">Об объектах культурного наследия </w:t>
      </w:r>
      <w:r>
        <w:rPr>
          <w:rFonts w:eastAsia="SimSun" w:cs="Arial" w:ascii="Arial" w:hAnsi="Arial"/>
          <w:color w:val="000000"/>
          <w:kern w:val="2"/>
          <w:sz w:val="24"/>
          <w:szCs w:val="24"/>
          <w:lang w:eastAsia="ar-SA"/>
        </w:rPr>
        <w:t xml:space="preserve">(памятниках истории и </w:t>
      </w:r>
      <w:r>
        <w:rPr>
          <w:rFonts w:eastAsia="SimSun" w:cs="Arial" w:ascii="Arial" w:hAnsi="Arial"/>
          <w:bCs/>
          <w:color w:val="000000"/>
          <w:kern w:val="2"/>
          <w:sz w:val="24"/>
          <w:szCs w:val="24"/>
          <w:lang w:eastAsia="ar-SA"/>
        </w:rPr>
        <w:t>культуры</w:t>
      </w:r>
      <w:r>
        <w:rPr>
          <w:rFonts w:eastAsia="SimSun" w:cs="Arial" w:ascii="Arial" w:hAnsi="Arial"/>
          <w:color w:val="000000"/>
          <w:kern w:val="2"/>
          <w:sz w:val="24"/>
          <w:szCs w:val="24"/>
          <w:lang w:eastAsia="ar-SA"/>
        </w:rPr>
        <w:t xml:space="preserve">) </w:t>
      </w:r>
      <w:r>
        <w:rPr>
          <w:rFonts w:eastAsia="SimSun" w:cs="Arial" w:ascii="Arial" w:hAnsi="Arial"/>
          <w:bCs/>
          <w:color w:val="000000"/>
          <w:kern w:val="2"/>
          <w:sz w:val="24"/>
          <w:szCs w:val="24"/>
          <w:lang w:eastAsia="ar-SA"/>
        </w:rPr>
        <w:t>народов Российской Федерации</w:t>
      </w:r>
      <w:r>
        <w:rPr>
          <w:rFonts w:eastAsia="SimSun" w:cs="Arial" w:ascii="Arial" w:hAnsi="Arial"/>
          <w:color w:val="000000"/>
          <w:kern w:val="2"/>
          <w:sz w:val="24"/>
          <w:szCs w:val="24"/>
          <w:lang w:eastAsia="ar-SA"/>
        </w:rPr>
        <w:t>".</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1.15 Федеральный закон российской Федерации «О техническом регулировании» от 27.12.2002 №184-ФЗ.</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1.16 Федеральный закон от 8 ноября 2007 г.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1.17</w:t>
        <w:tab/>
        <w:t>Федеральный закон Российской Федерации "Технический регламент о требованиях пожарной безопасности" от 22 июля 2008 г. N 123-ФЗ.</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1.18</w:t>
        <w:tab/>
        <w:t>СанПиН 2.1.4.1074-01. Питьевая вода. Гигиенические требования к качеству воды централизованных систем питьевого водоснабжения. Контроль качества. Москва, 2002 г.</w:t>
      </w:r>
    </w:p>
    <w:p>
      <w:pPr>
        <w:pStyle w:val="Normal"/>
        <w:widowControl w:val="false"/>
        <w:suppressAutoHyphens w:val="true"/>
        <w:spacing w:lineRule="auto" w:line="240" w:before="0" w:after="0"/>
        <w:ind w:left="0" w:right="0" w:firstLine="588"/>
        <w:jc w:val="both"/>
        <w:rPr/>
      </w:pPr>
      <w:r>
        <w:rPr>
          <w:rFonts w:eastAsia="SimSun" w:cs="Arial" w:ascii="Arial" w:hAnsi="Arial"/>
          <w:color w:val="000000"/>
          <w:kern w:val="2"/>
          <w:sz w:val="24"/>
          <w:szCs w:val="24"/>
          <w:lang w:eastAsia="ar-SA"/>
        </w:rPr>
        <w:t>1.19</w:t>
        <w:tab/>
        <w:t xml:space="preserve">СанПиН 2.1.4.1175-02. </w:t>
      </w:r>
      <w:r>
        <w:rPr>
          <w:rFonts w:eastAsia="SimSun" w:cs="Arial" w:ascii="Arial" w:hAnsi="Arial"/>
          <w:bCs/>
          <w:color w:val="000000"/>
          <w:kern w:val="2"/>
          <w:sz w:val="24"/>
          <w:szCs w:val="24"/>
          <w:lang w:eastAsia="ar-SA"/>
        </w:rPr>
        <w:t>Гигиенические требования к качеству воды нецентрализованного водоснабжения. Санитарная охрана источников. Москва, 2002 г.</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1.20</w:t>
        <w:tab/>
        <w:t>СанПиН 2.1.4.1110-02. Зоны санитарной охраны источников водоснабжения и водопроводов питьевого назначения. Москва, 2002 г.</w:t>
      </w:r>
    </w:p>
    <w:p>
      <w:pPr>
        <w:pStyle w:val="Normal"/>
        <w:widowControl w:val="false"/>
        <w:suppressAutoHyphens w:val="true"/>
        <w:spacing w:lineRule="auto" w:line="240" w:before="0" w:after="0"/>
        <w:ind w:left="0" w:right="0" w:firstLine="588"/>
        <w:jc w:val="both"/>
        <w:rPr/>
      </w:pPr>
      <w:r>
        <w:rPr>
          <w:rFonts w:eastAsia="SimSun" w:cs="Arial" w:ascii="Arial" w:hAnsi="Arial"/>
          <w:color w:val="000000"/>
          <w:kern w:val="2"/>
          <w:sz w:val="24"/>
          <w:szCs w:val="24"/>
          <w:lang w:eastAsia="ar-SA"/>
        </w:rPr>
        <w:t>1.21</w:t>
        <w:tab/>
        <w:t xml:space="preserve">СНиП </w:t>
      </w:r>
      <w:r>
        <w:rPr>
          <w:rFonts w:eastAsia="SimSun" w:cs="Arial" w:ascii="Arial" w:hAnsi="Arial"/>
          <w:color w:val="000000"/>
          <w:kern w:val="2"/>
          <w:sz w:val="24"/>
          <w:szCs w:val="24"/>
          <w:lang w:val="en-US" w:eastAsia="ar-SA"/>
        </w:rPr>
        <w:t>II</w:t>
      </w:r>
      <w:r>
        <w:rPr>
          <w:rFonts w:eastAsia="SimSun" w:cs="Arial" w:ascii="Arial" w:hAnsi="Arial"/>
          <w:color w:val="000000"/>
          <w:kern w:val="2"/>
          <w:sz w:val="24"/>
          <w:szCs w:val="24"/>
          <w:lang w:eastAsia="ar-SA"/>
        </w:rPr>
        <w:t>-89-80*. Генеральные планы промышленных предприятий. Москва, 1980г.</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1.22</w:t>
        <w:tab/>
        <w:t>СНиП 2.04.01-85*. Внутренний водопровод и канализация зданий. Москва, 1986 г.</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1.23</w:t>
        <w:tab/>
        <w:t>СНиП 2.04.03-85*. Наружные сети и сооружения. Москва, 1986 г.</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1.24</w:t>
        <w:tab/>
        <w:t>СНиП 2.07.01-89 (2000). Градостроительство. Планировка и застройка городских и сельских поселений. Москва, 2000 г.</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1.25</w:t>
        <w:tab/>
        <w:t>СНиП 2.06.04-82*. Нагрузки и воздействия на гидротехнические сооружения (волновые, ледовые и от судов.) Москва. 1989 г.</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1.26</w:t>
        <w:tab/>
        <w:t>СНиП 2.06.05-84*. Плотины из грунтовых материалов. Москва, 1991 г.</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1.27</w:t>
        <w:tab/>
        <w:t>ГОСТ 17.1.1.04-80. Охрана природы. Гидросфера. Классификация подземных вод по целям водопользования. Москва, 1981 г.</w:t>
      </w:r>
    </w:p>
    <w:p>
      <w:pPr>
        <w:pStyle w:val="Normal"/>
        <w:widowControl w:val="false"/>
        <w:suppressAutoHyphens w:val="true"/>
        <w:spacing w:lineRule="auto" w:line="240" w:before="0" w:after="0"/>
        <w:ind w:left="0" w:right="0" w:firstLine="588"/>
        <w:jc w:val="both"/>
        <w:rPr/>
      </w:pPr>
      <w:r>
        <w:rPr>
          <w:rFonts w:eastAsia="SimSun" w:cs="Arial" w:ascii="Arial" w:hAnsi="Arial"/>
          <w:color w:val="000000"/>
          <w:kern w:val="2"/>
          <w:sz w:val="24"/>
          <w:szCs w:val="24"/>
          <w:lang w:eastAsia="ar-SA"/>
        </w:rPr>
        <w:t>1.28</w:t>
        <w:tab/>
        <w:t>ГОСТ 2761-84*.</w:t>
      </w:r>
      <w:r>
        <w:rPr>
          <w:rFonts w:eastAsia="SimSun" w:cs="Arial" w:ascii="Arial" w:hAnsi="Arial"/>
          <w:b/>
          <w:color w:val="000000"/>
          <w:kern w:val="2"/>
          <w:sz w:val="24"/>
          <w:szCs w:val="24"/>
          <w:lang w:eastAsia="ar-SA"/>
        </w:rPr>
        <w:t xml:space="preserve"> </w:t>
      </w:r>
      <w:r>
        <w:rPr>
          <w:rFonts w:eastAsia="SimSun" w:cs="Arial" w:ascii="Arial" w:hAnsi="Arial"/>
          <w:color w:val="000000"/>
          <w:kern w:val="2"/>
          <w:sz w:val="24"/>
          <w:szCs w:val="24"/>
          <w:lang w:eastAsia="ar-SA"/>
        </w:rPr>
        <w:t xml:space="preserve">Источники централизованного хозяйственно-питьевого водоснабжения. Гигиенические, технические требования и правила выбора. Москва, 1984 г. </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1.29</w:t>
        <w:tab/>
        <w:t>ГОСТ 5542-87. Газы горючие природные для промышленного и коммунально-бытового назначения, Москва, 1988 г.</w:t>
      </w:r>
    </w:p>
    <w:p>
      <w:pPr>
        <w:pStyle w:val="Normal"/>
        <w:widowControl w:val="false"/>
        <w:suppressAutoHyphens w:val="true"/>
        <w:spacing w:lineRule="auto" w:line="240" w:before="0" w:after="0"/>
        <w:ind w:left="0" w:right="0" w:firstLine="588"/>
        <w:jc w:val="both"/>
        <w:rPr>
          <w:rFonts w:ascii="Arial" w:hAnsi="Arial" w:eastAsia="SimSun" w:cs="Arial"/>
          <w:bCs/>
          <w:color w:val="000000"/>
          <w:kern w:val="2"/>
          <w:sz w:val="24"/>
          <w:szCs w:val="24"/>
          <w:lang w:eastAsia="ar-SA"/>
        </w:rPr>
      </w:pPr>
      <w:r>
        <w:rPr>
          <w:rFonts w:eastAsia="SimSun" w:cs="Arial" w:ascii="Arial" w:hAnsi="Arial"/>
          <w:bCs/>
          <w:color w:val="000000"/>
          <w:kern w:val="2"/>
          <w:sz w:val="24"/>
          <w:szCs w:val="24"/>
          <w:lang w:eastAsia="ar-SA"/>
        </w:rPr>
        <w:t>1.30</w:t>
        <w:tab/>
        <w:t>СП31-110-2003*. Проектирование и монтаж электроустановок жилых и общественных зданий. Москва, 2003 г.</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1.31</w:t>
        <w:tab/>
        <w:t>СП 42.13330.2011*. Планировка и застройка городских и сельских поселений. Москва, 2010 г.</w:t>
      </w:r>
    </w:p>
    <w:p>
      <w:pPr>
        <w:pStyle w:val="Normal"/>
        <w:widowControl w:val="false"/>
        <w:suppressAutoHyphens w:val="true"/>
        <w:spacing w:lineRule="auto" w:line="240" w:before="0" w:after="0"/>
        <w:ind w:left="0" w:right="0" w:firstLine="588"/>
        <w:jc w:val="both"/>
        <w:rPr/>
      </w:pPr>
      <w:r>
        <w:rPr>
          <w:rFonts w:eastAsia="SimSun" w:cs="Arial" w:ascii="Arial" w:hAnsi="Arial"/>
          <w:bCs/>
          <w:color w:val="000000"/>
          <w:kern w:val="2"/>
          <w:sz w:val="24"/>
          <w:szCs w:val="24"/>
          <w:lang w:eastAsia="ar-SA"/>
        </w:rPr>
        <w:t>1.32</w:t>
        <w:tab/>
        <w:t xml:space="preserve">Методические рекомендации по формированию нормативов потребления услуг жилищно-коммунального хозяйства. </w:t>
      </w:r>
      <w:r>
        <w:rPr>
          <w:rFonts w:eastAsia="SimSun" w:cs="Arial" w:ascii="Arial" w:hAnsi="Arial"/>
          <w:color w:val="000000"/>
          <w:kern w:val="2"/>
          <w:sz w:val="24"/>
          <w:szCs w:val="24"/>
          <w:lang w:eastAsia="ar-SA"/>
        </w:rPr>
        <w:t>Москва, 1999 г.</w:t>
      </w:r>
    </w:p>
    <w:p>
      <w:pPr>
        <w:pStyle w:val="Normal"/>
        <w:widowControl w:val="false"/>
        <w:suppressAutoHyphens w:val="true"/>
        <w:spacing w:lineRule="auto" w:line="240" w:before="0" w:after="0"/>
        <w:ind w:left="0" w:right="0" w:firstLine="588"/>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1.33</w:t>
        <w:tab/>
        <w:t>Методические указания по расчету норм расхода ТЭР для зданий жилищно-гражданского назначения. Москва, 1988 г.</w:t>
      </w:r>
    </w:p>
    <w:p>
      <w:pPr>
        <w:pStyle w:val="Normal"/>
        <w:widowControl w:val="false"/>
        <w:suppressAutoHyphens w:val="true"/>
        <w:spacing w:lineRule="auto" w:line="240" w:before="0" w:after="0"/>
        <w:ind w:left="0" w:right="0" w:firstLine="588"/>
        <w:jc w:val="both"/>
        <w:rPr>
          <w:rFonts w:ascii="Arial" w:hAnsi="Arial" w:eastAsia="SimSun" w:cs="Arial"/>
          <w:bCs/>
          <w:color w:val="000000"/>
          <w:kern w:val="2"/>
          <w:sz w:val="24"/>
          <w:szCs w:val="24"/>
          <w:lang w:eastAsia="ar-SA"/>
        </w:rPr>
      </w:pPr>
      <w:r>
        <w:rPr>
          <w:rFonts w:eastAsia="SimSun" w:cs="Arial" w:ascii="Arial" w:hAnsi="Arial"/>
          <w:bCs/>
          <w:color w:val="000000"/>
          <w:kern w:val="2"/>
          <w:sz w:val="24"/>
          <w:szCs w:val="24"/>
          <w:lang w:eastAsia="ar-SA"/>
        </w:rPr>
        <w:t>1.34</w:t>
        <w:tab/>
        <w:t>Приказ Министерства регионального развития РФ от 13.07.2006г. № 83 "Об утверждении Методики расчета норм потребления газа населением при отсутствии приборов учета газа".</w:t>
      </w:r>
    </w:p>
    <w:p>
      <w:pPr>
        <w:pStyle w:val="Normal"/>
        <w:widowControl w:val="false"/>
        <w:suppressAutoHyphens w:val="true"/>
        <w:spacing w:lineRule="auto" w:line="240" w:before="0" w:after="0"/>
        <w:ind w:left="0" w:right="0" w:firstLine="588"/>
        <w:jc w:val="both"/>
        <w:rPr>
          <w:rFonts w:ascii="Arial" w:hAnsi="Arial" w:eastAsia="SimSun" w:cs="Arial"/>
          <w:bCs/>
          <w:color w:val="000000"/>
          <w:kern w:val="2"/>
          <w:sz w:val="24"/>
          <w:szCs w:val="24"/>
          <w:lang w:eastAsia="ar-SA"/>
        </w:rPr>
      </w:pPr>
      <w:r>
        <w:rPr>
          <w:rFonts w:eastAsia="SimSun" w:cs="Arial" w:ascii="Arial" w:hAnsi="Arial"/>
          <w:bCs/>
          <w:color w:val="000000"/>
          <w:kern w:val="2"/>
          <w:sz w:val="24"/>
          <w:szCs w:val="24"/>
          <w:lang w:eastAsia="ar-SA"/>
        </w:rPr>
        <w:t>1.35</w:t>
        <w:tab/>
        <w:t xml:space="preserve">Региональные нормативы градостроительного проектирования Нижегородской области. </w:t>
      </w:r>
    </w:p>
    <w:p>
      <w:pPr>
        <w:pStyle w:val="Normal"/>
        <w:widowControl w:val="false"/>
        <w:suppressAutoHyphens w:val="true"/>
        <w:spacing w:lineRule="auto" w:line="240" w:before="0" w:after="0"/>
        <w:ind w:left="0" w:right="0" w:firstLine="588"/>
        <w:jc w:val="both"/>
        <w:rPr/>
      </w:pPr>
      <w:r>
        <w:rPr>
          <w:rFonts w:eastAsia="SimSun" w:cs="Arial" w:ascii="Arial" w:hAnsi="Arial"/>
          <w:bCs/>
          <w:color w:val="000000"/>
          <w:kern w:val="2"/>
          <w:sz w:val="24"/>
          <w:szCs w:val="24"/>
          <w:lang w:eastAsia="ar-SA"/>
        </w:rPr>
        <w:t>1.36</w:t>
        <w:tab/>
      </w:r>
      <w:r>
        <w:rPr>
          <w:rFonts w:cs="Arial" w:ascii="Arial" w:hAnsi="Arial"/>
          <w:sz w:val="24"/>
          <w:szCs w:val="24"/>
        </w:rPr>
        <w:t xml:space="preserve">Местные </w:t>
      </w:r>
      <w:r>
        <w:fldChar w:fldCharType="begin"/>
      </w:r>
      <w:r>
        <w:instrText> HYPERLINK "file:///D:/! Вадим/! www.sharanga.nnov.ru/Sel'skie poseleniya/Kushnur/2017/Re//C:/Users/Специалист/Desktop/Мои документы/декабрь 2017/MNGP2.docx" \l "P29"</w:instrText>
      </w:r>
      <w:r>
        <w:fldChar w:fldCharType="separate"/>
      </w:r>
      <w:r>
        <w:rPr>
          <w:rStyle w:val="Style9"/>
          <w:rFonts w:cs="Arial" w:ascii="Arial" w:hAnsi="Arial"/>
          <w:color w:val="00000A"/>
          <w:sz w:val="24"/>
          <w:szCs w:val="24"/>
        </w:rPr>
        <w:t>нормативы</w:t>
      </w:r>
      <w:r>
        <w:fldChar w:fldCharType="end"/>
      </w:r>
      <w:r>
        <w:rPr>
          <w:rFonts w:cs="Arial" w:ascii="Arial" w:hAnsi="Arial"/>
          <w:sz w:val="24"/>
          <w:szCs w:val="24"/>
        </w:rPr>
        <w:t xml:space="preserve"> градостроительного проектирования Шарангского муниципального района Нижегородской области</w:t>
      </w:r>
    </w:p>
    <w:p>
      <w:pPr>
        <w:pStyle w:val="Normal"/>
        <w:widowControl w:val="false"/>
        <w:suppressAutoHyphens w:val="true"/>
        <w:spacing w:lineRule="auto" w:line="240" w:before="0" w:after="0"/>
        <w:ind w:left="0" w:right="0" w:firstLine="588"/>
        <w:jc w:val="both"/>
        <w:rPr>
          <w:rFonts w:ascii="Arial" w:hAnsi="Arial" w:eastAsia="SimSun" w:cs="Arial"/>
          <w:bCs/>
          <w:color w:val="000000"/>
          <w:kern w:val="2"/>
          <w:sz w:val="24"/>
          <w:szCs w:val="24"/>
          <w:lang w:eastAsia="ar-SA"/>
        </w:rPr>
      </w:pPr>
      <w:r>
        <w:rPr>
          <w:rFonts w:eastAsia="SimSun" w:cs="Arial" w:ascii="Arial" w:hAnsi="Arial"/>
          <w:bCs/>
          <w:color w:val="000000"/>
          <w:kern w:val="2"/>
          <w:sz w:val="24"/>
          <w:szCs w:val="24"/>
          <w:lang w:eastAsia="ar-SA"/>
        </w:rPr>
      </w:r>
    </w:p>
    <w:p>
      <w:pPr>
        <w:pStyle w:val="Style117"/>
        <w:ind w:left="720" w:right="0" w:hanging="0"/>
        <w:jc w:val="left"/>
        <w:rPr/>
      </w:pPr>
      <w:bookmarkStart w:id="75" w:name="__RefHeading___Toc494965524"/>
      <w:bookmarkEnd w:id="75"/>
      <w:r>
        <w:rPr>
          <w:rFonts w:eastAsia="Arial" w:cs="Arial" w:ascii="Arial" w:hAnsi="Arial"/>
        </w:rPr>
        <w:t xml:space="preserve">                               </w:t>
      </w:r>
      <w:r>
        <w:rPr>
          <w:rFonts w:cs="Arial" w:ascii="Arial" w:hAnsi="Arial"/>
        </w:rPr>
        <w:t>2.Цели и задачи</w:t>
      </w:r>
    </w:p>
    <w:p>
      <w:pPr>
        <w:pStyle w:val="NoSpacing"/>
        <w:ind w:left="0" w:right="0" w:firstLine="708"/>
        <w:rPr>
          <w:rFonts w:ascii="Arial" w:hAnsi="Arial" w:cs="Arial"/>
          <w:sz w:val="24"/>
          <w:szCs w:val="24"/>
        </w:rPr>
      </w:pPr>
      <w:r>
        <w:rPr>
          <w:rFonts w:cs="Arial" w:ascii="Arial" w:hAnsi="Arial"/>
          <w:sz w:val="24"/>
          <w:szCs w:val="24"/>
        </w:rPr>
        <w:t xml:space="preserve">Нормируемые показатели, устанавливаемые в Нормативах, устанавливают минимальные расчетные показатели обеспечения объектами местного значения, предусмотренными частью 4 статьи 29.2 Градостроительного кодекса РФ (в том числе объектами социального и коммунально-бытового назначения, доступность таких объектов для населения (включая инвалидов), обеспеченность объектами инженерной инфраструктуры, благоустройства территории) и требования по: </w:t>
      </w:r>
    </w:p>
    <w:p>
      <w:pPr>
        <w:pStyle w:val="NoSpacing"/>
        <w:ind w:left="0" w:right="0" w:firstLine="708"/>
        <w:rPr>
          <w:rFonts w:ascii="Arial" w:hAnsi="Arial" w:cs="Arial"/>
          <w:sz w:val="24"/>
          <w:szCs w:val="24"/>
        </w:rPr>
      </w:pPr>
      <w:r>
        <w:rPr>
          <w:rFonts w:cs="Arial" w:ascii="Arial" w:hAnsi="Arial"/>
          <w:sz w:val="24"/>
          <w:szCs w:val="24"/>
        </w:rPr>
        <w:t xml:space="preserve">- обеспечению безопасности территории и населения, в том числе предупреждению и защите территорий и населения от опасных природных и техногенных воздействий, а также обеспечению соблюдения противопожарных, санитарно-гигиенических требований при осуществлении градостроительной деятельности; </w:t>
      </w:r>
    </w:p>
    <w:p>
      <w:pPr>
        <w:pStyle w:val="NoSpacing"/>
        <w:ind w:left="0" w:right="0" w:firstLine="708"/>
        <w:rPr>
          <w:rFonts w:ascii="Arial" w:hAnsi="Arial" w:cs="Arial"/>
          <w:sz w:val="24"/>
          <w:szCs w:val="24"/>
        </w:rPr>
      </w:pPr>
      <w:r>
        <w:rPr>
          <w:rFonts w:cs="Arial" w:ascii="Arial" w:hAnsi="Arial"/>
          <w:sz w:val="24"/>
          <w:szCs w:val="24"/>
        </w:rPr>
        <w:t xml:space="preserve">- обеспечению охраны окружающей природной среды, особо охраняемых природных территорий местного значения и других территорий природного комплекса; </w:t>
      </w:r>
    </w:p>
    <w:p>
      <w:pPr>
        <w:pStyle w:val="NoSpacing"/>
        <w:ind w:left="0" w:right="0" w:firstLine="708"/>
        <w:rPr>
          <w:rFonts w:ascii="Arial" w:hAnsi="Arial" w:cs="Arial"/>
          <w:sz w:val="24"/>
          <w:szCs w:val="24"/>
        </w:rPr>
      </w:pPr>
      <w:r>
        <w:rPr>
          <w:rFonts w:cs="Arial" w:ascii="Arial" w:hAnsi="Arial"/>
          <w:sz w:val="24"/>
          <w:szCs w:val="24"/>
        </w:rPr>
        <w:t xml:space="preserve">- обеспечению сохранения исторически сложившихся типов планировочных структур поселения, его застройки, природного ландшафта при осуществлении градостроительной деятельности; </w:t>
      </w:r>
    </w:p>
    <w:p>
      <w:pPr>
        <w:pStyle w:val="NoSpacing"/>
        <w:ind w:left="0" w:right="0" w:firstLine="708"/>
        <w:rPr>
          <w:rFonts w:ascii="Arial" w:hAnsi="Arial" w:cs="Arial"/>
          <w:sz w:val="24"/>
          <w:szCs w:val="24"/>
        </w:rPr>
      </w:pPr>
      <w:r>
        <w:rPr>
          <w:rFonts w:cs="Arial" w:ascii="Arial" w:hAnsi="Arial"/>
          <w:sz w:val="24"/>
          <w:szCs w:val="24"/>
        </w:rPr>
        <w:t xml:space="preserve">- планировочной организации и застройке территориальных зон и территорий различного назначения; </w:t>
      </w:r>
    </w:p>
    <w:p>
      <w:pPr>
        <w:pStyle w:val="NoSpacing"/>
        <w:ind w:left="0" w:right="0" w:firstLine="708"/>
        <w:rPr>
          <w:rFonts w:ascii="Arial" w:hAnsi="Arial" w:cs="Arial"/>
          <w:sz w:val="24"/>
          <w:szCs w:val="24"/>
        </w:rPr>
      </w:pPr>
      <w:r>
        <w:rPr>
          <w:rFonts w:cs="Arial" w:ascii="Arial" w:hAnsi="Arial"/>
          <w:sz w:val="24"/>
          <w:szCs w:val="24"/>
        </w:rPr>
        <w:t xml:space="preserve">- организации в составе территориальных зон пространств, предназначенных для объектов обслуживания, мест хранения и парковки индивидуального автомобильного транспорта, выделения площадей для озеленения, создания рекреаций, подъездов к зданиям; </w:t>
      </w:r>
    </w:p>
    <w:p>
      <w:pPr>
        <w:pStyle w:val="NoSpacing"/>
        <w:ind w:left="0" w:right="0" w:firstLine="708"/>
        <w:rPr>
          <w:rFonts w:ascii="Arial" w:hAnsi="Arial" w:cs="Arial"/>
          <w:sz w:val="24"/>
          <w:szCs w:val="24"/>
        </w:rPr>
      </w:pPr>
      <w:r>
        <w:rPr>
          <w:rFonts w:cs="Arial" w:ascii="Arial" w:hAnsi="Arial"/>
          <w:sz w:val="24"/>
          <w:szCs w:val="24"/>
        </w:rPr>
        <w:t xml:space="preserve">- обеспечению населения и территориальных зон социально значимыми объектами обслуживания; </w:t>
      </w:r>
    </w:p>
    <w:p>
      <w:pPr>
        <w:pStyle w:val="NoSpacing"/>
        <w:ind w:left="0" w:right="0" w:firstLine="708"/>
        <w:rPr>
          <w:rFonts w:ascii="Arial" w:hAnsi="Arial" w:cs="Arial"/>
          <w:sz w:val="24"/>
          <w:szCs w:val="24"/>
        </w:rPr>
      </w:pPr>
      <w:r>
        <w:rPr>
          <w:rFonts w:cs="Arial" w:ascii="Arial" w:hAnsi="Arial"/>
          <w:sz w:val="24"/>
          <w:szCs w:val="24"/>
        </w:rPr>
        <w:t xml:space="preserve">- обеспечению пешеходной и транспортной доступности объектов и комплексов социальной инфраструктуры, рекреаций, остановочных пунктов общественного транспорта, объектов для хранения и парковки индивидуального автомобильного транспорта; </w:t>
      </w:r>
    </w:p>
    <w:p>
      <w:pPr>
        <w:pStyle w:val="NoSpacing"/>
        <w:ind w:left="0" w:right="0" w:firstLine="708"/>
        <w:rPr>
          <w:rFonts w:ascii="Arial" w:hAnsi="Arial" w:cs="Arial"/>
          <w:sz w:val="24"/>
          <w:szCs w:val="24"/>
        </w:rPr>
      </w:pPr>
      <w:r>
        <w:rPr>
          <w:rFonts w:cs="Arial" w:ascii="Arial" w:hAnsi="Arial"/>
          <w:sz w:val="24"/>
          <w:szCs w:val="24"/>
        </w:rPr>
        <w:t xml:space="preserve">- организации дорожно-транспортной и улично-дорожной сети и ее элементов; </w:t>
      </w:r>
    </w:p>
    <w:p>
      <w:pPr>
        <w:pStyle w:val="NoSpacing"/>
        <w:ind w:left="0" w:right="0" w:firstLine="708"/>
        <w:rPr>
          <w:rFonts w:ascii="Arial" w:hAnsi="Arial" w:cs="Arial"/>
          <w:sz w:val="24"/>
          <w:szCs w:val="24"/>
        </w:rPr>
      </w:pPr>
      <w:r>
        <w:rPr>
          <w:rFonts w:cs="Arial" w:ascii="Arial" w:hAnsi="Arial"/>
          <w:sz w:val="24"/>
          <w:szCs w:val="24"/>
        </w:rPr>
        <w:t xml:space="preserve">- организации систем водоснабжения, водоотведения, тепло-, электро- и газоснабжения, связи; </w:t>
      </w:r>
    </w:p>
    <w:p>
      <w:pPr>
        <w:pStyle w:val="NoSpacing"/>
        <w:ind w:left="0" w:right="0" w:firstLine="708"/>
        <w:rPr>
          <w:rFonts w:ascii="Arial" w:hAnsi="Arial" w:cs="Arial"/>
          <w:sz w:val="24"/>
          <w:szCs w:val="24"/>
        </w:rPr>
      </w:pPr>
      <w:r>
        <w:rPr>
          <w:rFonts w:cs="Arial" w:ascii="Arial" w:hAnsi="Arial"/>
          <w:sz w:val="24"/>
          <w:szCs w:val="24"/>
        </w:rPr>
        <w:t xml:space="preserve">- инженерной подготовке территории; </w:t>
      </w:r>
    </w:p>
    <w:p>
      <w:pPr>
        <w:pStyle w:val="NoSpacing"/>
        <w:ind w:left="0" w:right="0" w:firstLine="708"/>
        <w:rPr>
          <w:rFonts w:ascii="Arial" w:hAnsi="Arial" w:cs="Arial"/>
          <w:sz w:val="24"/>
          <w:szCs w:val="24"/>
        </w:rPr>
      </w:pPr>
      <w:r>
        <w:rPr>
          <w:rFonts w:cs="Arial" w:ascii="Arial" w:hAnsi="Arial"/>
          <w:sz w:val="24"/>
          <w:szCs w:val="24"/>
        </w:rPr>
        <w:t xml:space="preserve">- обеспечению объектами массового кратковременного отдыха и физической культуры. </w:t>
      </w:r>
    </w:p>
    <w:p>
      <w:pPr>
        <w:pStyle w:val="NoSpacing"/>
        <w:ind w:left="0" w:right="0" w:firstLine="708"/>
        <w:rPr>
          <w:rFonts w:ascii="Arial" w:hAnsi="Arial" w:cs="Arial"/>
          <w:sz w:val="24"/>
          <w:szCs w:val="24"/>
        </w:rPr>
      </w:pPr>
      <w:r>
        <w:rPr>
          <w:rFonts w:cs="Arial" w:ascii="Arial" w:hAnsi="Arial"/>
          <w:sz w:val="24"/>
          <w:szCs w:val="24"/>
        </w:rPr>
        <w:t xml:space="preserve">Целью разработки местных нормативов градостроительного проектирования является обеспечение пространственного развития территории, соответствующего качеству жизни населения, предусмотренного документами планирования социально-экономического развития территории. </w:t>
      </w:r>
    </w:p>
    <w:p>
      <w:pPr>
        <w:pStyle w:val="NoSpacing"/>
        <w:ind w:left="0" w:right="0" w:firstLine="708"/>
        <w:rPr>
          <w:rFonts w:ascii="Arial" w:hAnsi="Arial" w:cs="Arial"/>
          <w:sz w:val="24"/>
          <w:szCs w:val="24"/>
        </w:rPr>
      </w:pPr>
      <w:r>
        <w:rPr>
          <w:rFonts w:cs="Arial" w:ascii="Arial" w:hAnsi="Arial"/>
          <w:sz w:val="24"/>
          <w:szCs w:val="24"/>
        </w:rPr>
        <w:t xml:space="preserve">Нормативы градостроительного проектирования решают следующие основные задачи: </w:t>
      </w:r>
    </w:p>
    <w:p>
      <w:pPr>
        <w:pStyle w:val="NoSpacing"/>
        <w:ind w:left="0" w:right="0" w:firstLine="708"/>
        <w:rPr>
          <w:rFonts w:ascii="Arial" w:hAnsi="Arial" w:cs="Arial"/>
          <w:sz w:val="24"/>
          <w:szCs w:val="24"/>
        </w:rPr>
      </w:pPr>
      <w:r>
        <w:rPr>
          <w:rFonts w:cs="Arial" w:ascii="Arial" w:hAnsi="Arial"/>
          <w:sz w:val="24"/>
          <w:szCs w:val="24"/>
        </w:rPr>
        <w:t xml:space="preserve">- установление минимального набора показателей, расчет которых необходим при разработке градостроительной документации (схемы территориального планирования, документации по планировке территории, правил землепользования и застройки) на основе документов планирования социально-экономического развития территории; </w:t>
      </w:r>
    </w:p>
    <w:p>
      <w:pPr>
        <w:pStyle w:val="NoSpacing"/>
        <w:ind w:left="0" w:right="0" w:firstLine="708"/>
        <w:rPr>
          <w:rFonts w:ascii="Arial" w:hAnsi="Arial" w:cs="Arial"/>
          <w:sz w:val="24"/>
          <w:szCs w:val="24"/>
        </w:rPr>
      </w:pPr>
      <w:r>
        <w:rPr>
          <w:rFonts w:cs="Arial" w:ascii="Arial" w:hAnsi="Arial"/>
          <w:sz w:val="24"/>
          <w:szCs w:val="24"/>
        </w:rPr>
        <w:t xml:space="preserve">- распределение используемых при проектировании показателей на группы по видам градостроительной документации; </w:t>
      </w:r>
    </w:p>
    <w:p>
      <w:pPr>
        <w:pStyle w:val="NoSpacing"/>
        <w:ind w:left="0" w:right="0" w:firstLine="708"/>
        <w:rPr>
          <w:rFonts w:ascii="Arial" w:hAnsi="Arial" w:cs="Arial"/>
          <w:sz w:val="24"/>
          <w:szCs w:val="24"/>
        </w:rPr>
      </w:pPr>
      <w:r>
        <w:rPr>
          <w:rFonts w:cs="Arial" w:ascii="Arial" w:hAnsi="Arial"/>
          <w:sz w:val="24"/>
          <w:szCs w:val="24"/>
        </w:rPr>
        <w:t xml:space="preserve">- обеспечение оценки качества градостроительной документации в плане соответствия её решений целям повышения качества жизни населения; </w:t>
      </w:r>
    </w:p>
    <w:p>
      <w:pPr>
        <w:pStyle w:val="NoSpacing"/>
        <w:ind w:left="0" w:right="0" w:firstLine="708"/>
        <w:rPr>
          <w:rFonts w:ascii="Arial" w:hAnsi="Arial" w:cs="Arial"/>
          <w:sz w:val="24"/>
          <w:szCs w:val="24"/>
        </w:rPr>
      </w:pPr>
      <w:r>
        <w:rPr>
          <w:rFonts w:cs="Arial" w:ascii="Arial" w:hAnsi="Arial"/>
          <w:sz w:val="24"/>
          <w:szCs w:val="24"/>
        </w:rPr>
        <w:t xml:space="preserve">- обеспечение постоянного контроля соответствия проектных решений градостроительной документации изменяющимся социально-экономическим условиям на территории; </w:t>
      </w:r>
    </w:p>
    <w:p>
      <w:pPr>
        <w:pStyle w:val="NoSpacing"/>
        <w:ind w:left="0" w:right="0" w:firstLine="708"/>
        <w:rPr>
          <w:rFonts w:ascii="Arial" w:hAnsi="Arial" w:cs="Arial"/>
          <w:sz w:val="24"/>
          <w:szCs w:val="24"/>
        </w:rPr>
      </w:pPr>
      <w:r>
        <w:rPr>
          <w:rFonts w:cs="Arial" w:ascii="Arial" w:hAnsi="Arial"/>
          <w:sz w:val="24"/>
          <w:szCs w:val="24"/>
        </w:rPr>
        <w:t xml:space="preserve">- приведение в соответствие с требованиями действующего законодательства о градостроительной деятельности терминологии, используемой в применяемых при разработке нормативов нормативно-технических документах, действующих в части, не противоречащей законодательству Российской Федерации; </w:t>
      </w:r>
    </w:p>
    <w:p>
      <w:pPr>
        <w:pStyle w:val="NoSpacing"/>
        <w:ind w:left="0" w:right="0" w:firstLine="708"/>
        <w:rPr>
          <w:rFonts w:ascii="Arial" w:hAnsi="Arial" w:cs="Arial"/>
          <w:sz w:val="24"/>
          <w:szCs w:val="24"/>
        </w:rPr>
      </w:pPr>
      <w:r>
        <w:rPr>
          <w:rFonts w:cs="Arial" w:ascii="Arial" w:hAnsi="Arial"/>
          <w:sz w:val="24"/>
          <w:szCs w:val="24"/>
        </w:rPr>
        <w:t xml:space="preserve">- установление требований к материалам, сдаваемым в составе документов территориального планирования, документации по планировке территории, правил землепользования и застройки для обеспечения формирования ресурсов информационных систем обеспечения градостроительной деятельности. </w:t>
      </w:r>
    </w:p>
    <w:p>
      <w:pPr>
        <w:sectPr>
          <w:type w:val="continuous"/>
          <w:pgSz w:w="11906" w:h="16838"/>
          <w:pgMar w:left="1134" w:right="567" w:header="0" w:top="851" w:footer="709" w:bottom="851" w:gutter="0"/>
          <w:formProt w:val="false"/>
          <w:textDirection w:val="lrTb"/>
          <w:docGrid w:type="default" w:linePitch="600" w:charSpace="36864"/>
        </w:sectPr>
      </w:pPr>
    </w:p>
    <w:p>
      <w:pPr>
        <w:pStyle w:val="Style117"/>
        <w:ind w:left="720" w:right="0" w:hanging="0"/>
        <w:jc w:val="left"/>
        <w:rPr>
          <w:rFonts w:ascii="Arial" w:hAnsi="Arial" w:cs="Arial"/>
        </w:rPr>
      </w:pPr>
      <w:bookmarkStart w:id="76" w:name="__RefHeading___Toc494965525"/>
      <w:bookmarkStart w:id="77" w:name="__RefHeading___Toc494965525"/>
      <w:r>
        <w:rPr>
          <w:rFonts w:cs="Arial" w:ascii="Arial" w:hAnsi="Arial"/>
        </w:rPr>
      </w:r>
    </w:p>
    <w:p>
      <w:pPr>
        <w:pStyle w:val="Style117"/>
        <w:ind w:left="720" w:right="0" w:hanging="0"/>
        <w:jc w:val="left"/>
        <w:rPr>
          <w:rFonts w:ascii="Arial" w:hAnsi="Arial" w:cs="Arial"/>
        </w:rPr>
      </w:pPr>
      <w:bookmarkStart w:id="78" w:name="__RefHeading___Toc494965525"/>
      <w:bookmarkEnd w:id="78"/>
      <w:r>
        <w:rPr>
          <w:rFonts w:cs="Arial" w:ascii="Arial" w:hAnsi="Arial"/>
        </w:rPr>
        <w:t>3. Показатели градостроительного проектирования, устанавливаемые местными нормативами градостроительного проектирования</w:t>
      </w:r>
    </w:p>
    <w:p>
      <w:pPr>
        <w:pStyle w:val="NoSpacing"/>
        <w:ind w:left="0" w:right="0" w:firstLine="708"/>
        <w:rPr>
          <w:rFonts w:ascii="Arial" w:hAnsi="Arial" w:cs="Arial"/>
          <w:sz w:val="24"/>
          <w:szCs w:val="24"/>
        </w:rPr>
      </w:pPr>
      <w:r>
        <w:rPr>
          <w:rFonts w:cs="Arial" w:ascii="Arial" w:hAnsi="Arial"/>
          <w:sz w:val="24"/>
          <w:szCs w:val="24"/>
        </w:rPr>
        <w:t>В соответствии со статьей 29.2 Градостроительного кодекса Российской Федерации, нормативы градостроительного проектирования поселения устанавливают совокупность:</w:t>
      </w:r>
    </w:p>
    <w:p>
      <w:pPr>
        <w:pStyle w:val="NoSpacing"/>
        <w:ind w:left="0" w:right="0" w:firstLine="360"/>
        <w:rPr/>
      </w:pPr>
      <w:r>
        <w:rPr>
          <w:rFonts w:cs="Arial" w:ascii="Arial" w:hAnsi="Arial"/>
          <w:sz w:val="24"/>
          <w:szCs w:val="24"/>
        </w:rPr>
        <w:t xml:space="preserve">- расчетных показателей минимально допустимого уровня обеспеченности населения объектами местного значения </w:t>
      </w:r>
      <w:r>
        <w:rPr>
          <w:rFonts w:cs="Arial" w:ascii="Arial" w:hAnsi="Arial"/>
          <w:sz w:val="24"/>
          <w:szCs w:val="24"/>
          <w:lang w:eastAsia="ar-SA"/>
        </w:rPr>
        <w:t>сельского</w:t>
      </w:r>
      <w:r>
        <w:rPr>
          <w:rFonts w:cs="Arial" w:ascii="Arial" w:hAnsi="Arial"/>
          <w:sz w:val="24"/>
          <w:szCs w:val="24"/>
        </w:rPr>
        <w:t xml:space="preserve"> поселения, отнесённым к таковым Федеральным законом Российской Федерации от 6 октября 2003 г. N 131-ФЗ "Об общих принципах организации местного самоуправления в Российской Федерации";</w:t>
      </w:r>
    </w:p>
    <w:p>
      <w:pPr>
        <w:pStyle w:val="NoSpacing"/>
        <w:ind w:left="0" w:right="0" w:firstLine="360"/>
        <w:rPr/>
      </w:pPr>
      <w:r>
        <w:rPr>
          <w:rFonts w:cs="Arial" w:ascii="Arial" w:hAnsi="Arial"/>
          <w:sz w:val="24"/>
          <w:szCs w:val="24"/>
        </w:rPr>
        <w:t xml:space="preserve">- расчетных показателей максимально допустимого уровня территориальной доступности таких объектов для населения </w:t>
      </w:r>
      <w:r>
        <w:rPr>
          <w:rFonts w:cs="Arial" w:ascii="Arial" w:hAnsi="Arial"/>
          <w:sz w:val="24"/>
          <w:szCs w:val="24"/>
          <w:lang w:eastAsia="ar-SA"/>
        </w:rPr>
        <w:t>сельского</w:t>
      </w:r>
      <w:r>
        <w:rPr>
          <w:rFonts w:cs="Arial" w:ascii="Arial" w:hAnsi="Arial"/>
          <w:sz w:val="24"/>
          <w:szCs w:val="24"/>
        </w:rPr>
        <w:t xml:space="preserve"> поселения.</w:t>
      </w:r>
    </w:p>
    <w:p>
      <w:pPr>
        <w:pStyle w:val="NoSpacing"/>
        <w:ind w:left="0" w:right="0" w:firstLine="360"/>
        <w:rPr>
          <w:rFonts w:ascii="Arial" w:hAnsi="Arial" w:cs="Arial"/>
          <w:sz w:val="24"/>
          <w:szCs w:val="24"/>
        </w:rPr>
      </w:pPr>
      <w:r>
        <w:rPr>
          <w:rFonts w:cs="Arial" w:ascii="Arial" w:hAnsi="Arial"/>
          <w:sz w:val="24"/>
          <w:szCs w:val="24"/>
        </w:rPr>
      </w:r>
    </w:p>
    <w:p>
      <w:pPr>
        <w:pStyle w:val="Style117"/>
        <w:ind w:left="720" w:right="0" w:hanging="0"/>
        <w:rPr/>
      </w:pPr>
      <w:r>
        <w:rPr>
          <w:rFonts w:cs="Arial" w:ascii="Arial" w:hAnsi="Arial"/>
        </w:rPr>
        <w:t xml:space="preserve">4. </w:t>
      </w:r>
      <w:bookmarkStart w:id="79" w:name="__RefHeading___Toc494965526"/>
      <w:bookmarkEnd w:id="79"/>
      <w:r>
        <w:rPr>
          <w:rFonts w:cs="Arial" w:ascii="Arial" w:hAnsi="Arial"/>
        </w:rPr>
        <w:t>Объекты местного значения, в том числе объекты капитального строительства местного значения, с нормируемым уровнем обеспеченности населения, нормируемым радиусом обслуживания</w:t>
      </w:r>
    </w:p>
    <w:p>
      <w:pPr>
        <w:pStyle w:val="Normal"/>
        <w:tabs>
          <w:tab w:val="right" w:pos="567" w:leader="none"/>
        </w:tabs>
        <w:suppressAutoHyphens w:val="true"/>
        <w:spacing w:lineRule="atLeast" w:line="100" w:before="0" w:after="0"/>
        <w:ind w:left="0" w:right="0" w:firstLine="567"/>
        <w:jc w:val="both"/>
        <w:rPr/>
      </w:pPr>
      <w:r>
        <w:rPr>
          <w:rFonts w:eastAsia="SimSun" w:cs="Arial" w:ascii="Arial" w:hAnsi="Arial"/>
          <w:color w:val="000000"/>
          <w:kern w:val="2"/>
          <w:sz w:val="24"/>
          <w:szCs w:val="24"/>
          <w:lang w:eastAsia="ar-SA"/>
        </w:rPr>
        <w:t xml:space="preserve">В число объектов местного значения </w:t>
      </w:r>
      <w:r>
        <w:rPr>
          <w:rFonts w:eastAsia="Times New Roman" w:cs="Arial" w:ascii="Arial" w:hAnsi="Arial"/>
          <w:color w:val="000000"/>
          <w:sz w:val="24"/>
          <w:szCs w:val="24"/>
          <w:lang w:eastAsia="ar-SA"/>
        </w:rPr>
        <w:t>сельского</w:t>
      </w:r>
      <w:r>
        <w:rPr>
          <w:rFonts w:eastAsia="SimSun" w:cs="Arial" w:ascii="Arial" w:hAnsi="Arial"/>
          <w:color w:val="000000"/>
          <w:kern w:val="2"/>
          <w:sz w:val="24"/>
          <w:szCs w:val="24"/>
          <w:lang w:eastAsia="ar-SA"/>
        </w:rPr>
        <w:t xml:space="preserve">  поселения, отнесённых к таковым ст. 14 Федерального закона Российской Федерации </w:t>
      </w:r>
      <w:r>
        <w:rPr>
          <w:rFonts w:eastAsia="SimSun" w:cs="Arial" w:ascii="Arial" w:hAnsi="Arial"/>
          <w:color w:val="000000"/>
          <w:kern w:val="2"/>
          <w:sz w:val="24"/>
          <w:szCs w:val="24"/>
          <w:lang w:val="en-US" w:eastAsia="ar-SA"/>
        </w:rPr>
        <w:t>N</w:t>
      </w:r>
      <w:r>
        <w:rPr>
          <w:rFonts w:eastAsia="SimSun" w:cs="Arial" w:ascii="Arial" w:hAnsi="Arial"/>
          <w:color w:val="000000"/>
          <w:kern w:val="2"/>
          <w:sz w:val="24"/>
          <w:szCs w:val="24"/>
          <w:lang w:eastAsia="ar-SA"/>
        </w:rPr>
        <w:t xml:space="preserve"> 131-ФЗ "Об общих принципах организации местного самоуправления в Российской Федерации", входят объекты, относящиеся к следующим областям:</w:t>
      </w:r>
    </w:p>
    <w:p>
      <w:pPr>
        <w:pStyle w:val="Normal"/>
        <w:tabs>
          <w:tab w:val="right" w:pos="567" w:leader="none"/>
        </w:tabs>
        <w:suppressAutoHyphens w:val="true"/>
        <w:spacing w:lineRule="atLeast" w:line="100" w:before="0" w:after="0"/>
        <w:ind w:left="0" w:right="0" w:firstLine="709"/>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 электро-, тепло- и водоснабжение населения, водоотведение;</w:t>
      </w:r>
    </w:p>
    <w:p>
      <w:pPr>
        <w:pStyle w:val="Normal"/>
        <w:tabs>
          <w:tab w:val="right" w:pos="567" w:leader="none"/>
        </w:tabs>
        <w:suppressAutoHyphens w:val="true"/>
        <w:spacing w:lineRule="atLeast" w:line="100" w:before="0" w:after="0"/>
        <w:ind w:left="0" w:right="0" w:firstLine="709"/>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 автомобильные дороги местного значения в границах населенных пунктов поселения;</w:t>
      </w:r>
    </w:p>
    <w:p>
      <w:pPr>
        <w:pStyle w:val="Normal"/>
        <w:tabs>
          <w:tab w:val="right" w:pos="567" w:leader="none"/>
        </w:tabs>
        <w:suppressAutoHyphens w:val="true"/>
        <w:spacing w:lineRule="atLeast" w:line="100" w:before="0" w:after="0"/>
        <w:ind w:left="0" w:right="0" w:firstLine="709"/>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-физическая культура и массовый спорт;</w:t>
      </w:r>
    </w:p>
    <w:p>
      <w:pPr>
        <w:pStyle w:val="Normal"/>
        <w:tabs>
          <w:tab w:val="right" w:pos="567" w:leader="none"/>
        </w:tabs>
        <w:suppressAutoHyphens w:val="true"/>
        <w:spacing w:lineRule="atLeast" w:line="100" w:before="0" w:after="0"/>
        <w:ind w:left="0" w:right="0" w:firstLine="709"/>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-образование,</w:t>
      </w:r>
    </w:p>
    <w:p>
      <w:pPr>
        <w:pStyle w:val="Normal"/>
        <w:tabs>
          <w:tab w:val="right" w:pos="567" w:leader="none"/>
        </w:tabs>
        <w:suppressAutoHyphens w:val="true"/>
        <w:spacing w:lineRule="atLeast" w:line="100" w:before="0" w:after="0"/>
        <w:ind w:left="0" w:right="0" w:firstLine="709"/>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-организация сбора и вывоза бытовых отходов и мусора;</w:t>
      </w:r>
    </w:p>
    <w:p>
      <w:pPr>
        <w:pStyle w:val="Normal"/>
        <w:tabs>
          <w:tab w:val="right" w:pos="567" w:leader="none"/>
        </w:tabs>
        <w:suppressAutoHyphens w:val="true"/>
        <w:spacing w:lineRule="atLeast" w:line="100" w:before="0" w:after="0"/>
        <w:ind w:left="0" w:right="0" w:firstLine="709"/>
        <w:jc w:val="both"/>
        <w:rPr>
          <w:rFonts w:ascii="Arial" w:hAnsi="Arial" w:eastAsia="SimSun" w:cs="Arial"/>
          <w:color w:val="000000"/>
          <w:kern w:val="2"/>
          <w:sz w:val="24"/>
          <w:szCs w:val="24"/>
          <w:lang w:eastAsia="ar-SA"/>
        </w:rPr>
      </w:pPr>
      <w:r>
        <w:rPr>
          <w:rFonts w:eastAsia="SimSun" w:cs="Arial" w:ascii="Arial" w:hAnsi="Arial"/>
          <w:color w:val="000000"/>
          <w:kern w:val="2"/>
          <w:sz w:val="24"/>
          <w:szCs w:val="24"/>
          <w:lang w:eastAsia="ar-SA"/>
        </w:rPr>
        <w:t>-благоустройство и озеленение территории поселения.</w:t>
      </w:r>
    </w:p>
    <w:p>
      <w:pPr>
        <w:pStyle w:val="Style117"/>
        <w:ind w:left="720" w:right="0" w:hanging="0"/>
        <w:rPr>
          <w:rFonts w:ascii="Arial" w:hAnsi="Arial" w:cs="Arial"/>
        </w:rPr>
      </w:pPr>
      <w:bookmarkStart w:id="80" w:name="__RefHeading___Toc494965527"/>
      <w:bookmarkEnd w:id="80"/>
      <w:r>
        <w:rPr>
          <w:rFonts w:cs="Arial" w:ascii="Arial" w:hAnsi="Arial"/>
        </w:rPr>
        <w:t>5.Общая организация и территориальное зонирование поселения</w:t>
      </w:r>
    </w:p>
    <w:p>
      <w:pPr>
        <w:pStyle w:val="Style118"/>
        <w:shd w:fill="FFFFFF" w:val="clear"/>
        <w:ind w:left="0" w:right="0" w:hanging="0"/>
        <w:rPr/>
      </w:pPr>
      <w:bookmarkStart w:id="81" w:name="__RefHeading___Toc494965528"/>
      <w:bookmarkStart w:id="82" w:name="bookmark32"/>
      <w:bookmarkEnd w:id="81"/>
      <w:r>
        <w:rPr>
          <w:rFonts w:eastAsia="Arial" w:cs="Arial" w:ascii="Arial" w:hAnsi="Arial"/>
          <w:b w:val="false"/>
        </w:rPr>
        <w:t xml:space="preserve">                      </w:t>
      </w:r>
      <w:r>
        <w:rPr>
          <w:rFonts w:cs="Arial" w:ascii="Arial" w:hAnsi="Arial"/>
        </w:rPr>
        <w:t>5.1.Общие положения</w:t>
      </w:r>
    </w:p>
    <w:p>
      <w:pPr>
        <w:pStyle w:val="38"/>
        <w:shd w:fill="FFFFFF" w:val="clear"/>
        <w:spacing w:lineRule="auto" w:line="240" w:before="0" w:after="0"/>
        <w:jc w:val="both"/>
        <w:rPr/>
      </w:pPr>
      <w:r>
        <w:rPr>
          <w:rFonts w:eastAsia="Arial" w:cs="Arial" w:ascii="Arial" w:hAnsi="Arial"/>
          <w:sz w:val="24"/>
          <w:szCs w:val="24"/>
        </w:rPr>
        <w:t xml:space="preserve">        </w:t>
      </w:r>
      <w:bookmarkEnd w:id="82"/>
      <w:r>
        <w:rPr>
          <w:rFonts w:cs="Arial" w:ascii="Arial" w:hAnsi="Arial"/>
          <w:sz w:val="24"/>
          <w:szCs w:val="24"/>
        </w:rPr>
        <w:t>5.1.1.Положения об общей организации и территориальном зонировании Кушнурского   сельсовета установлены в соответствии с Земельным кодексом Российской Федерации, Градостроительным кодексом Российской Федерации, а также с учетом СП 42.13330.2011 «Градостроительство. Планировка и застройка городских и сельских поселений. Актуализированная редакция СНиП 2.07.01-89*».</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5.1.2.При планировке и застройке сельского поселения необходимо зонировать его территорию с установлением видов преимущественного функционального использования, а также других ограничений на использование территории для осуществления градостроительной деятельности.</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5.1.3.Перечень функциональных зон может включать зоны преимущественно жилой застройки, смешанной и общественно-деловой застройки, общественно-деловой застройки, производственной застройки, смешанной застройки, инженерной и транспортной инфраструктур, рекреационные зоны, зоны сельскохозяйственного использования, зоны специального назначения, в том числе зоны размещения военных и иных режимных объектов, зоны кладбищ, прочие зоны специального назначения. </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5.1.4.При планировании развития территории устанавливаются зоны с особыми условиями использования территорий: санитарно-защитные зоны, водоохранные зоны, зоны санитарной охраны источников питьевого и хозяйственно-бытового водоснабжения, зоны охраняемых объектов, иные зоны, устанавливаемые в соответствии с законодательством Российской Федерации, в том числе зеленые зоны, зоны территорий, подверженных риску возникновения чрезвычайных ситуаций природного и техногенного характера. </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5.1.5.Санитарно-защитные зоны производственных и других объектов, выполняющие средозащитные функции, включаются в состав тех территориальных зон, в которых размещаются эти объекты. Допустимый режим использования и застройки санитарно-защитных зон необходимо принимать в соответствии с действующим законодательством, настоящими нормами и правилами, санитарными правилами, приведенными в СанПиН 2.2.1/2.1.1.1200, а также по согласованию с местными органами санитарно-эпидемиологического надзора. </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5.1.6.Состав, местонахождение и параметры развития функциональных зон устанавливаются генеральным планом сельского поселения с учетом правовых и нормативных актов. </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5.1.7.В пределах одной функциональной зоны могут выделяться территории, особенности использования которых определяются с учетом ограничений, установленных земельным и градостроительным законодательством, законодательством об охране объектов культурного наследия, иными правовыми и нормативными актами. </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5.1.8.Функциональное зонирование территории является основой градостроительного зонирования, устанавливаемого Правилами землепользования и застройки. </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5.1.9.Правилами землепользования и застройки устанавливаются состав, границы и регламенты использования территориальных зон. Границы территориальных зон устанавливаются с учетом: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местонахождения и параметров планируемого развития функциональных зон, определенных в генеральном плане сельского поселения;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сложившегося использования территорий и земель;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планируемых изменений границ земель различных категорий в соответствии с генеральным планом сельского поселения и документацией по планировке территории;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предотвращения возможности причинения вреда населению, природе и объектам капитального строительства, расположенным на смежных участках. </w:t>
      </w:r>
    </w:p>
    <w:p>
      <w:pPr>
        <w:pStyle w:val="38"/>
        <w:shd w:fill="FFFFFF" w:val="clear"/>
        <w:spacing w:lineRule="auto" w:line="240" w:before="0" w:after="0"/>
        <w:ind w:left="360" w:right="0" w:hanging="0"/>
        <w:jc w:val="both"/>
        <w:rPr>
          <w:rFonts w:ascii="Arial" w:hAnsi="Arial" w:cs="Arial"/>
          <w:sz w:val="24"/>
          <w:szCs w:val="24"/>
        </w:rPr>
      </w:pPr>
      <w:r>
        <w:rPr>
          <w:rFonts w:cs="Arial" w:ascii="Arial" w:hAnsi="Arial"/>
          <w:sz w:val="24"/>
          <w:szCs w:val="24"/>
        </w:rPr>
        <w:t xml:space="preserve">5.1.10.Границы территориальных зон устанавливаются по: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осевым линиям магистралей, улиц, проездов, пешеходных путей;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красным линиям;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границам земельных участков;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границам населенных пунктов;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границам муниципальных образований;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естественным границам природных объектов;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иным границам. </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5.1.11.Границы зон с особыми условиями функционального использования территорий, границы территорий объектов культурного наследия могут не совпадать с границами территориальных зон. </w:t>
      </w:r>
    </w:p>
    <w:p>
      <w:pPr>
        <w:pStyle w:val="38"/>
        <w:shd w:fill="FFFFFF" w:val="clear"/>
        <w:spacing w:lineRule="auto" w:line="240" w:before="0" w:after="0"/>
        <w:ind w:left="360" w:right="0" w:hanging="0"/>
        <w:jc w:val="both"/>
        <w:rPr>
          <w:rFonts w:ascii="Arial" w:hAnsi="Arial" w:cs="Arial"/>
          <w:sz w:val="24"/>
          <w:szCs w:val="24"/>
        </w:rPr>
      </w:pPr>
      <w:r>
        <w:rPr>
          <w:rFonts w:cs="Arial" w:ascii="Arial" w:hAnsi="Arial"/>
          <w:sz w:val="24"/>
          <w:szCs w:val="24"/>
        </w:rPr>
        <w:t xml:space="preserve">5.1.12.Планировочное структурное зонирование территории сельского поселения должно предусматривать: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взаимосвязь территориальных зон и структурных планировочных элементов;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доступность объектов, расположенных на территории сельского поселения в пределах нормативных затрат времени, в том числе беспрепятственный доступ инвалидов и других маломобильных групп населения к объектам жилой, социальной, транспортной и инженерной инфраструктур в соответствии с требованиями Указа Президента Российской Федерации от 02 октября 1992 г. № 1156 «О мерах по формированию доступной для инвалидов среды жизнедеятельности», Федеральным законом от 24.11.1995 N 181-ФЗ "О социальной защите инвалидов в Российской Федерации" (ст. ст. 14, 15, 16), постановлением Правительства Российской Федерации от 07.12.1996 N 1449 "О мерах по обеспечению беспрепятственного доступа инвалидов к информации и объектам социальной инфраструктуры";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эффективное использование территории с учетом ее градостроительной ценности, плотности застройки, размеров земельных участков;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организацию системы общественных центров сельского поселения в увязке с транспортно-коммуникационными узлами и градостроительными решениями, обусловленными соответствующими системами расселения;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сохранение объектов культурного наследия, исторической планировки и застройки;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сохранение и развитие природного комплекса, в том числе природно-рекреационной системы пригородных (зеленых) зон;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 создание благоприятных условий для жизни и здоровья населения.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При этом следует предусматривать меры по охране и улучшению природной среды при максимальном сохранении особенностей ландшафта, развитию культурно-бытового обслуживания, дорожно-транспортной сети и инженерного обеспечения. </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5.1.13.Следует обеспечивать всемерное сохранение планировочной структуры и архитектурного облика. </w:t>
      </w:r>
    </w:p>
    <w:p>
      <w:pPr>
        <w:pStyle w:val="NoSpacing"/>
        <w:rPr/>
      </w:pPr>
      <w:r>
        <w:rPr>
          <w:rFonts w:eastAsia="Arial" w:cs="Arial" w:ascii="Arial" w:hAnsi="Arial"/>
          <w:sz w:val="24"/>
          <w:szCs w:val="24"/>
        </w:rPr>
        <w:t xml:space="preserve">        </w:t>
      </w:r>
      <w:r>
        <w:rPr>
          <w:rFonts w:cs="Arial" w:ascii="Arial" w:hAnsi="Arial"/>
          <w:sz w:val="24"/>
          <w:szCs w:val="24"/>
        </w:rPr>
        <w:t>5.1.14.Для определения размеров земельных участков (территории) под строительство все объекты следует разделить на объекты линейного, точечного и зонального характера.</w:t>
      </w:r>
    </w:p>
    <w:p>
      <w:pPr>
        <w:pStyle w:val="NoSpacing"/>
        <w:tabs>
          <w:tab w:val="left" w:pos="993" w:leader="none"/>
        </w:tabs>
        <w:ind w:left="0" w:right="0" w:firstLine="708"/>
        <w:rPr>
          <w:rFonts w:ascii="Arial" w:hAnsi="Arial" w:cs="Arial"/>
          <w:sz w:val="24"/>
          <w:szCs w:val="24"/>
        </w:rPr>
      </w:pPr>
      <w:r>
        <w:rPr>
          <w:rFonts w:cs="Arial" w:ascii="Arial" w:hAnsi="Arial"/>
          <w:sz w:val="24"/>
          <w:szCs w:val="24"/>
        </w:rPr>
        <w:t>-</w:t>
        <w:tab/>
        <w:t xml:space="preserve">объекты линейного характера обеспечивают связь населенных пунктов и промышленных объектов и размещаются с учетом их места в производственной (технологической) схеме; </w:t>
      </w:r>
    </w:p>
    <w:p>
      <w:pPr>
        <w:pStyle w:val="NoSpacing"/>
        <w:tabs>
          <w:tab w:val="left" w:pos="993" w:leader="none"/>
        </w:tabs>
        <w:ind w:left="0" w:right="0" w:firstLine="708"/>
        <w:rPr>
          <w:rFonts w:ascii="Arial" w:hAnsi="Arial" w:cs="Arial"/>
          <w:sz w:val="24"/>
          <w:szCs w:val="24"/>
        </w:rPr>
      </w:pPr>
      <w:r>
        <w:rPr>
          <w:rFonts w:cs="Arial" w:ascii="Arial" w:hAnsi="Arial"/>
          <w:sz w:val="24"/>
          <w:szCs w:val="24"/>
        </w:rPr>
        <w:t>-</w:t>
        <w:tab/>
        <w:t>объекты точечного характера представляют собой одиночные объекты, требующие, как правило, небольших по размерам площадок и размещаемые, в основном, в пределах населенных пунктов;</w:t>
      </w:r>
    </w:p>
    <w:p>
      <w:pPr>
        <w:pStyle w:val="NoSpacing"/>
        <w:tabs>
          <w:tab w:val="left" w:pos="993" w:leader="none"/>
        </w:tabs>
        <w:ind w:left="0" w:right="0" w:firstLine="708"/>
        <w:rPr>
          <w:rFonts w:ascii="Arial" w:hAnsi="Arial" w:cs="Arial"/>
          <w:sz w:val="24"/>
          <w:szCs w:val="24"/>
        </w:rPr>
      </w:pPr>
      <w:r>
        <w:rPr>
          <w:rFonts w:cs="Arial" w:ascii="Arial" w:hAnsi="Arial"/>
          <w:sz w:val="24"/>
          <w:szCs w:val="24"/>
        </w:rPr>
        <w:t>-</w:t>
        <w:tab/>
        <w:t>объекты зонального характера формируются в виде ареалов, как правило, связанных с эксплуатацией на данной территории природных ресурсов.</w:t>
      </w:r>
    </w:p>
    <w:p>
      <w:pPr>
        <w:pStyle w:val="NoSpacing"/>
        <w:ind w:left="0" w:right="0" w:firstLine="708"/>
        <w:rPr>
          <w:rFonts w:ascii="Arial" w:hAnsi="Arial" w:cs="Arial"/>
          <w:sz w:val="24"/>
          <w:szCs w:val="24"/>
        </w:rPr>
      </w:pPr>
      <w:r>
        <w:rPr>
          <w:rFonts w:cs="Arial" w:ascii="Arial" w:hAnsi="Arial"/>
          <w:sz w:val="24"/>
          <w:szCs w:val="24"/>
        </w:rPr>
        <w:t>Основными принципами и требованиями к размещению объектов капитального строительства регионального значения являются:</w:t>
      </w:r>
    </w:p>
    <w:p>
      <w:pPr>
        <w:pStyle w:val="NoSpacing"/>
        <w:ind w:left="0" w:right="0" w:firstLine="708"/>
        <w:rPr>
          <w:rFonts w:ascii="Arial" w:hAnsi="Arial" w:cs="Arial"/>
          <w:sz w:val="24"/>
          <w:szCs w:val="24"/>
        </w:rPr>
      </w:pPr>
      <w:r>
        <w:rPr>
          <w:rFonts w:cs="Arial" w:ascii="Arial" w:hAnsi="Arial"/>
          <w:sz w:val="24"/>
          <w:szCs w:val="24"/>
        </w:rPr>
        <w:t>-</w:t>
        <w:tab/>
        <w:t>для объектов точечного характера - компактное, взаимоувязанное размещение, преимущественно в пределах населенных пунктов, в составе определенных генпланом функциональных зон (производственных, коммунальных, общественно-деловых и т.п.) или во взаимосвязи с населенным пунктом;</w:t>
      </w:r>
    </w:p>
    <w:p>
      <w:pPr>
        <w:pStyle w:val="NoSpacing"/>
        <w:ind w:left="0" w:right="0" w:firstLine="708"/>
        <w:rPr>
          <w:rFonts w:ascii="Arial" w:hAnsi="Arial" w:cs="Arial"/>
          <w:sz w:val="24"/>
          <w:szCs w:val="24"/>
        </w:rPr>
      </w:pPr>
      <w:r>
        <w:rPr>
          <w:rFonts w:cs="Arial" w:ascii="Arial" w:hAnsi="Arial"/>
          <w:sz w:val="24"/>
          <w:szCs w:val="24"/>
        </w:rPr>
        <w:t>-</w:t>
        <w:tab/>
        <w:t>для объектов линейного характера - размещение с учетом их роли в формировании единой транспортной, энергетической или иной коммуникационной системы, увязывающей деятельность объектов федерального, регионального или местного значения между собой и обеспечивающей эффективное функционирование всей производственной и технологической цепочки - преимущественно в виде коридоров коммуникаций разных видов.</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 xml:space="preserve">5.1.15.Нормативные показатели плотности застройки территориальных зон следует принимать по таблице 1. </w:t>
      </w:r>
    </w:p>
    <w:p>
      <w:pPr>
        <w:pStyle w:val="Default"/>
        <w:jc w:val="right"/>
        <w:rPr>
          <w:rFonts w:ascii="Arial" w:hAnsi="Arial" w:cs="Arial"/>
        </w:rPr>
      </w:pPr>
      <w:r>
        <w:rPr>
          <w:rFonts w:cs="Arial" w:ascii="Arial" w:hAnsi="Arial"/>
        </w:rPr>
        <w:t xml:space="preserve">Таблица 1 </w:t>
      </w:r>
    </w:p>
    <w:tbl>
      <w:tblPr>
        <w:tblW w:w="10765" w:type="dxa"/>
        <w:jc w:val="left"/>
        <w:tblInd w:w="0" w:type="dxa"/>
        <w:tblBorders>
          <w:top w:val="single" w:sz="4" w:space="0" w:color="00000A"/>
          <w:left w:val="single" w:sz="4" w:space="0" w:color="00000A"/>
          <w:bottom w:val="single" w:sz="4" w:space="0" w:color="00000A"/>
          <w:insideH w:val="single" w:sz="4" w:space="0" w:color="00000A"/>
        </w:tblBorders>
        <w:tblCellMar>
          <w:top w:w="0" w:type="dxa"/>
          <w:left w:w="108" w:type="dxa"/>
          <w:bottom w:w="0" w:type="dxa"/>
          <w:right w:w="108" w:type="dxa"/>
        </w:tblCellMar>
      </w:tblPr>
      <w:tblGrid>
        <w:gridCol w:w="5516"/>
        <w:gridCol w:w="2374"/>
        <w:gridCol w:w="2875"/>
      </w:tblGrid>
      <w:tr>
        <w:trPr>
          <w:trHeight w:val="770" w:hRule="atLeast"/>
        </w:trPr>
        <w:tc>
          <w:tcPr>
            <w:tcW w:w="5516"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Default"/>
              <w:jc w:val="center"/>
              <w:rPr>
                <w:rFonts w:ascii="Arial" w:hAnsi="Arial" w:cs="Arial"/>
                <w:b/>
                <w:b/>
              </w:rPr>
            </w:pPr>
            <w:r>
              <w:rPr>
                <w:rFonts w:cs="Arial" w:ascii="Arial" w:hAnsi="Arial"/>
                <w:b/>
              </w:rPr>
              <w:t>Территориальные зоны</w:t>
            </w:r>
          </w:p>
        </w:tc>
        <w:tc>
          <w:tcPr>
            <w:tcW w:w="2374"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Default"/>
              <w:jc w:val="center"/>
              <w:rPr>
                <w:rFonts w:ascii="Arial" w:hAnsi="Arial" w:cs="Arial"/>
                <w:b/>
                <w:b/>
              </w:rPr>
            </w:pPr>
            <w:r>
              <w:rPr>
                <w:rFonts w:cs="Arial" w:ascii="Arial" w:hAnsi="Arial"/>
                <w:b/>
              </w:rPr>
              <w:t>Коэффициент застройки</w:t>
            </w:r>
          </w:p>
        </w:tc>
        <w:tc>
          <w:tcPr>
            <w:tcW w:w="28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8" w:type="dxa"/>
            </w:tcMar>
          </w:tcPr>
          <w:p>
            <w:pPr>
              <w:pStyle w:val="Default"/>
              <w:jc w:val="center"/>
              <w:rPr>
                <w:rFonts w:ascii="Arial" w:hAnsi="Arial" w:cs="Arial"/>
                <w:b/>
                <w:b/>
              </w:rPr>
            </w:pPr>
            <w:r>
              <w:rPr>
                <w:rFonts w:cs="Arial" w:ascii="Arial" w:hAnsi="Arial"/>
                <w:b/>
              </w:rPr>
              <w:t>Коэффициент плотности застройки</w:t>
            </w:r>
          </w:p>
        </w:tc>
      </w:tr>
      <w:tr>
        <w:trPr>
          <w:trHeight w:val="219" w:hRule="atLeast"/>
        </w:trPr>
        <w:tc>
          <w:tcPr>
            <w:tcW w:w="1076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i/>
                <w:i/>
                <w:iCs/>
              </w:rPr>
            </w:pPr>
            <w:r>
              <w:rPr>
                <w:rFonts w:cs="Arial" w:ascii="Arial" w:hAnsi="Arial"/>
                <w:i/>
                <w:iCs/>
              </w:rPr>
              <w:t xml:space="preserve">Жилая застройка </w:t>
            </w:r>
          </w:p>
        </w:tc>
      </w:tr>
      <w:tr>
        <w:trPr>
          <w:trHeight w:val="494" w:hRule="atLeast"/>
        </w:trPr>
        <w:tc>
          <w:tcPr>
            <w:tcW w:w="5516"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Застройка многоквартирными жилыми домами малой этажности </w:t>
            </w:r>
          </w:p>
        </w:tc>
        <w:tc>
          <w:tcPr>
            <w:tcW w:w="2374"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0,4 </w:t>
            </w:r>
          </w:p>
        </w:tc>
        <w:tc>
          <w:tcPr>
            <w:tcW w:w="28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0,8 </w:t>
            </w:r>
          </w:p>
        </w:tc>
      </w:tr>
      <w:tr>
        <w:trPr>
          <w:trHeight w:val="495" w:hRule="atLeast"/>
        </w:trPr>
        <w:tc>
          <w:tcPr>
            <w:tcW w:w="5516"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Застройка блокированными жилыми домами с приквартирными земельными участками </w:t>
            </w:r>
          </w:p>
        </w:tc>
        <w:tc>
          <w:tcPr>
            <w:tcW w:w="2374"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0,5 </w:t>
            </w:r>
          </w:p>
        </w:tc>
        <w:tc>
          <w:tcPr>
            <w:tcW w:w="28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1,5 </w:t>
            </w:r>
          </w:p>
        </w:tc>
      </w:tr>
      <w:tr>
        <w:trPr>
          <w:trHeight w:val="494" w:hRule="atLeast"/>
        </w:trPr>
        <w:tc>
          <w:tcPr>
            <w:tcW w:w="5516"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Застройка индивидуальными жилыми домами с приусадебными земельными участками </w:t>
            </w:r>
          </w:p>
        </w:tc>
        <w:tc>
          <w:tcPr>
            <w:tcW w:w="2374"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0,2 </w:t>
            </w:r>
          </w:p>
        </w:tc>
        <w:tc>
          <w:tcPr>
            <w:tcW w:w="28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0,4 </w:t>
            </w:r>
          </w:p>
        </w:tc>
      </w:tr>
      <w:tr>
        <w:trPr>
          <w:trHeight w:val="219" w:hRule="atLeast"/>
        </w:trPr>
        <w:tc>
          <w:tcPr>
            <w:tcW w:w="1076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i/>
                <w:i/>
                <w:iCs/>
              </w:rPr>
            </w:pPr>
            <w:r>
              <w:rPr>
                <w:rFonts w:cs="Arial" w:ascii="Arial" w:hAnsi="Arial"/>
                <w:i/>
                <w:iCs/>
              </w:rPr>
              <w:t xml:space="preserve">Общественно-деловая </w:t>
            </w:r>
          </w:p>
        </w:tc>
      </w:tr>
      <w:tr>
        <w:trPr>
          <w:trHeight w:val="218" w:hRule="atLeast"/>
        </w:trPr>
        <w:tc>
          <w:tcPr>
            <w:tcW w:w="5516"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Многофункциональная застройка </w:t>
            </w:r>
          </w:p>
        </w:tc>
        <w:tc>
          <w:tcPr>
            <w:tcW w:w="2374"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1,0 </w:t>
            </w:r>
          </w:p>
        </w:tc>
        <w:tc>
          <w:tcPr>
            <w:tcW w:w="28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3,0 </w:t>
            </w:r>
          </w:p>
        </w:tc>
      </w:tr>
      <w:tr>
        <w:trPr>
          <w:trHeight w:val="218" w:hRule="atLeast"/>
        </w:trPr>
        <w:tc>
          <w:tcPr>
            <w:tcW w:w="5516"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Специализированная общественная застройка </w:t>
            </w:r>
          </w:p>
        </w:tc>
        <w:tc>
          <w:tcPr>
            <w:tcW w:w="2374"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0,8 </w:t>
            </w:r>
          </w:p>
        </w:tc>
        <w:tc>
          <w:tcPr>
            <w:tcW w:w="28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2,4 </w:t>
            </w:r>
          </w:p>
        </w:tc>
      </w:tr>
      <w:tr>
        <w:trPr>
          <w:trHeight w:val="219" w:hRule="atLeast"/>
        </w:trPr>
        <w:tc>
          <w:tcPr>
            <w:tcW w:w="10765"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i/>
                <w:i/>
                <w:iCs/>
              </w:rPr>
            </w:pPr>
            <w:r>
              <w:rPr>
                <w:rFonts w:cs="Arial" w:ascii="Arial" w:hAnsi="Arial"/>
                <w:i/>
                <w:iCs/>
              </w:rPr>
              <w:t xml:space="preserve">Производственная </w:t>
            </w:r>
          </w:p>
        </w:tc>
      </w:tr>
      <w:tr>
        <w:trPr>
          <w:trHeight w:val="218" w:hRule="atLeast"/>
        </w:trPr>
        <w:tc>
          <w:tcPr>
            <w:tcW w:w="5516"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Промышленная </w:t>
            </w:r>
          </w:p>
        </w:tc>
        <w:tc>
          <w:tcPr>
            <w:tcW w:w="2374"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0,8 </w:t>
            </w:r>
          </w:p>
        </w:tc>
        <w:tc>
          <w:tcPr>
            <w:tcW w:w="28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2,4 </w:t>
            </w:r>
          </w:p>
        </w:tc>
      </w:tr>
      <w:tr>
        <w:trPr>
          <w:trHeight w:val="218" w:hRule="atLeast"/>
        </w:trPr>
        <w:tc>
          <w:tcPr>
            <w:tcW w:w="5516"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Научно-производственная </w:t>
            </w:r>
          </w:p>
        </w:tc>
        <w:tc>
          <w:tcPr>
            <w:tcW w:w="2374"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0,6 </w:t>
            </w:r>
          </w:p>
        </w:tc>
        <w:tc>
          <w:tcPr>
            <w:tcW w:w="28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1,0 </w:t>
            </w:r>
          </w:p>
        </w:tc>
      </w:tr>
      <w:tr>
        <w:trPr>
          <w:trHeight w:val="218" w:hRule="atLeast"/>
        </w:trPr>
        <w:tc>
          <w:tcPr>
            <w:tcW w:w="5516"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Коммунально-складская </w:t>
            </w:r>
          </w:p>
        </w:tc>
        <w:tc>
          <w:tcPr>
            <w:tcW w:w="2374"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0,6 </w:t>
            </w:r>
          </w:p>
        </w:tc>
        <w:tc>
          <w:tcPr>
            <w:tcW w:w="28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1,8 </w:t>
            </w:r>
          </w:p>
        </w:tc>
      </w:tr>
    </w:tbl>
    <w:p>
      <w:pPr>
        <w:pStyle w:val="Default"/>
        <w:rPr>
          <w:rFonts w:ascii="Arial" w:hAnsi="Arial" w:cs="Arial"/>
          <w:i/>
          <w:i/>
          <w:iCs/>
          <w:color w:val="00000A"/>
        </w:rPr>
      </w:pPr>
      <w:r>
        <w:rPr>
          <w:rFonts w:cs="Arial" w:ascii="Arial" w:hAnsi="Arial"/>
          <w:i/>
          <w:iCs/>
          <w:color w:val="00000A"/>
        </w:rPr>
        <w:t xml:space="preserve">Без учета опытных полей и полигонов, резервных территорий и санитарно-защитных зон. </w:t>
      </w:r>
    </w:p>
    <w:p>
      <w:pPr>
        <w:pStyle w:val="Default"/>
        <w:rPr>
          <w:rFonts w:ascii="Arial" w:hAnsi="Arial" w:cs="Arial"/>
          <w:i/>
          <w:i/>
          <w:iCs/>
          <w:color w:val="00000A"/>
        </w:rPr>
      </w:pPr>
      <w:r>
        <w:rPr>
          <w:rFonts w:cs="Arial" w:ascii="Arial" w:hAnsi="Arial"/>
          <w:i/>
          <w:iCs/>
          <w:color w:val="00000A"/>
        </w:rPr>
        <w:t xml:space="preserve">Примечания: </w:t>
      </w:r>
    </w:p>
    <w:p>
      <w:pPr>
        <w:pStyle w:val="Default"/>
        <w:rPr>
          <w:rFonts w:ascii="Arial" w:hAnsi="Arial" w:cs="Arial"/>
          <w:i/>
          <w:i/>
          <w:iCs/>
          <w:color w:val="00000A"/>
        </w:rPr>
      </w:pPr>
      <w:r>
        <w:rPr>
          <w:rFonts w:cs="Arial" w:ascii="Arial" w:hAnsi="Arial"/>
          <w:i/>
          <w:iCs/>
          <w:color w:val="00000A"/>
        </w:rPr>
        <w:t xml:space="preserve">1. Для жилых, общественно-деловых зон коэффициенты застройки и коэффициенты плотности застройки приведены для территории квартала (брутто) с учетом необходимых по расчету учреждений и предприятий обслуживания, гаражей; стоянок для автомобилей, зеленых насаждений, площадок и других объектов благоустройства. </w:t>
      </w:r>
    </w:p>
    <w:p>
      <w:pPr>
        <w:pStyle w:val="Default"/>
        <w:rPr>
          <w:rFonts w:ascii="Arial" w:hAnsi="Arial" w:cs="Arial"/>
          <w:i/>
          <w:i/>
          <w:iCs/>
          <w:color w:val="00000A"/>
        </w:rPr>
      </w:pPr>
      <w:r>
        <w:rPr>
          <w:rFonts w:cs="Arial" w:ascii="Arial" w:hAnsi="Arial"/>
          <w:i/>
          <w:iCs/>
          <w:color w:val="00000A"/>
        </w:rPr>
        <w:t xml:space="preserve">Для производственных зон указанные коэффициенты приведены для кварталов производственной застройки, включающей один или несколько объектов. </w:t>
      </w:r>
    </w:p>
    <w:p>
      <w:pPr>
        <w:pStyle w:val="Default"/>
        <w:rPr>
          <w:rFonts w:ascii="Arial" w:hAnsi="Arial" w:cs="Arial"/>
          <w:i/>
          <w:i/>
          <w:iCs/>
          <w:color w:val="00000A"/>
        </w:rPr>
      </w:pPr>
      <w:r>
        <w:rPr>
          <w:rFonts w:cs="Arial" w:ascii="Arial" w:hAnsi="Arial"/>
          <w:i/>
          <w:iCs/>
          <w:color w:val="00000A"/>
        </w:rPr>
        <w:t xml:space="preserve">2. При подсчете коэффициентов плотности застройки площадь этажей определяется по внешним размерам здания. Учитываются только надземные этажи, включая мансардные. Подземные этажи зданий и сооружений не учитываются. Подземное сооружение не учитывается, если поверхность земли (надземная территория) над ним используется под озеленение, организацию площадок, автостоянок и другие виды благоустройства. </w:t>
      </w:r>
    </w:p>
    <w:p>
      <w:pPr>
        <w:pStyle w:val="Default"/>
        <w:rPr>
          <w:rFonts w:ascii="Arial" w:hAnsi="Arial" w:cs="Arial"/>
          <w:i/>
          <w:i/>
          <w:iCs/>
          <w:color w:val="00000A"/>
        </w:rPr>
      </w:pPr>
      <w:r>
        <w:rPr>
          <w:rFonts w:cs="Arial" w:ascii="Arial" w:hAnsi="Arial"/>
          <w:i/>
          <w:iCs/>
          <w:color w:val="00000A"/>
        </w:rPr>
        <w:t xml:space="preserve">3. Границами кварталов являются красные линии. </w:t>
      </w:r>
    </w:p>
    <w:p>
      <w:pPr>
        <w:pStyle w:val="Default"/>
        <w:rPr>
          <w:rFonts w:ascii="Arial" w:hAnsi="Arial" w:cs="Arial"/>
          <w:i/>
          <w:i/>
          <w:iCs/>
          <w:color w:val="00000A"/>
        </w:rPr>
      </w:pPr>
      <w:r>
        <w:rPr>
          <w:rFonts w:cs="Arial" w:ascii="Arial" w:hAnsi="Arial"/>
          <w:i/>
          <w:iCs/>
          <w:color w:val="00000A"/>
        </w:rPr>
        <w:t xml:space="preserve">4. При реконструкции сложившихся кварталов жилых, общественно-деловых зон (включая надстройку этажей, мансард) необходимо предусматривать требуемый по расчету объем учреждений и предприятий обслуживания для проживающего в этих кварталах населения. </w:t>
      </w:r>
    </w:p>
    <w:p>
      <w:pPr>
        <w:pStyle w:val="Default"/>
        <w:rPr>
          <w:rFonts w:ascii="Arial" w:hAnsi="Arial" w:cs="Arial"/>
          <w:i/>
          <w:i/>
          <w:iCs/>
          <w:color w:val="00000A"/>
        </w:rPr>
      </w:pPr>
      <w:r>
        <w:rPr>
          <w:rFonts w:cs="Arial" w:ascii="Arial" w:hAnsi="Arial"/>
          <w:i/>
          <w:iCs/>
          <w:color w:val="00000A"/>
        </w:rPr>
        <w:t xml:space="preserve">Допускается учитывать имеющиеся в соседних кварталах учреждения обслуживания при соблюдении нормативных радиусов их доступности (кроме дошкольных учреждений и начальных школ). </w:t>
      </w:r>
    </w:p>
    <w:p>
      <w:pPr>
        <w:pStyle w:val="38"/>
        <w:shd w:fill="FFFFFF" w:val="clear"/>
        <w:spacing w:lineRule="auto" w:line="240" w:before="0" w:after="0"/>
        <w:ind w:left="0" w:right="0" w:firstLine="709"/>
        <w:jc w:val="both"/>
        <w:rPr>
          <w:rFonts w:ascii="Arial" w:hAnsi="Arial" w:cs="Arial"/>
          <w:sz w:val="24"/>
          <w:szCs w:val="24"/>
        </w:rPr>
      </w:pPr>
      <w:r>
        <w:rPr>
          <w:rFonts w:cs="Arial" w:ascii="Arial" w:hAnsi="Arial"/>
          <w:sz w:val="24"/>
          <w:szCs w:val="24"/>
        </w:rPr>
        <w:t xml:space="preserve">Основными показателями плотности застройки являются: </w:t>
      </w:r>
    </w:p>
    <w:p>
      <w:pPr>
        <w:pStyle w:val="38"/>
        <w:shd w:fill="FFFFFF" w:val="clear"/>
        <w:spacing w:lineRule="auto" w:line="240" w:before="0" w:after="0"/>
        <w:ind w:left="0" w:right="0" w:firstLine="709"/>
        <w:jc w:val="both"/>
        <w:rPr/>
      </w:pPr>
      <w:r>
        <w:rPr>
          <w:rFonts w:cs="Arial" w:ascii="Arial" w:hAnsi="Arial"/>
          <w:i/>
          <w:sz w:val="24"/>
          <w:szCs w:val="24"/>
        </w:rPr>
        <w:t>коэффициент застройки</w:t>
      </w:r>
      <w:r>
        <w:rPr>
          <w:rFonts w:cs="Arial" w:ascii="Arial" w:hAnsi="Arial"/>
          <w:sz w:val="24"/>
          <w:szCs w:val="24"/>
        </w:rPr>
        <w:t xml:space="preserve"> - отношение площади, занятой под зданиями и сооружениями, к площади участка (квартала); </w:t>
      </w:r>
    </w:p>
    <w:p>
      <w:pPr>
        <w:pStyle w:val="38"/>
        <w:shd w:fill="FFFFFF" w:val="clear"/>
        <w:spacing w:lineRule="auto" w:line="240" w:before="0" w:after="0"/>
        <w:ind w:left="0" w:right="0" w:firstLine="709"/>
        <w:jc w:val="both"/>
        <w:rPr/>
      </w:pPr>
      <w:r>
        <w:rPr>
          <w:rFonts w:cs="Arial" w:ascii="Arial" w:hAnsi="Arial"/>
          <w:i/>
          <w:sz w:val="24"/>
          <w:szCs w:val="24"/>
        </w:rPr>
        <w:t>коэффициент плотности застройки</w:t>
      </w:r>
      <w:r>
        <w:rPr>
          <w:rFonts w:cs="Arial" w:ascii="Arial" w:hAnsi="Arial"/>
          <w:sz w:val="24"/>
          <w:szCs w:val="24"/>
        </w:rPr>
        <w:t xml:space="preserve"> - отношение площади всех этажей зданий и сооружений к площади участка (квартала). </w:t>
      </w:r>
    </w:p>
    <w:p>
      <w:pPr>
        <w:pStyle w:val="38"/>
        <w:shd w:fill="FFFFFF" w:val="clear"/>
        <w:spacing w:lineRule="auto" w:line="240" w:before="0" w:after="0"/>
        <w:ind w:left="0" w:right="0" w:firstLine="709"/>
        <w:jc w:val="both"/>
        <w:rPr>
          <w:rFonts w:ascii="Arial" w:hAnsi="Arial" w:cs="Arial"/>
          <w:i/>
          <w:i/>
          <w:sz w:val="24"/>
          <w:szCs w:val="24"/>
        </w:rPr>
      </w:pPr>
      <w:r>
        <w:rPr>
          <w:rFonts w:cs="Arial" w:ascii="Arial" w:hAnsi="Arial"/>
          <w:i/>
          <w:sz w:val="24"/>
          <w:szCs w:val="24"/>
        </w:rPr>
      </w:r>
    </w:p>
    <w:p>
      <w:pPr>
        <w:pStyle w:val="Style118"/>
        <w:shd w:fill="FFFFFF" w:val="clear"/>
        <w:ind w:left="567" w:right="0" w:hanging="0"/>
        <w:rPr>
          <w:rFonts w:ascii="Arial" w:hAnsi="Arial" w:cs="Arial"/>
        </w:rPr>
      </w:pPr>
      <w:bookmarkStart w:id="83" w:name="__RefHeading___Toc494965529"/>
      <w:bookmarkEnd w:id="83"/>
      <w:r>
        <w:rPr>
          <w:rFonts w:cs="Arial" w:ascii="Arial" w:hAnsi="Arial"/>
        </w:rPr>
        <w:t>5.2.Жилые зоны.</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5.2.1.Норматив обеспеченности общей площадью жилищного фонда рассчитывается на основании достигнутого уровня средней жилищной обеспеченности и прогнозов развития жилищного строительства в поселении и устанавливается органом местного самоуправления при разработке генерального плана. Расчетная средняя жилищная обеспеченность рассчитана с учетом региональных нормативов  градостроительного проектирования Нижегородской области.</w:t>
      </w:r>
    </w:p>
    <w:p>
      <w:pPr>
        <w:pStyle w:val="38"/>
        <w:shd w:fill="FFFFFF" w:val="clear"/>
        <w:spacing w:lineRule="auto" w:line="240" w:before="0" w:after="0"/>
        <w:jc w:val="both"/>
        <w:rPr/>
      </w:pPr>
      <w:r>
        <w:rPr>
          <w:rFonts w:eastAsia="Arial" w:cs="Arial" w:ascii="Arial" w:hAnsi="Arial"/>
          <w:sz w:val="24"/>
          <w:szCs w:val="24"/>
        </w:rPr>
        <w:t xml:space="preserve">       </w:t>
      </w:r>
      <w:r>
        <w:rPr>
          <w:rFonts w:cs="Arial" w:ascii="Arial" w:hAnsi="Arial"/>
          <w:sz w:val="24"/>
          <w:szCs w:val="24"/>
        </w:rPr>
        <w:t>5.2.2.Укрупненный показатель для предварительного определения общих размеров жилых зон принимается в соответствии с СП 42.13330.2011 «Градостроительство. Планировка и застройка городских и сельских поселений. Актуализированная редакция СНиП 2.07.01-89*».</w:t>
      </w:r>
    </w:p>
    <w:p>
      <w:pPr>
        <w:pStyle w:val="NoSpacing"/>
        <w:rPr/>
      </w:pPr>
      <w:r>
        <w:rPr>
          <w:rFonts w:eastAsia="Arial" w:cs="Arial" w:ascii="Arial" w:hAnsi="Arial"/>
          <w:sz w:val="24"/>
          <w:szCs w:val="24"/>
        </w:rPr>
        <w:t xml:space="preserve">        </w:t>
      </w:r>
      <w:r>
        <w:rPr>
          <w:rFonts w:cs="Arial" w:ascii="Arial" w:hAnsi="Arial"/>
          <w:sz w:val="24"/>
          <w:szCs w:val="24"/>
        </w:rPr>
        <w:t>5.2.3.Размеры земельных участков, на которых расположены дома жилые одноквартирные, размеры приквартирных земельных участков, примыкающих к домам, приняты согласно Приложению Д СП 42.13330.2011, СП 30-102-99. Планировка и застройка территорий малоэтажного жилищного строительства.</w:t>
      </w:r>
    </w:p>
    <w:p>
      <w:pPr>
        <w:pStyle w:val="Normal"/>
        <w:overflowPunct w:val="true"/>
        <w:jc w:val="both"/>
        <w:rPr/>
      </w:pPr>
      <w:r>
        <w:rPr>
          <w:rFonts w:eastAsia="Arial" w:cs="Arial" w:ascii="Arial" w:hAnsi="Arial"/>
          <w:color w:val="000000"/>
          <w:sz w:val="24"/>
          <w:szCs w:val="24"/>
          <w:lang w:eastAsia="ru-RU"/>
        </w:rPr>
        <w:t xml:space="preserve">         </w:t>
      </w:r>
      <w:r>
        <w:rPr>
          <w:rFonts w:cs="Arial" w:ascii="Arial" w:hAnsi="Arial"/>
          <w:color w:val="000000"/>
          <w:sz w:val="24"/>
          <w:szCs w:val="24"/>
          <w:lang w:eastAsia="ru-RU"/>
        </w:rPr>
        <w:t>5.2.4.На территории жилой застройки не допускается размещение производственных территорий, которые:</w:t>
      </w:r>
    </w:p>
    <w:p>
      <w:pPr>
        <w:pStyle w:val="Normal"/>
        <w:overflowPunct w:val="true"/>
        <w:spacing w:lineRule="auto" w:line="240" w:before="0" w:after="0"/>
        <w:ind w:left="0" w:right="0" w:firstLine="714"/>
        <w:jc w:val="both"/>
        <w:rPr>
          <w:rFonts w:ascii="Arial" w:hAnsi="Arial" w:cs="Arial"/>
          <w:color w:val="000000"/>
          <w:sz w:val="24"/>
          <w:szCs w:val="24"/>
          <w:lang w:eastAsia="ru-RU"/>
        </w:rPr>
      </w:pPr>
      <w:r>
        <w:rPr>
          <w:rFonts w:cs="Arial" w:ascii="Arial" w:hAnsi="Arial"/>
          <w:color w:val="000000"/>
          <w:sz w:val="24"/>
          <w:szCs w:val="24"/>
          <w:lang w:eastAsia="ru-RU"/>
        </w:rPr>
        <w:t>-</w:t>
        <w:tab/>
        <w:t>по классу опасности расположенных на них производств нарушают или могут нарушить своей деятельностью экологическую безопасность территории жилой застройки;</w:t>
      </w:r>
    </w:p>
    <w:p>
      <w:pPr>
        <w:pStyle w:val="Normal"/>
        <w:overflowPunct w:val="true"/>
        <w:spacing w:lineRule="auto" w:line="240" w:before="0" w:after="0"/>
        <w:ind w:left="0" w:right="0" w:firstLine="714"/>
        <w:jc w:val="both"/>
        <w:rPr>
          <w:rFonts w:ascii="Arial" w:hAnsi="Arial" w:cs="Arial"/>
          <w:color w:val="000000"/>
          <w:sz w:val="24"/>
          <w:szCs w:val="24"/>
          <w:lang w:eastAsia="ru-RU"/>
        </w:rPr>
      </w:pPr>
      <w:r>
        <w:rPr>
          <w:rFonts w:cs="Arial" w:ascii="Arial" w:hAnsi="Arial"/>
          <w:color w:val="000000"/>
          <w:sz w:val="24"/>
          <w:szCs w:val="24"/>
          <w:lang w:eastAsia="ru-RU"/>
        </w:rPr>
        <w:t>-</w:t>
        <w:tab/>
        <w:t>по численности занятости противоречат назначению жилых территорий;</w:t>
      </w:r>
    </w:p>
    <w:p>
      <w:pPr>
        <w:pStyle w:val="Normal"/>
        <w:overflowPunct w:val="true"/>
        <w:spacing w:lineRule="auto" w:line="240" w:before="0" w:after="0"/>
        <w:ind w:left="0" w:right="0" w:firstLine="714"/>
        <w:jc w:val="both"/>
        <w:rPr>
          <w:rFonts w:ascii="Arial" w:hAnsi="Arial" w:cs="Arial"/>
          <w:color w:val="000000"/>
          <w:sz w:val="24"/>
          <w:szCs w:val="24"/>
          <w:lang w:eastAsia="ru-RU"/>
        </w:rPr>
      </w:pPr>
      <w:r>
        <w:rPr>
          <w:rFonts w:cs="Arial" w:ascii="Arial" w:hAnsi="Arial"/>
          <w:color w:val="000000"/>
          <w:sz w:val="24"/>
          <w:szCs w:val="24"/>
          <w:lang w:eastAsia="ru-RU"/>
        </w:rPr>
        <w:t>-</w:t>
        <w:tab/>
        <w:t>по величине территорий нарушают функционально-планировочную организацию жилых территорий.</w:t>
      </w:r>
    </w:p>
    <w:p>
      <w:pPr>
        <w:pStyle w:val="Normal"/>
        <w:overflowPunct w:val="true"/>
        <w:jc w:val="both"/>
        <w:rPr/>
      </w:pPr>
      <w:r>
        <w:rPr>
          <w:rFonts w:eastAsia="Arial" w:cs="Arial" w:ascii="Arial" w:hAnsi="Arial"/>
          <w:color w:val="000000"/>
          <w:sz w:val="24"/>
          <w:szCs w:val="24"/>
          <w:lang w:eastAsia="ru-RU"/>
        </w:rPr>
        <w:t xml:space="preserve">        </w:t>
      </w:r>
      <w:r>
        <w:rPr>
          <w:rFonts w:cs="Arial" w:ascii="Arial" w:hAnsi="Arial"/>
          <w:color w:val="000000"/>
          <w:sz w:val="24"/>
          <w:szCs w:val="24"/>
          <w:lang w:eastAsia="ru-RU"/>
        </w:rPr>
        <w:t>5.2.5.При проектировании территории жилой застройки должны соблюдаться требования по охране окружающей среды, защите территории от шума, вибрации, загрязнений атмосферного воздуха в соответствии с требованиями действующих санитарно-эпидемиологических правил и настоящих местных нормативов.</w:t>
      </w:r>
    </w:p>
    <w:p>
      <w:pPr>
        <w:pStyle w:val="Normal"/>
        <w:overflowPunct w:val="true"/>
        <w:jc w:val="both"/>
        <w:rPr/>
      </w:pPr>
      <w:r>
        <w:rPr>
          <w:rFonts w:eastAsia="Arial" w:cs="Arial" w:ascii="Arial" w:hAnsi="Arial"/>
          <w:sz w:val="24"/>
          <w:szCs w:val="24"/>
          <w:lang w:eastAsia="ru-RU"/>
        </w:rPr>
        <w:t xml:space="preserve">        </w:t>
      </w:r>
      <w:r>
        <w:rPr>
          <w:rFonts w:cs="Arial" w:ascii="Arial" w:hAnsi="Arial"/>
          <w:sz w:val="24"/>
          <w:szCs w:val="24"/>
          <w:lang w:eastAsia="ru-RU"/>
        </w:rPr>
        <w:t>5.2.6.При проектировании жилой зоны расчетную плотность населения рекомендуется принимать в соответствии с таблицей 2.</w:t>
      </w:r>
    </w:p>
    <w:p>
      <w:pPr>
        <w:pStyle w:val="ConsPlusNormal2"/>
        <w:jc w:val="right"/>
        <w:rPr>
          <w:rFonts w:cs="Arial"/>
          <w:sz w:val="24"/>
          <w:szCs w:val="24"/>
        </w:rPr>
      </w:pPr>
      <w:r>
        <w:rPr>
          <w:rFonts w:cs="Arial"/>
          <w:sz w:val="24"/>
          <w:szCs w:val="24"/>
        </w:rPr>
        <w:t>Таблица 2</w:t>
      </w:r>
    </w:p>
    <w:p>
      <w:pPr>
        <w:pStyle w:val="ConsPlusNormal2"/>
        <w:jc w:val="center"/>
        <w:rPr>
          <w:rFonts w:cs="Arial"/>
          <w:sz w:val="24"/>
          <w:szCs w:val="24"/>
        </w:rPr>
      </w:pPr>
      <w:r>
        <w:rPr>
          <w:rFonts w:cs="Arial"/>
          <w:sz w:val="24"/>
          <w:szCs w:val="24"/>
        </w:rPr>
        <w:t>РАСЧЕТНАЯ ПЛОТНОСТЬ НАСЕЛЕНИЯ ДЛЯ СЕЛЬСКИХ ПОСЕЛЕНИЙ</w:t>
      </w:r>
    </w:p>
    <w:tbl>
      <w:tblPr>
        <w:tblW w:w="9607" w:type="dxa"/>
        <w:jc w:val="left"/>
        <w:tblInd w:w="103" w:type="dxa"/>
        <w:tblBorders>
          <w:top w:val="single" w:sz="4" w:space="0" w:color="00000A"/>
          <w:left w:val="single" w:sz="4" w:space="0" w:color="00000A"/>
          <w:bottom w:val="single" w:sz="4" w:space="0" w:color="00000A"/>
          <w:insideH w:val="single" w:sz="4" w:space="0" w:color="00000A"/>
        </w:tblBorders>
        <w:tblCellMar>
          <w:top w:w="0" w:type="dxa"/>
          <w:left w:w="108" w:type="dxa"/>
          <w:bottom w:w="0" w:type="dxa"/>
          <w:right w:w="108" w:type="dxa"/>
        </w:tblCellMar>
      </w:tblPr>
      <w:tblGrid>
        <w:gridCol w:w="2381"/>
        <w:gridCol w:w="1021"/>
        <w:gridCol w:w="885"/>
        <w:gridCol w:w="885"/>
        <w:gridCol w:w="885"/>
        <w:gridCol w:w="885"/>
        <w:gridCol w:w="885"/>
        <w:gridCol w:w="885"/>
        <w:gridCol w:w="895"/>
      </w:tblGrid>
      <w:tr>
        <w:trPr/>
        <w:tc>
          <w:tcPr>
            <w:tcW w:w="2381" w:type="dxa"/>
            <w:vMerge w:val="restart"/>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Тип дома</w:t>
            </w:r>
          </w:p>
        </w:tc>
        <w:tc>
          <w:tcPr>
            <w:tcW w:w="7226" w:type="dxa"/>
            <w:gridSpan w:val="8"/>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Плотность населения, чел./га, при среднем размере семьи, чел.</w:t>
            </w:r>
          </w:p>
        </w:tc>
      </w:tr>
      <w:tr>
        <w:trPr/>
        <w:tc>
          <w:tcPr>
            <w:tcW w:w="2381" w:type="dxa"/>
            <w:vMerge w:val="continue"/>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Normal"/>
              <w:snapToGrid w:val="false"/>
              <w:spacing w:lineRule="auto" w:line="240" w:before="280" w:after="280"/>
              <w:rPr>
                <w:rFonts w:ascii="Times New Roman" w:hAnsi="Times New Roman" w:cs="Times New Roman"/>
                <w:sz w:val="24"/>
                <w:szCs w:val="24"/>
                <w:lang w:eastAsia="ar-SA"/>
              </w:rPr>
            </w:pPr>
            <w:r>
              <w:rPr>
                <w:rFonts w:cs="Times New Roman" w:ascii="Times New Roman" w:hAnsi="Times New Roman"/>
                <w:sz w:val="24"/>
                <w:szCs w:val="24"/>
                <w:lang w:eastAsia="ar-SA"/>
              </w:rPr>
            </w:r>
          </w:p>
        </w:tc>
        <w:tc>
          <w:tcPr>
            <w:tcW w:w="1021"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2,5</w:t>
            </w:r>
          </w:p>
        </w:tc>
        <w:tc>
          <w:tcPr>
            <w:tcW w:w="885"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w:t>
            </w:r>
          </w:p>
        </w:tc>
        <w:tc>
          <w:tcPr>
            <w:tcW w:w="885"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3,5</w:t>
            </w:r>
          </w:p>
        </w:tc>
        <w:tc>
          <w:tcPr>
            <w:tcW w:w="885"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w:t>
            </w:r>
          </w:p>
        </w:tc>
        <w:tc>
          <w:tcPr>
            <w:tcW w:w="885"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4,5</w:t>
            </w:r>
          </w:p>
        </w:tc>
        <w:tc>
          <w:tcPr>
            <w:tcW w:w="885"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5</w:t>
            </w:r>
          </w:p>
        </w:tc>
        <w:tc>
          <w:tcPr>
            <w:tcW w:w="885"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5,5</w:t>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6</w:t>
            </w:r>
          </w:p>
        </w:tc>
      </w:tr>
      <w:tr>
        <w:trPr/>
        <w:tc>
          <w:tcPr>
            <w:tcW w:w="238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Усадебный с приквартирными участками, м2:</w:t>
            </w:r>
          </w:p>
        </w:tc>
        <w:tc>
          <w:tcPr>
            <w:tcW w:w="102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r>
      <w:tr>
        <w:trPr/>
        <w:tc>
          <w:tcPr>
            <w:tcW w:w="238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2000</w:t>
            </w:r>
          </w:p>
        </w:tc>
        <w:tc>
          <w:tcPr>
            <w:tcW w:w="102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12</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14</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16</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18</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22</w:t>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24</w:t>
            </w:r>
          </w:p>
        </w:tc>
      </w:tr>
      <w:tr>
        <w:trPr/>
        <w:tc>
          <w:tcPr>
            <w:tcW w:w="238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1500</w:t>
            </w:r>
          </w:p>
        </w:tc>
        <w:tc>
          <w:tcPr>
            <w:tcW w:w="102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13</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15</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17</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22</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25</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27</w:t>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30</w:t>
            </w:r>
          </w:p>
        </w:tc>
      </w:tr>
      <w:tr>
        <w:trPr/>
        <w:tc>
          <w:tcPr>
            <w:tcW w:w="238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1200</w:t>
            </w:r>
          </w:p>
        </w:tc>
        <w:tc>
          <w:tcPr>
            <w:tcW w:w="102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17</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21</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23</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25</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28</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32</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33</w:t>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37</w:t>
            </w:r>
          </w:p>
        </w:tc>
      </w:tr>
      <w:tr>
        <w:trPr/>
        <w:tc>
          <w:tcPr>
            <w:tcW w:w="238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1000</w:t>
            </w:r>
          </w:p>
        </w:tc>
        <w:tc>
          <w:tcPr>
            <w:tcW w:w="102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24</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28</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32</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35</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38</w:t>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44</w:t>
            </w:r>
          </w:p>
        </w:tc>
      </w:tr>
      <w:tr>
        <w:trPr/>
        <w:tc>
          <w:tcPr>
            <w:tcW w:w="238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800</w:t>
            </w:r>
          </w:p>
        </w:tc>
        <w:tc>
          <w:tcPr>
            <w:tcW w:w="102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25</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33</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35</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38</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42</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45</w:t>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50</w:t>
            </w:r>
          </w:p>
        </w:tc>
      </w:tr>
      <w:tr>
        <w:trPr/>
        <w:tc>
          <w:tcPr>
            <w:tcW w:w="238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600</w:t>
            </w:r>
          </w:p>
        </w:tc>
        <w:tc>
          <w:tcPr>
            <w:tcW w:w="102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33</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41</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44</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48</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50</w:t>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60</w:t>
            </w:r>
          </w:p>
        </w:tc>
      </w:tr>
      <w:tr>
        <w:trPr/>
        <w:tc>
          <w:tcPr>
            <w:tcW w:w="238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400</w:t>
            </w:r>
          </w:p>
        </w:tc>
        <w:tc>
          <w:tcPr>
            <w:tcW w:w="102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35</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44</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45</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50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54</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56</w:t>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65</w:t>
            </w:r>
          </w:p>
        </w:tc>
      </w:tr>
      <w:tr>
        <w:trPr/>
        <w:tc>
          <w:tcPr>
            <w:tcW w:w="238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Секционный с числом этажей:</w:t>
            </w:r>
          </w:p>
        </w:tc>
        <w:tc>
          <w:tcPr>
            <w:tcW w:w="102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r>
      <w:tr>
        <w:trPr/>
        <w:tc>
          <w:tcPr>
            <w:tcW w:w="238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2</w:t>
            </w:r>
          </w:p>
        </w:tc>
        <w:tc>
          <w:tcPr>
            <w:tcW w:w="1021"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t>130</w:t>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8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c>
          <w:tcPr>
            <w:tcW w:w="8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PlusNormal2"/>
              <w:snapToGrid w:val="false"/>
              <w:spacing w:before="280" w:after="280"/>
              <w:ind w:left="0" w:right="0" w:firstLine="34"/>
              <w:jc w:val="center"/>
              <w:rPr>
                <w:rFonts w:ascii="Times New Roman" w:hAnsi="Times New Roman" w:cs="Times New Roman"/>
                <w:sz w:val="24"/>
                <w:szCs w:val="24"/>
              </w:rPr>
            </w:pPr>
            <w:r>
              <w:rPr>
                <w:rFonts w:cs="Times New Roman" w:ascii="Times New Roman" w:hAnsi="Times New Roman"/>
                <w:sz w:val="24"/>
                <w:szCs w:val="24"/>
              </w:rPr>
            </w:r>
          </w:p>
        </w:tc>
      </w:tr>
    </w:tbl>
    <w:p>
      <w:pPr>
        <w:pStyle w:val="ListParagraph"/>
        <w:overflowPunct w:val="true"/>
        <w:ind w:left="360" w:right="0" w:hanging="0"/>
        <w:jc w:val="both"/>
        <w:rPr>
          <w:rFonts w:ascii="Arial" w:hAnsi="Arial" w:cs="Arial"/>
          <w:sz w:val="24"/>
          <w:szCs w:val="24"/>
          <w:lang w:eastAsia="ru-RU"/>
        </w:rPr>
      </w:pPr>
      <w:r>
        <w:rPr>
          <w:rFonts w:cs="Arial" w:ascii="Arial" w:hAnsi="Arial"/>
          <w:sz w:val="24"/>
          <w:szCs w:val="24"/>
          <w:lang w:eastAsia="ru-RU"/>
        </w:rPr>
      </w:r>
    </w:p>
    <w:p>
      <w:pPr>
        <w:pStyle w:val="Normal"/>
        <w:overflowPunct w:val="true"/>
        <w:jc w:val="both"/>
        <w:rPr/>
      </w:pPr>
      <w:r>
        <w:rPr>
          <w:rFonts w:eastAsia="Arial" w:cs="Arial" w:ascii="Arial" w:hAnsi="Arial"/>
          <w:sz w:val="24"/>
          <w:szCs w:val="24"/>
          <w:lang w:eastAsia="ru-RU"/>
        </w:rPr>
        <w:t xml:space="preserve">          </w:t>
      </w:r>
      <w:r>
        <w:rPr>
          <w:rFonts w:cs="Arial" w:ascii="Arial" w:hAnsi="Arial"/>
          <w:sz w:val="24"/>
          <w:szCs w:val="24"/>
          <w:lang w:eastAsia="ru-RU"/>
        </w:rPr>
        <w:t>5.2.7.Площадь земельного участка для размещения жилых зданий на территории жилой застройки должна обеспечивать возможность дворового благоустройства (размещение площадок для игр детей, отдыха взрослого населения, занятия физкультурой, хозяйственных целей и выгула собак, стоянки автомобилей и озеленения).</w:t>
      </w:r>
    </w:p>
    <w:p>
      <w:pPr>
        <w:pStyle w:val="Normal"/>
        <w:overflowPunct w:val="true"/>
        <w:jc w:val="both"/>
        <w:rPr/>
      </w:pPr>
      <w:r>
        <w:rPr>
          <w:rFonts w:eastAsia="Arial" w:cs="Arial" w:ascii="Arial" w:hAnsi="Arial"/>
          <w:sz w:val="24"/>
          <w:szCs w:val="24"/>
          <w:lang w:eastAsia="ru-RU"/>
        </w:rPr>
        <w:t xml:space="preserve">         </w:t>
      </w:r>
      <w:r>
        <w:rPr>
          <w:rFonts w:cs="Arial" w:ascii="Arial" w:hAnsi="Arial"/>
          <w:sz w:val="24"/>
          <w:szCs w:val="24"/>
          <w:lang w:eastAsia="ru-RU"/>
        </w:rPr>
        <w:t>Обеспеченность площадками дворового благоустройства (состав, количество и размеры), размещаемыми в жилых зонах, устанавливается в задании на проектирование с учетом демографического состава населения и нормируемых элементов.</w:t>
      </w:r>
    </w:p>
    <w:p>
      <w:pPr>
        <w:pStyle w:val="Normal"/>
        <w:overflowPunct w:val="true"/>
        <w:jc w:val="both"/>
        <w:rPr/>
      </w:pPr>
      <w:r>
        <w:rPr>
          <w:rFonts w:eastAsia="Arial" w:cs="Arial" w:ascii="Arial" w:hAnsi="Arial"/>
          <w:sz w:val="24"/>
          <w:szCs w:val="24"/>
          <w:lang w:eastAsia="ru-RU"/>
        </w:rPr>
        <w:t xml:space="preserve">       </w:t>
      </w:r>
      <w:r>
        <w:rPr>
          <w:rFonts w:cs="Arial" w:ascii="Arial" w:hAnsi="Arial"/>
          <w:sz w:val="24"/>
          <w:szCs w:val="24"/>
          <w:lang w:eastAsia="ru-RU"/>
        </w:rPr>
        <w:t>5.2.8.Минимально допустимые размеры площадок дворового благоустройства</w:t>
      </w:r>
      <w:r>
        <w:rPr>
          <w:rFonts w:cs="Arial" w:ascii="Arial" w:hAnsi="Arial"/>
          <w:color w:val="000000"/>
          <w:sz w:val="24"/>
          <w:szCs w:val="24"/>
          <w:lang w:eastAsia="ru-RU"/>
        </w:rPr>
        <w:t xml:space="preserve"> и расстояния от окон жилых и общественных зданий до площадок приведены в таблице 3.</w:t>
      </w:r>
    </w:p>
    <w:p>
      <w:pPr>
        <w:pStyle w:val="Normal"/>
        <w:spacing w:lineRule="auto" w:line="240" w:before="0" w:after="0"/>
        <w:ind w:left="0" w:right="0" w:firstLine="708"/>
        <w:jc w:val="right"/>
        <w:rPr>
          <w:rFonts w:ascii="Arial" w:hAnsi="Arial" w:cs="Arial"/>
          <w:color w:val="000000"/>
          <w:sz w:val="24"/>
          <w:szCs w:val="24"/>
          <w:lang w:eastAsia="ru-RU"/>
        </w:rPr>
      </w:pPr>
      <w:r>
        <w:rPr>
          <w:rFonts w:cs="Arial" w:ascii="Arial" w:hAnsi="Arial"/>
          <w:color w:val="000000"/>
          <w:sz w:val="24"/>
          <w:szCs w:val="24"/>
          <w:lang w:eastAsia="ru-RU"/>
        </w:rPr>
        <w:t>Таблица 3.</w:t>
      </w:r>
    </w:p>
    <w:tbl>
      <w:tblPr>
        <w:tblW w:w="9369" w:type="dxa"/>
        <w:jc w:val="left"/>
        <w:tblInd w:w="387"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3261"/>
        <w:gridCol w:w="1987"/>
        <w:gridCol w:w="1560"/>
        <w:gridCol w:w="2561"/>
      </w:tblGrid>
      <w:tr>
        <w:trPr/>
        <w:tc>
          <w:tcPr>
            <w:tcW w:w="3261"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napToGrid w:val="false"/>
              <w:spacing w:lineRule="auto" w:line="240" w:before="0" w:after="200"/>
              <w:jc w:val="center"/>
              <w:rPr>
                <w:rFonts w:ascii="Arial" w:hAnsi="Arial" w:cs="Arial"/>
                <w:b/>
                <w:b/>
                <w:sz w:val="24"/>
                <w:szCs w:val="24"/>
              </w:rPr>
            </w:pPr>
            <w:r>
              <w:rPr>
                <w:rFonts w:cs="Arial" w:ascii="Arial" w:hAnsi="Arial"/>
                <w:b/>
                <w:sz w:val="24"/>
                <w:szCs w:val="24"/>
              </w:rPr>
              <w:t>Площадки</w:t>
            </w:r>
          </w:p>
        </w:tc>
        <w:tc>
          <w:tcPr>
            <w:tcW w:w="1987"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napToGrid w:val="false"/>
              <w:spacing w:lineRule="auto" w:line="240" w:before="0" w:after="200"/>
              <w:jc w:val="center"/>
              <w:rPr>
                <w:rFonts w:ascii="Arial" w:hAnsi="Arial" w:cs="Arial"/>
                <w:b/>
                <w:b/>
                <w:sz w:val="24"/>
                <w:szCs w:val="24"/>
              </w:rPr>
            </w:pPr>
            <w:r>
              <w:rPr>
                <w:rFonts w:cs="Arial" w:ascii="Arial" w:hAnsi="Arial"/>
                <w:b/>
                <w:sz w:val="24"/>
                <w:szCs w:val="24"/>
              </w:rPr>
              <w:t>Удельный размер площадки, кв.м./чел</w:t>
            </w:r>
          </w:p>
        </w:tc>
        <w:tc>
          <w:tcPr>
            <w:tcW w:w="1560"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napToGrid w:val="false"/>
              <w:spacing w:lineRule="auto" w:line="240"/>
              <w:jc w:val="center"/>
              <w:rPr>
                <w:rFonts w:ascii="Arial" w:hAnsi="Arial" w:cs="Arial"/>
                <w:b/>
                <w:b/>
                <w:sz w:val="24"/>
                <w:szCs w:val="24"/>
              </w:rPr>
            </w:pPr>
            <w:r>
              <w:rPr>
                <w:rFonts w:cs="Arial" w:ascii="Arial" w:hAnsi="Arial"/>
                <w:b/>
                <w:sz w:val="24"/>
                <w:szCs w:val="24"/>
              </w:rPr>
              <w:t>Средний</w:t>
            </w:r>
          </w:p>
          <w:p>
            <w:pPr>
              <w:pStyle w:val="Normal"/>
              <w:spacing w:lineRule="auto" w:line="240"/>
              <w:jc w:val="center"/>
              <w:rPr>
                <w:rFonts w:ascii="Arial" w:hAnsi="Arial" w:cs="Arial"/>
                <w:b/>
                <w:b/>
                <w:sz w:val="24"/>
                <w:szCs w:val="24"/>
              </w:rPr>
            </w:pPr>
            <w:r>
              <w:rPr>
                <w:rFonts w:cs="Arial" w:ascii="Arial" w:hAnsi="Arial"/>
                <w:b/>
                <w:sz w:val="24"/>
                <w:szCs w:val="24"/>
              </w:rPr>
              <w:t>размер одной</w:t>
            </w:r>
          </w:p>
          <w:p>
            <w:pPr>
              <w:pStyle w:val="Normal"/>
              <w:spacing w:lineRule="auto" w:line="240" w:before="0" w:after="200"/>
              <w:jc w:val="center"/>
              <w:rPr>
                <w:rFonts w:ascii="Arial" w:hAnsi="Arial" w:cs="Arial"/>
                <w:b/>
                <w:b/>
                <w:sz w:val="24"/>
                <w:szCs w:val="24"/>
              </w:rPr>
            </w:pPr>
            <w:r>
              <w:rPr>
                <w:rFonts w:cs="Arial" w:ascii="Arial" w:hAnsi="Arial"/>
                <w:b/>
                <w:sz w:val="24"/>
                <w:szCs w:val="24"/>
              </w:rPr>
              <w:t>площадки, кв.м.</w:t>
            </w:r>
          </w:p>
        </w:tc>
        <w:tc>
          <w:tcPr>
            <w:tcW w:w="25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Normal"/>
              <w:snapToGrid w:val="false"/>
              <w:spacing w:lineRule="auto" w:line="240" w:before="0" w:after="200"/>
              <w:jc w:val="center"/>
              <w:rPr>
                <w:rFonts w:ascii="Arial" w:hAnsi="Arial" w:cs="Arial"/>
                <w:b/>
                <w:b/>
                <w:sz w:val="24"/>
                <w:szCs w:val="24"/>
              </w:rPr>
            </w:pPr>
            <w:r>
              <w:rPr>
                <w:rFonts w:cs="Arial" w:ascii="Arial" w:hAnsi="Arial"/>
                <w:b/>
                <w:sz w:val="24"/>
                <w:szCs w:val="24"/>
              </w:rPr>
              <w:t>Расстояние до окон жилых и общественных зданий, м</w:t>
            </w:r>
          </w:p>
        </w:tc>
      </w:tr>
      <w:tr>
        <w:trPr/>
        <w:tc>
          <w:tcPr>
            <w:tcW w:w="3261"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rPr>
                <w:rFonts w:ascii="Arial" w:hAnsi="Arial" w:cs="Arial"/>
                <w:sz w:val="24"/>
                <w:szCs w:val="24"/>
              </w:rPr>
            </w:pPr>
            <w:r>
              <w:rPr>
                <w:rFonts w:cs="Arial" w:ascii="Arial" w:hAnsi="Arial"/>
                <w:sz w:val="24"/>
                <w:szCs w:val="24"/>
              </w:rPr>
              <w:t>Для игр детей дошкольного и младшего школьного возраста</w:t>
            </w:r>
          </w:p>
        </w:tc>
        <w:tc>
          <w:tcPr>
            <w:tcW w:w="1987"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0,7</w:t>
            </w:r>
          </w:p>
        </w:tc>
        <w:tc>
          <w:tcPr>
            <w:tcW w:w="1560"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30</w:t>
            </w:r>
          </w:p>
        </w:tc>
        <w:tc>
          <w:tcPr>
            <w:tcW w:w="25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12</w:t>
            </w:r>
          </w:p>
        </w:tc>
      </w:tr>
      <w:tr>
        <w:trPr/>
        <w:tc>
          <w:tcPr>
            <w:tcW w:w="3261"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jc w:val="both"/>
              <w:rPr>
                <w:rFonts w:ascii="Arial" w:hAnsi="Arial" w:cs="Arial"/>
                <w:sz w:val="24"/>
                <w:szCs w:val="24"/>
              </w:rPr>
            </w:pPr>
            <w:r>
              <w:rPr>
                <w:rFonts w:cs="Arial" w:ascii="Arial" w:hAnsi="Arial"/>
                <w:sz w:val="24"/>
                <w:szCs w:val="24"/>
              </w:rPr>
              <w:t>Для отдыха взрослого населения</w:t>
            </w:r>
          </w:p>
        </w:tc>
        <w:tc>
          <w:tcPr>
            <w:tcW w:w="1987"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0,1</w:t>
            </w:r>
          </w:p>
        </w:tc>
        <w:tc>
          <w:tcPr>
            <w:tcW w:w="1560"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15</w:t>
            </w:r>
          </w:p>
        </w:tc>
        <w:tc>
          <w:tcPr>
            <w:tcW w:w="25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10</w:t>
            </w:r>
          </w:p>
        </w:tc>
      </w:tr>
      <w:tr>
        <w:trPr/>
        <w:tc>
          <w:tcPr>
            <w:tcW w:w="3261"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jc w:val="both"/>
              <w:rPr>
                <w:rFonts w:ascii="Arial" w:hAnsi="Arial" w:cs="Arial"/>
                <w:sz w:val="24"/>
                <w:szCs w:val="24"/>
              </w:rPr>
            </w:pPr>
            <w:r>
              <w:rPr>
                <w:rFonts w:cs="Arial" w:ascii="Arial" w:hAnsi="Arial"/>
                <w:sz w:val="24"/>
                <w:szCs w:val="24"/>
              </w:rPr>
              <w:t>Для занятий физкультурой</w:t>
            </w:r>
          </w:p>
        </w:tc>
        <w:tc>
          <w:tcPr>
            <w:tcW w:w="1987"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1,5-2,0</w:t>
            </w:r>
          </w:p>
        </w:tc>
        <w:tc>
          <w:tcPr>
            <w:tcW w:w="1560"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100</w:t>
            </w:r>
          </w:p>
        </w:tc>
        <w:tc>
          <w:tcPr>
            <w:tcW w:w="25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10-40</w:t>
            </w:r>
          </w:p>
        </w:tc>
      </w:tr>
      <w:tr>
        <w:trPr/>
        <w:tc>
          <w:tcPr>
            <w:tcW w:w="3261"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jc w:val="both"/>
              <w:rPr>
                <w:rFonts w:ascii="Arial" w:hAnsi="Arial" w:cs="Arial"/>
                <w:sz w:val="24"/>
                <w:szCs w:val="24"/>
              </w:rPr>
            </w:pPr>
            <w:r>
              <w:rPr>
                <w:rFonts w:cs="Arial" w:ascii="Arial" w:hAnsi="Arial"/>
                <w:sz w:val="24"/>
                <w:szCs w:val="24"/>
              </w:rPr>
              <w:t>Для хозяйственных целей</w:t>
            </w:r>
          </w:p>
        </w:tc>
        <w:tc>
          <w:tcPr>
            <w:tcW w:w="1987"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0,3-0,4</w:t>
            </w:r>
          </w:p>
        </w:tc>
        <w:tc>
          <w:tcPr>
            <w:tcW w:w="1560"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10</w:t>
            </w:r>
          </w:p>
        </w:tc>
        <w:tc>
          <w:tcPr>
            <w:tcW w:w="25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20</w:t>
            </w:r>
          </w:p>
        </w:tc>
      </w:tr>
      <w:tr>
        <w:trPr/>
        <w:tc>
          <w:tcPr>
            <w:tcW w:w="3261"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jc w:val="both"/>
              <w:rPr>
                <w:rFonts w:ascii="Arial" w:hAnsi="Arial" w:cs="Arial"/>
                <w:sz w:val="24"/>
                <w:szCs w:val="24"/>
              </w:rPr>
            </w:pPr>
            <w:r>
              <w:rPr>
                <w:rFonts w:cs="Arial" w:ascii="Arial" w:hAnsi="Arial"/>
                <w:sz w:val="24"/>
                <w:szCs w:val="24"/>
              </w:rPr>
              <w:t>Для выгула собак</w:t>
            </w:r>
          </w:p>
        </w:tc>
        <w:tc>
          <w:tcPr>
            <w:tcW w:w="1987"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0,1-0,3</w:t>
            </w:r>
          </w:p>
        </w:tc>
        <w:tc>
          <w:tcPr>
            <w:tcW w:w="1560"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25</w:t>
            </w:r>
          </w:p>
        </w:tc>
        <w:tc>
          <w:tcPr>
            <w:tcW w:w="25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40</w:t>
            </w:r>
          </w:p>
        </w:tc>
      </w:tr>
      <w:tr>
        <w:trPr/>
        <w:tc>
          <w:tcPr>
            <w:tcW w:w="3261"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jc w:val="both"/>
              <w:rPr>
                <w:rFonts w:ascii="Arial" w:hAnsi="Arial" w:cs="Arial"/>
                <w:sz w:val="24"/>
                <w:szCs w:val="24"/>
              </w:rPr>
            </w:pPr>
            <w:r>
              <w:rPr>
                <w:rFonts w:cs="Arial" w:ascii="Arial" w:hAnsi="Arial"/>
                <w:sz w:val="24"/>
                <w:szCs w:val="24"/>
              </w:rPr>
              <w:t>Для стоянки автомашин</w:t>
            </w:r>
          </w:p>
        </w:tc>
        <w:tc>
          <w:tcPr>
            <w:tcW w:w="1987"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0,8</w:t>
            </w:r>
          </w:p>
        </w:tc>
        <w:tc>
          <w:tcPr>
            <w:tcW w:w="1560"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10,6</w:t>
            </w:r>
          </w:p>
        </w:tc>
        <w:tc>
          <w:tcPr>
            <w:tcW w:w="25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200"/>
              <w:jc w:val="center"/>
              <w:rPr>
                <w:rFonts w:ascii="Arial" w:hAnsi="Arial" w:cs="Arial"/>
                <w:sz w:val="24"/>
                <w:szCs w:val="24"/>
              </w:rPr>
            </w:pPr>
            <w:r>
              <w:rPr>
                <w:rFonts w:cs="Arial" w:ascii="Arial" w:hAnsi="Arial"/>
                <w:sz w:val="24"/>
                <w:szCs w:val="24"/>
              </w:rPr>
              <w:t>По санитарным нормативам</w:t>
            </w:r>
          </w:p>
        </w:tc>
      </w:tr>
    </w:tbl>
    <w:p>
      <w:pPr>
        <w:pStyle w:val="Normal"/>
        <w:spacing w:lineRule="auto" w:line="240" w:before="0" w:after="0"/>
        <w:ind w:left="0" w:right="0" w:firstLine="708"/>
        <w:jc w:val="both"/>
        <w:rPr>
          <w:rFonts w:ascii="Arial" w:hAnsi="Arial" w:cs="Arial"/>
          <w:color w:val="000000"/>
          <w:sz w:val="24"/>
          <w:szCs w:val="24"/>
          <w:lang w:eastAsia="ru-RU"/>
        </w:rPr>
      </w:pPr>
      <w:r>
        <w:rPr>
          <w:rFonts w:cs="Arial" w:ascii="Arial" w:hAnsi="Arial"/>
          <w:color w:val="000000"/>
          <w:sz w:val="24"/>
          <w:szCs w:val="24"/>
          <w:lang w:eastAsia="ru-RU"/>
        </w:rPr>
        <w:t xml:space="preserve">Примечания: </w:t>
      </w:r>
    </w:p>
    <w:p>
      <w:pPr>
        <w:pStyle w:val="Normal"/>
        <w:spacing w:lineRule="auto" w:line="240" w:before="0" w:after="0"/>
        <w:ind w:left="0" w:right="0" w:firstLine="708"/>
        <w:jc w:val="both"/>
        <w:rPr>
          <w:rFonts w:ascii="Arial" w:hAnsi="Arial" w:cs="Arial"/>
          <w:color w:val="000000"/>
          <w:sz w:val="24"/>
          <w:szCs w:val="24"/>
          <w:lang w:eastAsia="ru-RU"/>
        </w:rPr>
      </w:pPr>
      <w:r>
        <w:rPr>
          <w:rFonts w:cs="Arial" w:ascii="Arial" w:hAnsi="Arial"/>
          <w:color w:val="000000"/>
          <w:sz w:val="24"/>
          <w:szCs w:val="24"/>
          <w:lang w:eastAsia="ru-RU"/>
        </w:rPr>
        <w:t>1. Хозяйственные площадки следует располагать не далее 100 м от наиболее удаленного входа в жилое здание.</w:t>
      </w:r>
    </w:p>
    <w:p>
      <w:pPr>
        <w:pStyle w:val="Normal"/>
        <w:spacing w:lineRule="auto" w:line="240" w:before="0" w:after="0"/>
        <w:ind w:left="0" w:right="0" w:firstLine="708"/>
        <w:jc w:val="both"/>
        <w:rPr>
          <w:rFonts w:ascii="Arial" w:hAnsi="Arial" w:cs="Arial"/>
          <w:color w:val="000000"/>
          <w:sz w:val="24"/>
          <w:szCs w:val="24"/>
          <w:lang w:eastAsia="ru-RU"/>
        </w:rPr>
      </w:pPr>
      <w:r>
        <w:rPr>
          <w:rFonts w:cs="Arial" w:ascii="Arial" w:hAnsi="Arial"/>
          <w:color w:val="000000"/>
          <w:sz w:val="24"/>
          <w:szCs w:val="24"/>
          <w:lang w:eastAsia="ru-RU"/>
        </w:rPr>
        <w:t>2. Расстояние от площадки для мусоросборников до площадок для игр детей, отдыха взрослых и занятий физкультурой следует принимать не менее 20 м.</w:t>
      </w:r>
    </w:p>
    <w:p>
      <w:pPr>
        <w:pStyle w:val="Normal"/>
        <w:spacing w:lineRule="auto" w:line="240" w:before="0" w:after="0"/>
        <w:ind w:left="0" w:right="0" w:firstLine="708"/>
        <w:jc w:val="both"/>
        <w:rPr>
          <w:rFonts w:ascii="Arial" w:hAnsi="Arial" w:cs="Arial"/>
          <w:color w:val="000000"/>
          <w:sz w:val="24"/>
          <w:szCs w:val="24"/>
          <w:lang w:eastAsia="ru-RU"/>
        </w:rPr>
      </w:pPr>
      <w:r>
        <w:rPr>
          <w:rFonts w:cs="Arial" w:ascii="Arial" w:hAnsi="Arial"/>
          <w:color w:val="000000"/>
          <w:sz w:val="24"/>
          <w:szCs w:val="24"/>
          <w:lang w:eastAsia="ru-RU"/>
        </w:rPr>
        <w:t>3. Расстояние от площадки для сушки белья не нормируется.</w:t>
      </w:r>
    </w:p>
    <w:p>
      <w:pPr>
        <w:pStyle w:val="Normal"/>
        <w:spacing w:lineRule="auto" w:line="240" w:before="0" w:after="0"/>
        <w:ind w:left="0" w:right="0" w:firstLine="708"/>
        <w:jc w:val="both"/>
        <w:rPr>
          <w:rFonts w:ascii="Arial" w:hAnsi="Arial" w:cs="Arial"/>
          <w:color w:val="000000"/>
          <w:sz w:val="24"/>
          <w:szCs w:val="24"/>
          <w:lang w:eastAsia="ru-RU"/>
        </w:rPr>
      </w:pPr>
      <w:r>
        <w:rPr>
          <w:rFonts w:cs="Arial" w:ascii="Arial" w:hAnsi="Arial"/>
          <w:color w:val="000000"/>
          <w:sz w:val="24"/>
          <w:szCs w:val="24"/>
          <w:lang w:eastAsia="ru-RU"/>
        </w:rPr>
        <w:t>4. Расстояние от площадок для занятий физкультурой устанавливается в зависимости от их шумовых характеристик.</w:t>
      </w:r>
    </w:p>
    <w:p>
      <w:pPr>
        <w:pStyle w:val="Normal"/>
        <w:spacing w:lineRule="auto" w:line="240" w:before="0" w:after="0"/>
        <w:ind w:left="0" w:right="0" w:firstLine="708"/>
        <w:jc w:val="both"/>
        <w:rPr>
          <w:rFonts w:ascii="Arial" w:hAnsi="Arial" w:cs="Arial"/>
          <w:color w:val="000000"/>
          <w:sz w:val="24"/>
          <w:szCs w:val="24"/>
          <w:lang w:eastAsia="ru-RU"/>
        </w:rPr>
      </w:pPr>
      <w:r>
        <w:rPr>
          <w:rFonts w:cs="Arial" w:ascii="Arial" w:hAnsi="Arial"/>
          <w:color w:val="000000"/>
          <w:sz w:val="24"/>
          <w:szCs w:val="24"/>
          <w:lang w:eastAsia="ru-RU"/>
        </w:rPr>
        <w:t>5. Расстояние от площадок для стоянки автомашин устанавливается в зависимости от числа автомобилей на стоянке и расположения относительно жилых зданий.</w:t>
      </w:r>
    </w:p>
    <w:p>
      <w:pPr>
        <w:pStyle w:val="Normal"/>
        <w:spacing w:lineRule="auto" w:line="240" w:before="0" w:after="0"/>
        <w:ind w:left="0" w:right="0" w:firstLine="708"/>
        <w:jc w:val="both"/>
        <w:rPr>
          <w:rFonts w:ascii="Arial" w:hAnsi="Arial" w:cs="Arial"/>
          <w:color w:val="000000"/>
          <w:sz w:val="24"/>
          <w:szCs w:val="24"/>
          <w:lang w:eastAsia="ru-RU"/>
        </w:rPr>
      </w:pPr>
      <w:r>
        <w:rPr>
          <w:rFonts w:cs="Arial" w:ascii="Arial" w:hAnsi="Arial"/>
          <w:color w:val="000000"/>
          <w:sz w:val="24"/>
          <w:szCs w:val="24"/>
          <w:lang w:eastAsia="ru-RU"/>
        </w:rPr>
        <w:t>6. Допускается уменьшать, но не более чем на 50% удельные размеры площадок для занятий физкультурой при формировании единого физкультурно-оздоровительного комплекса микрорайона для школьников и населения.</w:t>
      </w:r>
    </w:p>
    <w:p>
      <w:pPr>
        <w:pStyle w:val="Normal"/>
        <w:spacing w:lineRule="auto" w:line="240" w:before="0" w:after="0"/>
        <w:ind w:left="0" w:right="0" w:firstLine="708"/>
        <w:jc w:val="right"/>
        <w:rPr>
          <w:rFonts w:ascii="Arial" w:hAnsi="Arial" w:cs="Arial"/>
          <w:color w:val="000000"/>
          <w:sz w:val="24"/>
          <w:szCs w:val="24"/>
          <w:lang w:eastAsia="ru-RU"/>
        </w:rPr>
      </w:pPr>
      <w:r>
        <w:rPr>
          <w:rFonts w:cs="Arial" w:ascii="Arial" w:hAnsi="Arial"/>
          <w:color w:val="000000"/>
          <w:sz w:val="24"/>
          <w:szCs w:val="24"/>
          <w:lang w:eastAsia="ru-RU"/>
        </w:rPr>
      </w:r>
    </w:p>
    <w:p>
      <w:pPr>
        <w:pStyle w:val="Normal"/>
        <w:overflowPunct w:val="true"/>
        <w:jc w:val="both"/>
        <w:rPr/>
      </w:pPr>
      <w:r>
        <w:rPr>
          <w:rFonts w:eastAsia="Arial" w:cs="Arial" w:ascii="Arial" w:hAnsi="Arial"/>
          <w:sz w:val="24"/>
          <w:szCs w:val="24"/>
          <w:lang w:eastAsia="ru-RU"/>
        </w:rPr>
        <w:t xml:space="preserve">          </w:t>
      </w:r>
      <w:r>
        <w:rPr>
          <w:rFonts w:cs="Arial" w:ascii="Arial" w:hAnsi="Arial"/>
          <w:sz w:val="24"/>
          <w:szCs w:val="24"/>
          <w:lang w:eastAsia="ru-RU"/>
        </w:rPr>
        <w:t>5.2.9.При отсутствии централизованной канализации расстояние от туалета до стен соседнего дома необходимо принимать не менее 12 м, до источника водоснабжения (колодца) - не менее 25 м.</w:t>
      </w:r>
    </w:p>
    <w:p>
      <w:pPr>
        <w:pStyle w:val="Normal"/>
        <w:spacing w:lineRule="auto" w:line="240" w:before="0" w:after="0"/>
        <w:ind w:left="0" w:right="0" w:firstLine="708"/>
        <w:jc w:val="both"/>
        <w:rPr>
          <w:rFonts w:ascii="Arial" w:hAnsi="Arial" w:cs="Arial"/>
          <w:sz w:val="24"/>
          <w:szCs w:val="24"/>
        </w:rPr>
      </w:pPr>
      <w:r>
        <w:rPr>
          <w:rFonts w:cs="Arial" w:ascii="Arial" w:hAnsi="Arial"/>
          <w:sz w:val="24"/>
          <w:szCs w:val="24"/>
        </w:rPr>
        <w:t>Примечания. Указанные нормы распространяются и на пристраиваемые к существующим жилым домам хозяйственные постройки.</w:t>
      </w:r>
    </w:p>
    <w:p>
      <w:pPr>
        <w:pStyle w:val="Normal"/>
        <w:overflowPunct w:val="true"/>
        <w:jc w:val="both"/>
        <w:rPr/>
      </w:pPr>
      <w:r>
        <w:rPr>
          <w:rFonts w:eastAsia="Arial" w:cs="Arial" w:ascii="Arial" w:hAnsi="Arial"/>
          <w:sz w:val="24"/>
          <w:szCs w:val="24"/>
        </w:rPr>
        <w:t xml:space="preserve">          </w:t>
      </w:r>
      <w:r>
        <w:rPr>
          <w:rFonts w:cs="Arial" w:ascii="Arial" w:hAnsi="Arial"/>
          <w:sz w:val="24"/>
          <w:szCs w:val="24"/>
        </w:rPr>
        <w:t xml:space="preserve">5.2.10.Размещение новой малоэтажной застройки следует осуществлять в пределах черты </w:t>
      </w:r>
      <w:r>
        <w:rPr>
          <w:rFonts w:cs="Arial" w:ascii="Arial" w:hAnsi="Arial"/>
          <w:color w:val="000000"/>
          <w:sz w:val="24"/>
          <w:szCs w:val="24"/>
          <w:lang w:eastAsia="ar-SA"/>
        </w:rPr>
        <w:t>сельского</w:t>
      </w:r>
      <w:r>
        <w:rPr>
          <w:rFonts w:cs="Arial" w:ascii="Arial" w:hAnsi="Arial"/>
          <w:sz w:val="24"/>
          <w:szCs w:val="24"/>
        </w:rPr>
        <w:t xml:space="preserve"> поселения с учетом возможности присоединения объектов к сетям инженерного обеспечения, организации транспортных связей, в том числе с магистралями внешних сетей, обеспеченности учреждениями и предприятиями обслуживания.</w:t>
      </w:r>
    </w:p>
    <w:p>
      <w:pPr>
        <w:pStyle w:val="ListParagraph"/>
        <w:overflowPunct w:val="true"/>
        <w:ind w:left="360" w:right="0" w:hanging="0"/>
        <w:jc w:val="both"/>
        <w:rPr>
          <w:rFonts w:ascii="Arial" w:hAnsi="Arial" w:cs="Arial"/>
          <w:sz w:val="24"/>
          <w:szCs w:val="24"/>
        </w:rPr>
      </w:pPr>
      <w:r>
        <w:rPr>
          <w:rFonts w:cs="Arial" w:ascii="Arial" w:hAnsi="Arial"/>
          <w:sz w:val="24"/>
          <w:szCs w:val="24"/>
        </w:rPr>
        <w:t>Районы индивидуальной малоэтажной усадебной застройки в сельском  поселении не следует размещать на главных направлениях развития многоэтажного жилищного строительства.</w:t>
      </w:r>
    </w:p>
    <w:p>
      <w:pPr>
        <w:pStyle w:val="Normal"/>
        <w:overflowPunct w:val="true"/>
        <w:jc w:val="both"/>
        <w:rPr/>
      </w:pPr>
      <w:r>
        <w:rPr>
          <w:rFonts w:eastAsia="Arial" w:cs="Arial" w:ascii="Arial" w:hAnsi="Arial"/>
          <w:sz w:val="24"/>
          <w:szCs w:val="24"/>
        </w:rPr>
        <w:t xml:space="preserve">         </w:t>
      </w:r>
      <w:r>
        <w:rPr>
          <w:rFonts w:cs="Arial" w:ascii="Arial" w:hAnsi="Arial"/>
          <w:sz w:val="24"/>
          <w:szCs w:val="24"/>
        </w:rPr>
        <w:t>5.2.11.Расчетные показатели жилищной обеспеченности для малоэтажной индивидуальной застройки не нормируются.</w:t>
      </w:r>
    </w:p>
    <w:p>
      <w:pPr>
        <w:pStyle w:val="Style118"/>
        <w:shd w:fill="FFFFFF" w:val="clear"/>
        <w:ind w:left="1428" w:right="0" w:hanging="0"/>
        <w:rPr>
          <w:rFonts w:ascii="Arial" w:hAnsi="Arial" w:cs="Arial"/>
        </w:rPr>
      </w:pPr>
      <w:bookmarkStart w:id="84" w:name="__RefHeading___Toc494965530"/>
      <w:bookmarkEnd w:id="84"/>
      <w:r>
        <w:rPr>
          <w:rFonts w:cs="Arial" w:ascii="Arial" w:hAnsi="Arial"/>
        </w:rPr>
        <w:t>5.3.Общественно-деловые зоны.</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5.3.1.Состав и типы общественно-деловых зон, а также нормативные параметры к структуре и застройке общественно-деловой зоны, определяются в соответствии с требованиями СП 42.13330.2011 «Градостроительство. Планировка и застройка городских и сельских поселений. Актуализированная редакция СНиП 2.07.01-89*».</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5.3.2.Необходимый минимум объектов обслуживания бытового назначения, торговли для постоянно проживающего населения Кушнурского сельсовета рассчитывается согласно приложению Ж СП 42.13330.2011 и с учетом региональных нормативов градостроительного проектирования Нижегородской области.</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5.3.3.Необходимый минимум объектов образовательных организаций для постоянно проживающего населения Кушнурского сельсовета рассчитывается согласно приложению Ж СП 42.13330.2011 и Распоряжению Правительства РФ от 03.07.1996 № 1063-р «Социальные нормативы и нормы».</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5.3.4.Необходимый минимум объектов здравоохранения для постоянно проживающего населения Кушнурского сельсовета рассчитывается согласно приложению Ж СП 42.13330.2011 и Распоряжению Правительства РФ от 03.07.1996 № 1063-р «Социальные нормативы и нормы».</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5.3.5.Необходимый минимум объектов коммунально-бытового назначения для постоянно проживающего населения Кушнурского сельсовета рассчитывается согласно приложению Ж СП 42.13330.2011.</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5.3.6.Максимально допустимый уровень территориальной доступности объектов социального назначения определен согласно СП 42.13330.2011; СанПиН 2.4.2.2821-10. Санитарно-эпидемиологические требования к условиям и организации обучения в общеобразовательных организациях. Санитарно-эпидемиологические правила и нормативы.</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5.3.7.В общественно-деловых зонах допускается размещать производственные предприятия площадью не более 200 кв. м, находящиеся во встроенных и встроенно-пристроенных помещениях, экологически безопасные и не имеющие санитарно-защитных зон.</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5.3.8.Расчет количества и вместимости организаций, расположенных в общественно-деловой зоне, их размещение следует производить по социальным нормативам исходя из функционального назначения объекта в соответствии с частью 1 Нормативов</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5.3.9.Для объектов, не указанных в части 1 Нормативов, расчетные данные следует устанавливать по заданию на проектирование.</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5.3.10.Интенсивность использования территории общественно-деловой зоны характеризуется плотностью застройки (тыс. кв. м/га) и процентом застроенности территории.</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5.3.11.Интенсивность застройки территории, занимаемой зданиями различного функционального назначения, следует принимать с учетом сложившейся планировки и застройки.</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5.3.12.Размер земельного участка, предоставляемого для зданий общественно-деловой зоны, определяется по нормативам, приведенным в части 1 Нормативов, или по заданию на проектирование.</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5.3.13.Здания в общественно-деловой зоне следует размещать с отступом от красных линий. Размещение зданий по красной линии допускается в условиях реконструкции сложившейся застройки при соответствующем обосновании и согласовании с уполномоченными органами местного самоуправления.</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5.3.14.Минимальные расстояния от стен зданий и границ земельных участков организаций обслуживания на основе расчетов инсоляции и освещенности, соблюдения противопожарных и бытовых разрывов должны быть не менее приведенных в таблице 4.</w:t>
      </w:r>
    </w:p>
    <w:p>
      <w:pPr>
        <w:pStyle w:val="ConsPlusNormal2"/>
        <w:jc w:val="right"/>
        <w:rPr>
          <w:rFonts w:cs="Arial"/>
          <w:sz w:val="24"/>
          <w:szCs w:val="24"/>
        </w:rPr>
      </w:pPr>
      <w:r>
        <w:rPr>
          <w:rFonts w:cs="Arial"/>
          <w:sz w:val="24"/>
          <w:szCs w:val="24"/>
        </w:rPr>
        <w:t>Таблица 4</w:t>
      </w:r>
    </w:p>
    <w:tbl>
      <w:tblPr>
        <w:tblW w:w="9994"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3463"/>
        <w:gridCol w:w="2192"/>
        <w:gridCol w:w="1977"/>
        <w:gridCol w:w="2362"/>
      </w:tblGrid>
      <w:tr>
        <w:trPr/>
        <w:tc>
          <w:tcPr>
            <w:tcW w:w="3463"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Здания (земельные участки) организаций обслуживания</w:t>
            </w:r>
          </w:p>
        </w:tc>
        <w:tc>
          <w:tcPr>
            <w:tcW w:w="6531"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Расстояния от зданий (границ участков) организаций обслуживания, м</w:t>
            </w:r>
          </w:p>
        </w:tc>
      </w:tr>
      <w:tr>
        <w:trPr/>
        <w:tc>
          <w:tcPr>
            <w:tcW w:w="3463"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cs="Arial"/>
                <w:b/>
                <w:b/>
                <w:sz w:val="24"/>
                <w:szCs w:val="24"/>
                <w:lang w:eastAsia="ar-SA"/>
              </w:rPr>
            </w:pPr>
            <w:r>
              <w:rPr>
                <w:rFonts w:cs="Arial" w:ascii="Arial" w:hAnsi="Arial"/>
                <w:b/>
                <w:sz w:val="24"/>
                <w:szCs w:val="24"/>
                <w:lang w:eastAsia="ar-SA"/>
              </w:rPr>
            </w:r>
          </w:p>
        </w:tc>
        <w:tc>
          <w:tcPr>
            <w:tcW w:w="2192"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до красных линий</w:t>
            </w:r>
          </w:p>
        </w:tc>
        <w:tc>
          <w:tcPr>
            <w:tcW w:w="1977"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до стен жилых домов</w:t>
            </w:r>
          </w:p>
        </w:tc>
        <w:tc>
          <w:tcPr>
            <w:tcW w:w="23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до зданий общеобразовательных школ, дошкольных образовательных и лечебных учреждений</w:t>
            </w:r>
          </w:p>
        </w:tc>
      </w:tr>
      <w:tr>
        <w:trPr/>
        <w:tc>
          <w:tcPr>
            <w:tcW w:w="346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дошкольные образовательные учреждения и общеобразовательные школы (стены здания)</w:t>
            </w:r>
          </w:p>
        </w:tc>
        <w:tc>
          <w:tcPr>
            <w:tcW w:w="21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25</w:t>
            </w:r>
          </w:p>
        </w:tc>
        <w:tc>
          <w:tcPr>
            <w:tcW w:w="19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по нормам инсоляции, освещенности и противопожарным требованиям</w:t>
            </w:r>
          </w:p>
        </w:tc>
        <w:tc>
          <w:tcPr>
            <w:tcW w:w="23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по нормам инсоляции, освещенности и противопожарным требованиям</w:t>
            </w:r>
          </w:p>
        </w:tc>
      </w:tr>
      <w:tr>
        <w:trPr/>
        <w:tc>
          <w:tcPr>
            <w:tcW w:w="346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приемные пункты вторичного сырья</w:t>
            </w:r>
          </w:p>
        </w:tc>
        <w:tc>
          <w:tcPr>
            <w:tcW w:w="21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w:t>
            </w:r>
          </w:p>
        </w:tc>
        <w:tc>
          <w:tcPr>
            <w:tcW w:w="19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c>
          <w:tcPr>
            <w:tcW w:w="23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r>
      <w:tr>
        <w:trPr/>
        <w:tc>
          <w:tcPr>
            <w:tcW w:w="346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пожарные депо</w:t>
            </w:r>
          </w:p>
        </w:tc>
        <w:tc>
          <w:tcPr>
            <w:tcW w:w="21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c>
          <w:tcPr>
            <w:tcW w:w="19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c>
          <w:tcPr>
            <w:tcW w:w="23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r>
      <w:tr>
        <w:trPr/>
        <w:tc>
          <w:tcPr>
            <w:tcW w:w="3463"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кладбища традиционного захоронения площадью до 20 га  и крематории</w:t>
            </w:r>
          </w:p>
        </w:tc>
        <w:tc>
          <w:tcPr>
            <w:tcW w:w="2192" w:type="dxa"/>
            <w:tcBorders>
              <w:top w:val="single" w:sz="4" w:space="0" w:color="00000A"/>
              <w:left w:val="single" w:sz="4" w:space="0" w:color="00000A"/>
              <w:bottom w:val="single" w:sz="4" w:space="0" w:color="00000A"/>
              <w:insideH w:val="single" w:sz="4" w:space="0" w:color="00000A"/>
            </w:tcBorders>
            <w:shd w:fill="auto" w:val="clear"/>
            <w:tcMar>
              <w:left w:w="62" w:type="dxa"/>
            </w:tcMar>
            <w:vAlign w:val="center"/>
          </w:tcPr>
          <w:p>
            <w:pPr>
              <w:pStyle w:val="ConsPlusNormal2"/>
              <w:suppressAutoHyphens w:val="false"/>
              <w:jc w:val="center"/>
              <w:rPr>
                <w:rFonts w:eastAsia="Times New Roman" w:cs="Arial"/>
                <w:sz w:val="24"/>
                <w:szCs w:val="24"/>
              </w:rPr>
            </w:pPr>
            <w:r>
              <w:rPr>
                <w:rFonts w:eastAsia="Times New Roman" w:cs="Arial"/>
                <w:sz w:val="24"/>
                <w:szCs w:val="24"/>
              </w:rPr>
              <w:t>6</w:t>
            </w:r>
          </w:p>
        </w:tc>
        <w:tc>
          <w:tcPr>
            <w:tcW w:w="1977" w:type="dxa"/>
            <w:tcBorders>
              <w:top w:val="single" w:sz="4" w:space="0" w:color="00000A"/>
              <w:left w:val="single" w:sz="4" w:space="0" w:color="00000A"/>
              <w:bottom w:val="single" w:sz="4" w:space="0" w:color="00000A"/>
              <w:insideH w:val="single" w:sz="4" w:space="0" w:color="00000A"/>
            </w:tcBorders>
            <w:shd w:fill="auto" w:val="clear"/>
            <w:tcMar>
              <w:left w:w="62" w:type="dxa"/>
            </w:tcMar>
            <w:vAlign w:val="center"/>
          </w:tcPr>
          <w:p>
            <w:pPr>
              <w:pStyle w:val="ConsPlusNormal2"/>
              <w:suppressAutoHyphens w:val="false"/>
              <w:jc w:val="center"/>
              <w:rPr>
                <w:rFonts w:eastAsia="Times New Roman" w:cs="Arial"/>
                <w:sz w:val="24"/>
                <w:szCs w:val="24"/>
              </w:rPr>
            </w:pPr>
            <w:r>
              <w:rPr>
                <w:rFonts w:eastAsia="Times New Roman" w:cs="Arial"/>
                <w:sz w:val="24"/>
                <w:szCs w:val="24"/>
              </w:rPr>
              <w:t>300</w:t>
            </w:r>
          </w:p>
        </w:tc>
        <w:tc>
          <w:tcPr>
            <w:tcW w:w="23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vAlign w:val="center"/>
          </w:tcPr>
          <w:p>
            <w:pPr>
              <w:pStyle w:val="ConsPlusNormal2"/>
              <w:suppressAutoHyphens w:val="false"/>
              <w:jc w:val="center"/>
              <w:rPr>
                <w:rFonts w:eastAsia="Times New Roman" w:cs="Arial"/>
                <w:sz w:val="24"/>
                <w:szCs w:val="24"/>
              </w:rPr>
            </w:pPr>
            <w:r>
              <w:rPr>
                <w:rFonts w:eastAsia="Times New Roman" w:cs="Arial"/>
                <w:sz w:val="24"/>
                <w:szCs w:val="24"/>
              </w:rPr>
              <w:t>500</w:t>
            </w:r>
          </w:p>
        </w:tc>
      </w:tr>
    </w:tbl>
    <w:p>
      <w:pPr>
        <w:pStyle w:val="ConsPlusNormal2"/>
        <w:ind w:left="0" w:right="0" w:firstLine="540"/>
        <w:rPr>
          <w:rFonts w:cs="Arial"/>
          <w:sz w:val="24"/>
          <w:szCs w:val="24"/>
          <w:lang w:eastAsia="ar-SA"/>
        </w:rPr>
      </w:pPr>
      <w:r>
        <w:rPr>
          <w:rFonts w:cs="Arial"/>
          <w:sz w:val="24"/>
          <w:szCs w:val="24"/>
          <w:lang w:eastAsia="ar-SA"/>
        </w:rPr>
      </w:r>
    </w:p>
    <w:p>
      <w:pPr>
        <w:pStyle w:val="ConsPlusNormal2"/>
        <w:ind w:left="0" w:right="0" w:firstLine="540"/>
        <w:rPr>
          <w:rFonts w:cs="Arial"/>
          <w:sz w:val="24"/>
          <w:szCs w:val="24"/>
        </w:rPr>
      </w:pPr>
      <w:r>
        <w:rPr>
          <w:rFonts w:cs="Arial"/>
          <w:sz w:val="24"/>
          <w:szCs w:val="24"/>
        </w:rPr>
        <w:t>Примечания.</w:t>
      </w:r>
    </w:p>
    <w:p>
      <w:pPr>
        <w:pStyle w:val="ConsPlusNormal2"/>
        <w:ind w:left="0" w:right="0" w:firstLine="540"/>
        <w:rPr>
          <w:rFonts w:cs="Arial"/>
          <w:sz w:val="24"/>
          <w:szCs w:val="24"/>
        </w:rPr>
      </w:pPr>
      <w:r>
        <w:rPr>
          <w:rFonts w:cs="Arial"/>
          <w:sz w:val="24"/>
          <w:szCs w:val="24"/>
        </w:rPr>
        <w:t>1. Участки дошкольных образовательных учреждений не должны примыкать непосредственно к магистральным улицам.</w:t>
      </w:r>
    </w:p>
    <w:p>
      <w:pPr>
        <w:pStyle w:val="ConsPlusNormal2"/>
        <w:ind w:left="0" w:right="0" w:firstLine="540"/>
        <w:rPr>
          <w:rFonts w:cs="Arial"/>
          <w:sz w:val="24"/>
          <w:szCs w:val="24"/>
        </w:rPr>
      </w:pPr>
      <w:r>
        <w:rPr>
          <w:rFonts w:cs="Arial"/>
          <w:sz w:val="24"/>
          <w:szCs w:val="24"/>
        </w:rPr>
        <w:t>2. Приемные пункты вторичного сырья следует изолировать полосой зеленых насаждений и предусматривать к ним подъездные пути для автомобильного транспорта.</w:t>
      </w:r>
    </w:p>
    <w:p>
      <w:pPr>
        <w:pStyle w:val="ConsPlusNormal2"/>
        <w:ind w:left="0" w:right="0" w:firstLine="540"/>
        <w:rPr>
          <w:rFonts w:cs="Arial"/>
          <w:sz w:val="24"/>
          <w:szCs w:val="24"/>
        </w:rPr>
      </w:pPr>
      <w:r>
        <w:rPr>
          <w:rFonts w:cs="Arial"/>
          <w:sz w:val="24"/>
          <w:szCs w:val="24"/>
        </w:rPr>
        <w:t>3. После закрытия кладбища традиционного захоронения по истечении 25 лет после последнего захоронения расстояния до жилой застройки могут быть сокращены до 50 м.</w:t>
      </w:r>
    </w:p>
    <w:p>
      <w:pPr>
        <w:pStyle w:val="ConsPlusNormal2"/>
        <w:ind w:left="0" w:right="0" w:firstLine="540"/>
        <w:rPr>
          <w:rFonts w:cs="Arial"/>
          <w:sz w:val="24"/>
          <w:szCs w:val="24"/>
        </w:rPr>
      </w:pPr>
      <w:r>
        <w:rPr>
          <w:rFonts w:cs="Arial"/>
          <w:sz w:val="24"/>
          <w:szCs w:val="24"/>
        </w:rPr>
        <w:t>В сельских поселениях, подлежащих реконструкции, расстояние от кладбищ до стен жилых домов, зданий детских и лечебных учреждений допускается уменьшать по согласованию с органами санитарного надзора, но оно должно быть не менее 50 м.</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5.3.15.В общественно-деловой зоне в зависимости от ее размеров и планировочной организации формируется система взаимосвязанных общественных пространств (главные улицы, площади, пешеходные зоны). При этом формируется единая пешеходная зона, обеспечивающая удобство подхода к зданиям центра, остановкам транспорта и озелененным рекреационным площадкам.</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5.3.16.Высокая градостроительная значимость территорий общественно-деловых зон определяет индивидуальный подход к проектированию зданий (в том числе этажности) и объектов комплексного благоустройства.</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 xml:space="preserve">5.3.17.При проектировании комплексного благоустройства общественно-деловых зон следует обеспечивать открытость и проницаемость территорий для визуального восприятия, условия для беспрепятственного передвижения населения, включая маломобильные группы (в соответствии с требованиями </w:t>
      </w:r>
      <w:r>
        <w:fldChar w:fldCharType="begin"/>
      </w:r>
      <w:r>
        <w:instrText> HYPERLINK "file:///D:/! Вадим/! www.sharanga.nnov.ru/Sel'skie poseleniya/Kushnur/2017/Re//C:/Users/Специалист/Desktop/Мои документы/декабрь 2017/MNGP2.docx" \l "P2993"</w:instrText>
      </w:r>
      <w:r>
        <w:fldChar w:fldCharType="separate"/>
      </w:r>
      <w:r>
        <w:rPr>
          <w:rStyle w:val="Style9"/>
          <w:rFonts w:cs="Arial" w:ascii="Arial" w:hAnsi="Arial"/>
          <w:color w:val="00000A"/>
          <w:sz w:val="24"/>
          <w:szCs w:val="24"/>
        </w:rPr>
        <w:t>раздела</w:t>
      </w:r>
      <w:r>
        <w:fldChar w:fldCharType="end"/>
      </w:r>
      <w:r>
        <w:rPr>
          <w:rFonts w:cs="Arial" w:ascii="Arial" w:hAnsi="Arial"/>
          <w:sz w:val="24"/>
          <w:szCs w:val="24"/>
        </w:rPr>
        <w:t xml:space="preserve"> " Доступность объектов для маломобильных групп населения на территории муниципального образования " настоящих Нормативов), достижение стилевого единства элементов благоустройства (в том числе функционального декоративного ограждения) с окружающей застройкой.</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5.3.18.Комплексное благоустройство участков специализированных зданий с закрытым или ограниченным режимом посещения (органы управления, учреждения здравоохранения и другие) следует проектировать в соответствии с заданием на проектирование и отраслевой спецификой.</w:t>
      </w:r>
    </w:p>
    <w:p>
      <w:pPr>
        <w:pStyle w:val="Normal"/>
        <w:tabs>
          <w:tab w:val="left" w:pos="709" w:leader="none"/>
        </w:tabs>
        <w:overflowPunct w:val="true"/>
        <w:jc w:val="both"/>
        <w:rPr/>
      </w:pPr>
      <w:r>
        <w:rPr>
          <w:rFonts w:eastAsia="Arial" w:cs="Arial" w:ascii="Arial" w:hAnsi="Arial"/>
          <w:sz w:val="24"/>
          <w:szCs w:val="24"/>
        </w:rPr>
        <w:t xml:space="preserve">          </w:t>
      </w:r>
      <w:r>
        <w:rPr>
          <w:rFonts w:cs="Arial" w:ascii="Arial" w:hAnsi="Arial"/>
          <w:sz w:val="24"/>
          <w:szCs w:val="24"/>
        </w:rPr>
        <w:t>5.3.19.Гаражи для легковых автомобилей, встроенные или встроенно-пристроенные к жилым и общественным зданиям (за исключением общеобразовательных организаций, детских дошкольных образовательных организаций и лечебно-профилактических медицинских организаций, оказывающие медицинскую помощь в стационарных условиях), необходимо предусматривать в соответствии с требованиями СНиП 31-01-2003 Здания жилые многоквартирные и СНиП 31-06-2009 Общественные здания и сооружения.</w:t>
      </w:r>
    </w:p>
    <w:p>
      <w:pPr>
        <w:pStyle w:val="Style118"/>
        <w:shd w:fill="FFFFFF" w:val="clear"/>
        <w:ind w:left="993" w:right="0" w:hanging="0"/>
        <w:rPr>
          <w:rFonts w:ascii="Arial" w:hAnsi="Arial" w:cs="Arial"/>
        </w:rPr>
      </w:pPr>
      <w:bookmarkStart w:id="85" w:name="__RefHeading___Toc494965531"/>
      <w:bookmarkEnd w:id="85"/>
      <w:r>
        <w:rPr>
          <w:rFonts w:cs="Arial" w:ascii="Arial" w:hAnsi="Arial"/>
        </w:rPr>
        <w:t>5.4.Производственные и коммунально-складские зоны.</w:t>
      </w:r>
    </w:p>
    <w:p>
      <w:pPr>
        <w:pStyle w:val="NoSpacing"/>
        <w:tabs>
          <w:tab w:val="left" w:pos="709" w:leader="none"/>
        </w:tabs>
        <w:rPr>
          <w:rFonts w:ascii="Arial" w:hAnsi="Arial" w:cs="Arial"/>
          <w:sz w:val="24"/>
          <w:szCs w:val="24"/>
        </w:rPr>
      </w:pPr>
      <w:r>
        <w:rPr>
          <w:rFonts w:cs="Arial" w:ascii="Arial" w:hAnsi="Arial"/>
          <w:sz w:val="24"/>
          <w:szCs w:val="24"/>
        </w:rPr>
        <w:t>5.4.1.Параметры производственных зон определены в соответствии с приложением Г СП 42.13330.2011.</w:t>
      </w:r>
    </w:p>
    <w:p>
      <w:pPr>
        <w:pStyle w:val="NoSpacing"/>
        <w:tabs>
          <w:tab w:val="left" w:pos="709" w:leader="none"/>
        </w:tabs>
        <w:rPr>
          <w:rFonts w:ascii="Arial" w:hAnsi="Arial" w:cs="Arial"/>
          <w:sz w:val="24"/>
          <w:szCs w:val="24"/>
        </w:rPr>
      </w:pPr>
      <w:r>
        <w:rPr>
          <w:rFonts w:cs="Arial" w:ascii="Arial" w:hAnsi="Arial"/>
          <w:sz w:val="24"/>
          <w:szCs w:val="24"/>
        </w:rPr>
        <w:t>5.4.2.Размещение промышленных предприятий, содержащих опасные производственные объекты в соответствии с Федеральным законом Российской Федерации «О промышленной безопасности опасных производственных объектов» № 116-ФЗ от 21 июля 1997 г., должно осуществляться с учетом потенциальной возможности аварий, а также с учетом локализации и ликвидации их последствий.</w:t>
      </w:r>
    </w:p>
    <w:p>
      <w:pPr>
        <w:pStyle w:val="NoSpacing"/>
        <w:tabs>
          <w:tab w:val="left" w:pos="709" w:leader="none"/>
        </w:tabs>
        <w:rPr>
          <w:rFonts w:ascii="Arial" w:hAnsi="Arial" w:cs="Arial"/>
          <w:sz w:val="24"/>
          <w:szCs w:val="24"/>
        </w:rPr>
      </w:pPr>
      <w:r>
        <w:rPr>
          <w:rFonts w:cs="Arial" w:ascii="Arial" w:hAnsi="Arial"/>
          <w:sz w:val="24"/>
          <w:szCs w:val="24"/>
        </w:rPr>
        <w:t>5.4.3.В границах населенных пунктов допускается размещать производственные предприятия и объекты III, IV, V классов с установлением соответствующих санитарно-защитных зон. В пределах жилой территории допускается размещать промышленные предприятия, не выделяющие вредные вещества, с непожароопасными и невзрывоопасными производственными процессами, не создающие шума, превышающего установленные нормы, не требующие устройства автомобильных подъездных путей.</w:t>
      </w:r>
    </w:p>
    <w:p>
      <w:pPr>
        <w:pStyle w:val="NoSpacing"/>
        <w:tabs>
          <w:tab w:val="left" w:pos="709" w:leader="none"/>
        </w:tabs>
        <w:rPr>
          <w:rFonts w:ascii="Arial" w:hAnsi="Arial" w:cs="Arial"/>
          <w:sz w:val="24"/>
          <w:szCs w:val="24"/>
        </w:rPr>
      </w:pPr>
      <w:r>
        <w:rPr>
          <w:rFonts w:cs="Arial" w:ascii="Arial" w:hAnsi="Arial"/>
          <w:sz w:val="24"/>
          <w:szCs w:val="24"/>
        </w:rPr>
        <w:t>5.4.4.В целях обеспечения безопасности населения вокруг объектов и производств, являющихся источниками воздействия на среду обитания и здоровье человека, устанавливается специальная территория с особым режимом использования – санитарно-защитная зона (СЗЗ).</w:t>
      </w:r>
    </w:p>
    <w:p>
      <w:pPr>
        <w:pStyle w:val="NoSpacing"/>
        <w:tabs>
          <w:tab w:val="left" w:pos="709" w:leader="none"/>
        </w:tabs>
        <w:rPr>
          <w:rFonts w:ascii="Arial" w:hAnsi="Arial" w:cs="Arial"/>
          <w:sz w:val="24"/>
          <w:szCs w:val="24"/>
        </w:rPr>
      </w:pPr>
      <w:r>
        <w:rPr>
          <w:rFonts w:cs="Arial" w:ascii="Arial" w:hAnsi="Arial"/>
          <w:sz w:val="24"/>
          <w:szCs w:val="24"/>
        </w:rPr>
        <w:t>5.4.5.Источниками воздействия на среду обитания и здоровье человека являются объекты, для которых уровни создаваемого загрязнения за пределами промышленной площадки превышают 0,1 предельно допустимой концентрации (ПДК) и (или) предельно допустимого уровня (ПДУ). Для объектов, являющихся источниками воздействия на среду обитания, разрабатывается проект обоснования размера СЗЗ в соответствии с требованиями СанПиН 2.2.1/2.1.1.1200-03 «Санитарно-защитные зоны и санитарная классификация предприятий, сооружений и иных объектов».</w:t>
      </w:r>
    </w:p>
    <w:p>
      <w:pPr>
        <w:pStyle w:val="NoSpacing"/>
        <w:ind w:left="0" w:right="0" w:firstLine="708"/>
        <w:rPr>
          <w:rFonts w:ascii="Arial" w:hAnsi="Arial" w:cs="Arial"/>
          <w:sz w:val="24"/>
          <w:szCs w:val="24"/>
        </w:rPr>
      </w:pPr>
      <w:r>
        <w:rPr>
          <w:rFonts w:cs="Arial" w:ascii="Arial" w:hAnsi="Arial"/>
          <w:sz w:val="24"/>
          <w:szCs w:val="24"/>
        </w:rPr>
        <w:t xml:space="preserve">Для объектов по изготовлению и хранению взрывчатых веществ, материалов и изделий на их основе следует предусматривать запретные (опасные) зоны и районы. Размеры этих зон и районов и возможность строительства в них определяются специальными нормативными документами, утвержденными в установленном порядке, и по согласованию с органами государственного надзора, в ведении которых находятся указанные объекты. </w:t>
      </w:r>
    </w:p>
    <w:p>
      <w:pPr>
        <w:pStyle w:val="NoSpacing"/>
        <w:ind w:left="0" w:right="0" w:firstLine="708"/>
        <w:rPr>
          <w:rFonts w:ascii="Arial" w:hAnsi="Arial" w:cs="Arial"/>
          <w:sz w:val="24"/>
          <w:szCs w:val="24"/>
        </w:rPr>
      </w:pPr>
      <w:r>
        <w:rPr>
          <w:rFonts w:cs="Arial" w:ascii="Arial" w:hAnsi="Arial"/>
          <w:sz w:val="24"/>
          <w:szCs w:val="24"/>
        </w:rPr>
        <w:t>Застройка запретных (опасных) зон жилыми, общественными и производственными зданиями не допускается.</w:t>
      </w:r>
    </w:p>
    <w:p>
      <w:pPr>
        <w:pStyle w:val="NoSpacing"/>
        <w:tabs>
          <w:tab w:val="left" w:pos="709" w:leader="none"/>
        </w:tabs>
        <w:rPr>
          <w:rFonts w:ascii="Arial" w:hAnsi="Arial" w:cs="Arial"/>
          <w:sz w:val="24"/>
          <w:szCs w:val="24"/>
        </w:rPr>
      </w:pPr>
      <w:r>
        <w:rPr>
          <w:rFonts w:cs="Arial" w:ascii="Arial" w:hAnsi="Arial"/>
          <w:sz w:val="24"/>
          <w:szCs w:val="24"/>
        </w:rPr>
        <w:t>5.4.6.В санитарно-защитной зоне не допускается размещать жилые здания, детские дошкольные учреждения, общеобразовательные школы, учреждения здравоохранения и отдыха, спортивные сооружения, сады, парки, садоводческие товарищества и огороды.</w:t>
      </w:r>
    </w:p>
    <w:p>
      <w:pPr>
        <w:pStyle w:val="NoSpacing"/>
        <w:tabs>
          <w:tab w:val="left" w:pos="709" w:leader="none"/>
        </w:tabs>
        <w:rPr>
          <w:rFonts w:ascii="Arial" w:hAnsi="Arial" w:cs="Arial"/>
          <w:sz w:val="24"/>
          <w:szCs w:val="24"/>
        </w:rPr>
      </w:pPr>
      <w:r>
        <w:rPr>
          <w:rFonts w:cs="Arial" w:ascii="Arial" w:hAnsi="Arial"/>
          <w:sz w:val="24"/>
          <w:szCs w:val="24"/>
        </w:rPr>
        <w:t>5.4.7.Минимальную площадь озеленения санитарно-защитных зон следует принимать в зависимости от ширины зоны, %:</w:t>
      </w:r>
    </w:p>
    <w:p>
      <w:pPr>
        <w:pStyle w:val="ConsPlusNormal2"/>
        <w:ind w:left="0" w:right="0" w:firstLine="540"/>
        <w:rPr>
          <w:rFonts w:cs="Arial"/>
          <w:sz w:val="24"/>
          <w:szCs w:val="24"/>
        </w:rPr>
      </w:pPr>
      <w:r>
        <w:rPr>
          <w:rFonts w:cs="Arial"/>
          <w:sz w:val="24"/>
          <w:szCs w:val="24"/>
        </w:rPr>
        <w:t>- до 300 м - 60%;</w:t>
      </w:r>
    </w:p>
    <w:p>
      <w:pPr>
        <w:pStyle w:val="ConsPlusNormal2"/>
        <w:ind w:left="0" w:right="0" w:firstLine="540"/>
        <w:rPr>
          <w:rFonts w:cs="Arial"/>
          <w:sz w:val="24"/>
          <w:szCs w:val="24"/>
        </w:rPr>
      </w:pPr>
      <w:r>
        <w:rPr>
          <w:rFonts w:cs="Arial"/>
          <w:sz w:val="24"/>
          <w:szCs w:val="24"/>
        </w:rPr>
        <w:t>- св. 300 до 1000 м - 50%;</w:t>
      </w:r>
    </w:p>
    <w:p>
      <w:pPr>
        <w:pStyle w:val="ConsPlusNormal2"/>
        <w:ind w:left="0" w:right="0" w:firstLine="540"/>
        <w:rPr>
          <w:rFonts w:cs="Arial"/>
          <w:sz w:val="24"/>
          <w:szCs w:val="24"/>
        </w:rPr>
      </w:pPr>
      <w:r>
        <w:rPr>
          <w:rFonts w:cs="Arial"/>
          <w:sz w:val="24"/>
          <w:szCs w:val="24"/>
        </w:rPr>
        <w:t>- св. 1000 до 3000 м - 40%.</w:t>
      </w:r>
    </w:p>
    <w:p>
      <w:pPr>
        <w:pStyle w:val="ConsPlusNormal2"/>
        <w:ind w:left="0" w:right="0" w:firstLine="540"/>
        <w:rPr>
          <w:rFonts w:cs="Arial"/>
          <w:sz w:val="24"/>
          <w:szCs w:val="24"/>
        </w:rPr>
      </w:pPr>
      <w:r>
        <w:rPr>
          <w:rFonts w:cs="Arial"/>
          <w:sz w:val="24"/>
          <w:szCs w:val="24"/>
        </w:rPr>
        <w:t>Со стороны селитебной территории необходимо предусматривать полосу древесно-кустарниковых насаждений шириной не менее 50 м, а при ширине зоны до 100 м - не менее 20 м.</w:t>
      </w:r>
    </w:p>
    <w:p>
      <w:pPr>
        <w:pStyle w:val="NoSpacing"/>
        <w:tabs>
          <w:tab w:val="left" w:pos="709" w:leader="none"/>
        </w:tabs>
        <w:rPr>
          <w:rFonts w:ascii="Arial" w:hAnsi="Arial" w:cs="Arial"/>
          <w:sz w:val="24"/>
          <w:szCs w:val="24"/>
        </w:rPr>
      </w:pPr>
      <w:r>
        <w:rPr>
          <w:rFonts w:cs="Arial" w:ascii="Arial" w:hAnsi="Arial"/>
          <w:sz w:val="24"/>
          <w:szCs w:val="24"/>
        </w:rPr>
        <w:t>5.4.8.Устройство отвалов, шламонакопителей, отходов и отбросов предприятий допускается только при обосновании невозможности их утилизации.</w:t>
      </w:r>
    </w:p>
    <w:p>
      <w:pPr>
        <w:pStyle w:val="NoSpacing"/>
        <w:tabs>
          <w:tab w:val="left" w:pos="709" w:leader="none"/>
        </w:tabs>
        <w:rPr>
          <w:rFonts w:ascii="Arial" w:hAnsi="Arial" w:cs="Arial"/>
          <w:sz w:val="24"/>
          <w:szCs w:val="24"/>
        </w:rPr>
      </w:pPr>
      <w:r>
        <w:rPr>
          <w:rFonts w:cs="Arial" w:ascii="Arial" w:hAnsi="Arial"/>
          <w:sz w:val="24"/>
          <w:szCs w:val="24"/>
        </w:rPr>
        <w:t>5.4.9.Предприятия, промышленные узлы и связанные с ними отвалы, отходы, очистные сооружения следует размещать на землях несельскохозяйственного назначения или непригодных для сельского хозяйства. При отсутствии таких земель могут выбираться участки на сельскохозяйственных угодьях худшего качества.</w:t>
      </w:r>
    </w:p>
    <w:p>
      <w:pPr>
        <w:pStyle w:val="NoSpacing"/>
        <w:tabs>
          <w:tab w:val="left" w:pos="709" w:leader="none"/>
        </w:tabs>
        <w:rPr>
          <w:rFonts w:ascii="Arial" w:hAnsi="Arial" w:cs="Arial"/>
          <w:sz w:val="24"/>
          <w:szCs w:val="24"/>
        </w:rPr>
      </w:pPr>
      <w:r>
        <w:rPr>
          <w:rFonts w:cs="Arial" w:ascii="Arial" w:hAnsi="Arial"/>
          <w:sz w:val="24"/>
          <w:szCs w:val="24"/>
        </w:rPr>
        <w:t>5.4.10.Размещение предприятий и промышленных узлов на землях государственного лесного фонда должно производиться преимущественно на участках, не покрытых лесом или занятых кустарниками и малоценными насаждениями.</w:t>
      </w:r>
    </w:p>
    <w:p>
      <w:pPr>
        <w:pStyle w:val="NoSpacing"/>
        <w:tabs>
          <w:tab w:val="left" w:pos="709" w:leader="none"/>
        </w:tabs>
        <w:rPr>
          <w:rFonts w:ascii="Arial" w:hAnsi="Arial" w:cs="Arial"/>
          <w:sz w:val="24"/>
          <w:szCs w:val="24"/>
        </w:rPr>
      </w:pPr>
      <w:r>
        <w:rPr>
          <w:rFonts w:cs="Arial" w:ascii="Arial" w:hAnsi="Arial"/>
          <w:sz w:val="24"/>
          <w:szCs w:val="24"/>
        </w:rPr>
        <w:t>5.4.11.Размещение предприятий и промышленных узлов на площадях залегания полезных ископаемых допускается по согласованию с органами государственного горного надзора, а на площадях залегания общераспространенных полезных ископаемых – в порядке, установленном законодательством Российской Федерации.</w:t>
      </w:r>
    </w:p>
    <w:p>
      <w:pPr>
        <w:pStyle w:val="NoSpacing"/>
        <w:tabs>
          <w:tab w:val="left" w:pos="709" w:leader="none"/>
        </w:tabs>
        <w:ind w:left="426" w:right="0" w:hanging="0"/>
        <w:rPr>
          <w:rFonts w:ascii="Arial" w:hAnsi="Arial" w:cs="Arial"/>
          <w:sz w:val="24"/>
          <w:szCs w:val="24"/>
        </w:rPr>
      </w:pPr>
      <w:r>
        <w:rPr>
          <w:rFonts w:cs="Arial" w:ascii="Arial" w:hAnsi="Arial"/>
          <w:sz w:val="24"/>
          <w:szCs w:val="24"/>
        </w:rPr>
        <w:t xml:space="preserve">5.4.12.Размещение предприятий и промышленных узлов не допускается: </w:t>
      </w:r>
    </w:p>
    <w:p>
      <w:pPr>
        <w:pStyle w:val="NoSpacing"/>
        <w:ind w:left="0" w:right="0" w:firstLine="708"/>
        <w:rPr/>
      </w:pPr>
      <w:r>
        <w:rPr>
          <w:rFonts w:cs="Arial" w:ascii="Arial" w:hAnsi="Arial"/>
          <w:sz w:val="24"/>
          <w:szCs w:val="24"/>
        </w:rPr>
        <w:t>–</w:t>
      </w:r>
      <w:r>
        <w:rPr>
          <w:rFonts w:cs="Arial" w:ascii="Arial" w:hAnsi="Arial"/>
          <w:sz w:val="24"/>
          <w:szCs w:val="24"/>
        </w:rPr>
        <w:tab/>
        <w:t>в составе рекреационных зон;</w:t>
      </w:r>
    </w:p>
    <w:p>
      <w:pPr>
        <w:pStyle w:val="NoSpacing"/>
        <w:ind w:left="0" w:right="0" w:firstLine="708"/>
        <w:rPr/>
      </w:pPr>
      <w:r>
        <w:rPr>
          <w:rFonts w:cs="Arial" w:ascii="Arial" w:hAnsi="Arial"/>
          <w:sz w:val="24"/>
          <w:szCs w:val="24"/>
        </w:rPr>
        <w:t>–</w:t>
      </w:r>
      <w:r>
        <w:rPr>
          <w:rFonts w:cs="Arial" w:ascii="Arial" w:hAnsi="Arial"/>
          <w:sz w:val="24"/>
          <w:szCs w:val="24"/>
        </w:rPr>
        <w:tab/>
        <w:t xml:space="preserve">в первом поясе санитарной охраны источников водоснабжения; </w:t>
      </w:r>
    </w:p>
    <w:p>
      <w:pPr>
        <w:pStyle w:val="NoSpacing"/>
        <w:ind w:left="0" w:right="0" w:firstLine="708"/>
        <w:rPr/>
      </w:pPr>
      <w:r>
        <w:rPr>
          <w:rFonts w:cs="Arial" w:ascii="Arial" w:hAnsi="Arial"/>
          <w:sz w:val="24"/>
          <w:szCs w:val="24"/>
        </w:rPr>
        <w:t>–</w:t>
      </w:r>
      <w:r>
        <w:rPr>
          <w:rFonts w:cs="Arial" w:ascii="Arial" w:hAnsi="Arial"/>
          <w:sz w:val="24"/>
          <w:szCs w:val="24"/>
        </w:rPr>
        <w:tab/>
        <w:t xml:space="preserve">в водоохранных и прибрежных зонах рек; </w:t>
      </w:r>
    </w:p>
    <w:p>
      <w:pPr>
        <w:pStyle w:val="NoSpacing"/>
        <w:ind w:left="0" w:right="0" w:firstLine="708"/>
        <w:rPr/>
      </w:pPr>
      <w:r>
        <w:rPr>
          <w:rFonts w:cs="Arial" w:ascii="Arial" w:hAnsi="Arial"/>
          <w:sz w:val="24"/>
          <w:szCs w:val="24"/>
        </w:rPr>
        <w:t>–</w:t>
      </w:r>
      <w:r>
        <w:rPr>
          <w:rFonts w:cs="Arial" w:ascii="Arial" w:hAnsi="Arial"/>
          <w:sz w:val="24"/>
          <w:szCs w:val="24"/>
        </w:rPr>
        <w:tab/>
        <w:t xml:space="preserve">на землях особо охраняемых природных территорий и их охранных зон; </w:t>
      </w:r>
    </w:p>
    <w:p>
      <w:pPr>
        <w:pStyle w:val="NoSpacing"/>
        <w:ind w:left="0" w:right="0" w:firstLine="708"/>
        <w:rPr/>
      </w:pPr>
      <w:r>
        <w:rPr>
          <w:rFonts w:cs="Arial" w:ascii="Arial" w:hAnsi="Arial"/>
          <w:sz w:val="24"/>
          <w:szCs w:val="24"/>
        </w:rPr>
        <w:t>–</w:t>
      </w:r>
      <w:r>
        <w:rPr>
          <w:rFonts w:cs="Arial" w:ascii="Arial" w:hAnsi="Arial"/>
          <w:sz w:val="24"/>
          <w:szCs w:val="24"/>
        </w:rPr>
        <w:tab/>
        <w:t xml:space="preserve">в зонах охраны памятников истории и культуры без разрешения соответствующих органов охраны памятников; </w:t>
      </w:r>
    </w:p>
    <w:p>
      <w:pPr>
        <w:pStyle w:val="NoSpacing"/>
        <w:ind w:left="0" w:right="0" w:firstLine="708"/>
        <w:rPr/>
      </w:pPr>
      <w:r>
        <w:rPr>
          <w:rFonts w:cs="Arial" w:ascii="Arial" w:hAnsi="Arial"/>
          <w:sz w:val="24"/>
          <w:szCs w:val="24"/>
        </w:rPr>
        <w:t>–</w:t>
      </w:r>
      <w:r>
        <w:rPr>
          <w:rFonts w:cs="Arial" w:ascii="Arial" w:hAnsi="Arial"/>
          <w:sz w:val="24"/>
          <w:szCs w:val="24"/>
        </w:rPr>
        <w:tab/>
        <w:t>на участках, загрязненных органическими отбросами, до истечения сроков, установленных органами Роспотребнадзора.</w:t>
      </w:r>
    </w:p>
    <w:p>
      <w:pPr>
        <w:pStyle w:val="NoSpacing"/>
        <w:tabs>
          <w:tab w:val="left" w:pos="709" w:leader="none"/>
        </w:tabs>
        <w:rPr>
          <w:rFonts w:ascii="Arial" w:hAnsi="Arial" w:cs="Arial"/>
          <w:sz w:val="24"/>
          <w:szCs w:val="24"/>
        </w:rPr>
      </w:pPr>
      <w:r>
        <w:rPr>
          <w:rFonts w:cs="Arial" w:ascii="Arial" w:hAnsi="Arial"/>
          <w:sz w:val="24"/>
          <w:szCs w:val="24"/>
        </w:rPr>
        <w:t>5.4.13.Предприятия с источниками загрязнения атмосферного воздуха надлежит размещать по отношению к жилой застройке с учетом ветров преобладающего направления.</w:t>
      </w:r>
    </w:p>
    <w:p>
      <w:pPr>
        <w:pStyle w:val="NoSpacing"/>
        <w:tabs>
          <w:tab w:val="left" w:pos="709" w:leader="none"/>
        </w:tabs>
        <w:rPr>
          <w:rFonts w:ascii="Arial" w:hAnsi="Arial" w:cs="Arial"/>
          <w:sz w:val="24"/>
          <w:szCs w:val="24"/>
        </w:rPr>
      </w:pPr>
      <w:r>
        <w:rPr>
          <w:rFonts w:cs="Arial" w:ascii="Arial" w:hAnsi="Arial"/>
          <w:sz w:val="24"/>
          <w:szCs w:val="24"/>
        </w:rPr>
        <w:t>5.4.14.Производства с источниками внешнего шума с уровнями звука 50 дБА и более следует размещать по отношению к жилым и общественным зданиям в соответствии с нормами по защите от шума.</w:t>
      </w:r>
    </w:p>
    <w:p>
      <w:pPr>
        <w:pStyle w:val="NoSpacing"/>
        <w:tabs>
          <w:tab w:val="left" w:pos="709" w:leader="none"/>
        </w:tabs>
        <w:rPr>
          <w:rFonts w:ascii="Arial" w:hAnsi="Arial" w:cs="Arial"/>
          <w:sz w:val="24"/>
          <w:szCs w:val="24"/>
        </w:rPr>
      </w:pPr>
      <w:r>
        <w:rPr>
          <w:rFonts w:cs="Arial" w:ascii="Arial" w:hAnsi="Arial"/>
          <w:sz w:val="24"/>
          <w:szCs w:val="24"/>
        </w:rPr>
        <w:t>5.4.15.При организации сельскохозяйственного производства необходимо предусматривать меры по защите жилых и общественно-деловых зон от неблагоприятного влияния производственных комплексов, а также самих этих комплексов, если они связаны с производством пищевых продуктов, от загрязнений и вредных воздействий иных производств, транспортных и коммунальных сооружений. Меры по исключению загрязнения почв, поверхностных и подземных вод, поверхностных водосборов, водоемов и атмосферного воздуха должны соответствовать санитарным нормам, а также требованиям раздела 16 Нормативов.</w:t>
      </w:r>
    </w:p>
    <w:p>
      <w:pPr>
        <w:pStyle w:val="NoSpacing"/>
        <w:tabs>
          <w:tab w:val="left" w:pos="709" w:leader="none"/>
        </w:tabs>
        <w:rPr>
          <w:rFonts w:ascii="Arial" w:hAnsi="Arial" w:cs="Arial"/>
          <w:sz w:val="24"/>
          <w:szCs w:val="24"/>
        </w:rPr>
      </w:pPr>
      <w:r>
        <w:rPr>
          <w:rFonts w:cs="Arial" w:ascii="Arial" w:hAnsi="Arial"/>
          <w:sz w:val="24"/>
          <w:szCs w:val="24"/>
        </w:rPr>
        <w:t>5.4.16.При формировании производственных зон сельских поселений расстояния между сельскохозяйственными предприятиями, зданиями и сооружениями следует предусматривать минимально допустимые исходя из санитарных, ветеринарных, противопожарных требований и норм технологического проектирования.</w:t>
      </w:r>
    </w:p>
    <w:p>
      <w:pPr>
        <w:pStyle w:val="NoSpacing"/>
        <w:tabs>
          <w:tab w:val="left" w:pos="709" w:leader="none"/>
        </w:tabs>
        <w:rPr>
          <w:rFonts w:ascii="Arial" w:hAnsi="Arial" w:cs="Arial"/>
          <w:sz w:val="24"/>
          <w:szCs w:val="24"/>
        </w:rPr>
      </w:pPr>
      <w:r>
        <w:rPr>
          <w:rFonts w:cs="Arial" w:ascii="Arial" w:hAnsi="Arial"/>
          <w:sz w:val="24"/>
          <w:szCs w:val="24"/>
        </w:rPr>
        <w:t>5.4.17.На территории животноводческих комплексов и ферм и в их санитарно-защитных зонах не допускается размещать предприятия по переработке сельскохозяйственной продукции, объекты питания и объекты, к ним приравненные.</w:t>
      </w:r>
    </w:p>
    <w:p>
      <w:pPr>
        <w:pStyle w:val="NoSpacing"/>
        <w:tabs>
          <w:tab w:val="left" w:pos="709" w:leader="none"/>
        </w:tabs>
        <w:rPr>
          <w:rFonts w:ascii="Arial" w:hAnsi="Arial" w:cs="Arial"/>
          <w:sz w:val="24"/>
          <w:szCs w:val="24"/>
        </w:rPr>
      </w:pPr>
      <w:r>
        <w:rPr>
          <w:rFonts w:cs="Arial" w:ascii="Arial" w:hAnsi="Arial"/>
          <w:sz w:val="24"/>
          <w:szCs w:val="24"/>
        </w:rPr>
        <w:t>5.4.18.Объекты с размерами санитарно-защитной зоны свыше 300 м следует размещать на обособленных земельных участках за пределами границ сельских населенных пунктов.</w:t>
      </w:r>
    </w:p>
    <w:p>
      <w:pPr>
        <w:pStyle w:val="NoSpacing"/>
        <w:tabs>
          <w:tab w:val="left" w:pos="709" w:leader="none"/>
        </w:tabs>
        <w:rPr>
          <w:rFonts w:ascii="Arial" w:hAnsi="Arial" w:cs="Arial"/>
          <w:sz w:val="24"/>
          <w:szCs w:val="24"/>
        </w:rPr>
      </w:pPr>
      <w:r>
        <w:rPr>
          <w:rFonts w:cs="Arial" w:ascii="Arial" w:hAnsi="Arial"/>
          <w:sz w:val="24"/>
          <w:szCs w:val="24"/>
        </w:rPr>
        <w:t>5.4.19.Производственные зоны сельских поселений, как правило, не должны быть разделены на обособленные участки железными и автомобильными дорогами общей сети.</w:t>
      </w:r>
    </w:p>
    <w:p>
      <w:pPr>
        <w:pStyle w:val="NoSpacing"/>
        <w:tabs>
          <w:tab w:val="left" w:pos="709" w:leader="none"/>
        </w:tabs>
        <w:rPr/>
      </w:pPr>
      <w:r>
        <w:rPr>
          <w:rFonts w:cs="Arial" w:ascii="Arial" w:hAnsi="Arial"/>
          <w:sz w:val="24"/>
          <w:szCs w:val="24"/>
        </w:rPr>
        <w:t xml:space="preserve">5.4.20.При размещении сельскохозяйственных предприятий и других объектов необходимо предусматривать меры по исключению загрязнения почв, поверхностных и подземных вод, поверхностных водосборов, водоемов и атмосферного воздуха с учетом требований </w:t>
      </w:r>
      <w:r>
        <w:fldChar w:fldCharType="begin"/>
      </w:r>
      <w:r>
        <w:instrText> HYPERLINK "file:///D:/! Вадим/! www.sharanga.nnov.ru/Sel'skie poseleniya/Kushnur/2017/Re//C:/Users/Специалист/Desktop/Мои документы/декабрь 2017/MNGP2.docx" \l "Par1531"</w:instrText>
      </w:r>
      <w:r>
        <w:fldChar w:fldCharType="separate"/>
      </w:r>
      <w:r>
        <w:rPr>
          <w:rStyle w:val="Style9"/>
          <w:rFonts w:cs="Arial" w:ascii="Arial" w:hAnsi="Arial"/>
          <w:color w:val="000000"/>
          <w:sz w:val="24"/>
          <w:szCs w:val="24"/>
        </w:rPr>
        <w:t>раздела 16</w:t>
      </w:r>
      <w:r>
        <w:fldChar w:fldCharType="end"/>
      </w:r>
      <w:r>
        <w:rPr>
          <w:rFonts w:cs="Arial" w:ascii="Arial" w:hAnsi="Arial"/>
          <w:sz w:val="24"/>
          <w:szCs w:val="24"/>
        </w:rPr>
        <w:t xml:space="preserve">  части 1 настоящих Нормативов.</w:t>
      </w:r>
    </w:p>
    <w:p>
      <w:pPr>
        <w:pStyle w:val="NoSpacing"/>
        <w:tabs>
          <w:tab w:val="left" w:pos="709" w:leader="none"/>
        </w:tabs>
        <w:rPr>
          <w:rFonts w:ascii="Arial" w:hAnsi="Arial" w:cs="Arial"/>
          <w:sz w:val="24"/>
          <w:szCs w:val="24"/>
        </w:rPr>
      </w:pPr>
      <w:r>
        <w:rPr>
          <w:rFonts w:cs="Arial" w:ascii="Arial" w:hAnsi="Arial"/>
          <w:sz w:val="24"/>
          <w:szCs w:val="24"/>
        </w:rPr>
        <w:t>5.4.21.Для озеленения площадок предприятий и территории промышленных узлов следует применять местные виды древесно-кустарниковых растений с учетом их санитарно-защитных и декоративных свойств и устойчивости к вредным веществам, выделяемым предприятиями.</w:t>
      </w:r>
    </w:p>
    <w:p>
      <w:pPr>
        <w:pStyle w:val="NoSpacing"/>
        <w:tabs>
          <w:tab w:val="left" w:pos="709" w:leader="none"/>
        </w:tabs>
        <w:rPr/>
      </w:pPr>
      <w:r>
        <w:rPr>
          <w:rFonts w:eastAsia="Arial" w:cs="Arial" w:ascii="Arial" w:hAnsi="Arial"/>
          <w:sz w:val="24"/>
          <w:szCs w:val="24"/>
        </w:rPr>
        <w:t xml:space="preserve">         </w:t>
      </w:r>
      <w:r>
        <w:rPr>
          <w:rFonts w:cs="Arial" w:ascii="Arial" w:hAnsi="Arial"/>
          <w:sz w:val="24"/>
          <w:szCs w:val="24"/>
        </w:rPr>
        <w:t>Существующие древесные насаждения следует по возможности сохранять.</w:t>
      </w:r>
    </w:p>
    <w:p>
      <w:pPr>
        <w:pStyle w:val="NoSpacing"/>
        <w:tabs>
          <w:tab w:val="left" w:pos="709" w:leader="none"/>
        </w:tabs>
        <w:rPr>
          <w:rFonts w:ascii="Arial" w:hAnsi="Arial" w:cs="Arial"/>
          <w:sz w:val="24"/>
          <w:szCs w:val="24"/>
        </w:rPr>
      </w:pPr>
      <w:r>
        <w:rPr>
          <w:rFonts w:cs="Arial" w:ascii="Arial" w:hAnsi="Arial"/>
          <w:sz w:val="24"/>
          <w:szCs w:val="24"/>
        </w:rPr>
        <w:t>Примечания: 1. В зоне расположения предприятий пищевой промышленности, цехов с точными процессами производства, а также воздуходувных, компрессорных и мотороиспытательных станций запрещается применять древесные насаждения, выделяющие при цветении хлопья, волокнистые вещества и опушенные семена.</w:t>
      </w:r>
    </w:p>
    <w:p>
      <w:pPr>
        <w:pStyle w:val="NoSpacing"/>
        <w:tabs>
          <w:tab w:val="left" w:pos="709" w:leader="none"/>
        </w:tabs>
        <w:ind w:left="426" w:right="0" w:hanging="0"/>
        <w:rPr>
          <w:rFonts w:ascii="Arial" w:hAnsi="Arial" w:cs="Arial"/>
          <w:sz w:val="24"/>
          <w:szCs w:val="24"/>
        </w:rPr>
      </w:pPr>
      <w:r>
        <w:rPr>
          <w:rFonts w:cs="Arial" w:ascii="Arial" w:hAnsi="Arial"/>
          <w:sz w:val="24"/>
          <w:szCs w:val="24"/>
        </w:rPr>
        <w:t>2. В пределах нормативных противопожарных расстояний посадка деревьев хвойных пород не допускается.</w:t>
      </w:r>
    </w:p>
    <w:p>
      <w:pPr>
        <w:pStyle w:val="NoSpacing"/>
        <w:tabs>
          <w:tab w:val="left" w:pos="709" w:leader="none"/>
        </w:tabs>
        <w:rPr>
          <w:rFonts w:ascii="Arial" w:hAnsi="Arial" w:cs="Arial"/>
          <w:sz w:val="24"/>
          <w:szCs w:val="24"/>
        </w:rPr>
      </w:pPr>
      <w:r>
        <w:rPr>
          <w:rFonts w:cs="Arial" w:ascii="Arial" w:hAnsi="Arial"/>
          <w:sz w:val="24"/>
          <w:szCs w:val="24"/>
        </w:rPr>
        <w:t>5.4.22.На площадках предприятий, выделяющих вредные вещества в атмосферу, не допускается размещение древесно-кустарниковых насаждений в виде плотных групп и полос, вызывающих скопление вредностей.</w:t>
      </w:r>
    </w:p>
    <w:p>
      <w:pPr>
        <w:pStyle w:val="NoSpacing"/>
        <w:tabs>
          <w:tab w:val="left" w:pos="709" w:leader="none"/>
        </w:tabs>
        <w:rPr>
          <w:rFonts w:ascii="Arial" w:hAnsi="Arial" w:cs="Arial"/>
          <w:sz w:val="24"/>
          <w:szCs w:val="24"/>
        </w:rPr>
      </w:pPr>
      <w:r>
        <w:rPr>
          <w:rFonts w:cs="Arial" w:ascii="Arial" w:hAnsi="Arial"/>
          <w:sz w:val="24"/>
          <w:szCs w:val="24"/>
        </w:rPr>
        <w:t>5.4.23.Площадь участков, предназначенных для озеленения в пределах ограды предприятия, следует определять из расчета не менее 3 кв. м на одного работающего в наиболее многочисленной смене. Для предприятий с численностью работающих 300 чел. и более на 1 га площадки предприятий площадь участков, предназначенных для озеленения, допускается уменьшать из расчета обеспечения установленного показателя плотности застройки. Предельный размер участков, предназначенных для озеленения, не должен превышать 15% площадки предприятия.</w:t>
      </w:r>
    </w:p>
    <w:p>
      <w:pPr>
        <w:pStyle w:val="NoSpacing"/>
        <w:tabs>
          <w:tab w:val="left" w:pos="709" w:leader="none"/>
        </w:tabs>
        <w:rPr>
          <w:rFonts w:ascii="Arial" w:hAnsi="Arial" w:cs="Arial"/>
          <w:sz w:val="24"/>
          <w:szCs w:val="24"/>
        </w:rPr>
      </w:pPr>
      <w:r>
        <w:rPr>
          <w:rFonts w:cs="Arial" w:ascii="Arial" w:hAnsi="Arial"/>
          <w:sz w:val="24"/>
          <w:szCs w:val="24"/>
        </w:rPr>
        <w:t>5.4.24.На территории предприятия следует предусматривать благоустроенные площадки для отдыха и гимнастических упражнений работающих.</w:t>
      </w:r>
    </w:p>
    <w:p>
      <w:pPr>
        <w:pStyle w:val="NoSpacing"/>
        <w:tabs>
          <w:tab w:val="left" w:pos="709" w:leader="none"/>
        </w:tabs>
        <w:rPr>
          <w:rFonts w:ascii="Arial" w:hAnsi="Arial" w:cs="Arial"/>
          <w:sz w:val="24"/>
          <w:szCs w:val="24"/>
        </w:rPr>
      </w:pPr>
      <w:r>
        <w:rPr>
          <w:rFonts w:cs="Arial" w:ascii="Arial" w:hAnsi="Arial"/>
          <w:sz w:val="24"/>
          <w:szCs w:val="24"/>
        </w:rPr>
        <w:t>5.4.25.Размеры площадок надлежит принимать из расчета не более 1 кв. м на одного работающего в наиболее многочисленной смене.</w:t>
      </w:r>
    </w:p>
    <w:p>
      <w:pPr>
        <w:pStyle w:val="ConsPlusNormal2"/>
        <w:tabs>
          <w:tab w:val="left" w:pos="709" w:leader="none"/>
        </w:tabs>
        <w:suppressAutoHyphens w:val="false"/>
        <w:rPr/>
      </w:pPr>
      <w:r>
        <w:rPr>
          <w:rFonts w:cs="Arial"/>
          <w:sz w:val="24"/>
          <w:szCs w:val="24"/>
          <w:lang w:eastAsia="en-US"/>
        </w:rPr>
        <w:t xml:space="preserve">5.4.26.Расчетные показатели  коммунально-складских зон приняты в соответствии с часть 8 </w:t>
      </w:r>
      <w:r>
        <w:rPr>
          <w:rFonts w:eastAsia="SimSun" w:cs="Arial"/>
          <w:color w:val="000000"/>
          <w:kern w:val="2"/>
          <w:sz w:val="24"/>
          <w:szCs w:val="24"/>
        </w:rPr>
        <w:t>СП 42.13330.2011*. Планировка и застройка городских и сельских поселений.</w:t>
      </w:r>
    </w:p>
    <w:p>
      <w:pPr>
        <w:pStyle w:val="ConsPlusNormal2"/>
        <w:tabs>
          <w:tab w:val="left" w:pos="709" w:leader="none"/>
        </w:tabs>
        <w:suppressAutoHyphens w:val="false"/>
        <w:rPr>
          <w:rFonts w:cs="Arial"/>
          <w:sz w:val="24"/>
          <w:szCs w:val="24"/>
          <w:lang w:eastAsia="en-US"/>
        </w:rPr>
      </w:pPr>
      <w:r>
        <w:rPr>
          <w:rFonts w:cs="Arial"/>
          <w:sz w:val="24"/>
          <w:szCs w:val="24"/>
          <w:lang w:eastAsia="en-US"/>
        </w:rPr>
        <w:t>5.4.27.Территории коммунальных зон предназначены для размещения общетоварных и специализированных складов, предприятий коммунального, транспортного и жилищно-коммунального хозяйства, а также предприятий оптовой и мелкооптовой торговли.</w:t>
      </w:r>
    </w:p>
    <w:p>
      <w:pPr>
        <w:pStyle w:val="ConsPlusNormal2"/>
        <w:tabs>
          <w:tab w:val="left" w:pos="709" w:leader="none"/>
        </w:tabs>
        <w:suppressAutoHyphens w:val="false"/>
        <w:rPr>
          <w:rFonts w:cs="Arial"/>
          <w:sz w:val="24"/>
          <w:szCs w:val="24"/>
        </w:rPr>
      </w:pPr>
      <w:r>
        <w:rPr>
          <w:rFonts w:cs="Arial"/>
          <w:sz w:val="24"/>
          <w:szCs w:val="24"/>
        </w:rPr>
        <w:t>5.4.28.Организацию санитарно-защитных зон для предприятий и объектов, расположенных в коммунальной зоне, следует осуществлять в соответствии с требованиями к производственным зонам.</w:t>
      </w:r>
    </w:p>
    <w:p>
      <w:pPr>
        <w:pStyle w:val="ConsPlusNormal2"/>
        <w:tabs>
          <w:tab w:val="left" w:pos="709" w:leader="none"/>
        </w:tabs>
        <w:ind w:left="426" w:right="0" w:hanging="426"/>
        <w:rPr/>
      </w:pPr>
      <w:r>
        <w:rPr>
          <w:rFonts w:cs="Arial"/>
          <w:sz w:val="24"/>
          <w:szCs w:val="24"/>
        </w:rPr>
        <w:t xml:space="preserve">           </w:t>
      </w:r>
      <w:r>
        <w:rPr>
          <w:rFonts w:cs="Arial"/>
          <w:sz w:val="24"/>
          <w:szCs w:val="24"/>
        </w:rPr>
        <w:t>Размер санитарно-защитной зоны для картофеле-, овоще- и фруктохранилищ должен быть 50 м.</w:t>
      </w:r>
    </w:p>
    <w:p>
      <w:pPr>
        <w:pStyle w:val="ConsPlusNormal2"/>
        <w:tabs>
          <w:tab w:val="left" w:pos="709" w:leader="none"/>
        </w:tabs>
        <w:suppressAutoHyphens w:val="false"/>
        <w:rPr>
          <w:rFonts w:cs="Arial"/>
          <w:sz w:val="24"/>
          <w:szCs w:val="24"/>
        </w:rPr>
      </w:pPr>
      <w:r>
        <w:rPr>
          <w:rFonts w:cs="Arial"/>
          <w:sz w:val="24"/>
          <w:szCs w:val="24"/>
        </w:rPr>
        <w:t>5.4.29.При проектировании коммунальных зон условия безопасности по нормируемым санитарно-гигиеническим и противопожарным требованиям, нормативы инженерной и транспортной инфраструктуры, благоустройство и озеленение территории следует принимать в соответствии с требованиями, установленными для производственных зон.</w:t>
      </w:r>
    </w:p>
    <w:p>
      <w:pPr>
        <w:pStyle w:val="NoSpacing"/>
        <w:ind w:left="0" w:right="0" w:firstLine="708"/>
        <w:rPr>
          <w:rFonts w:ascii="Arial" w:hAnsi="Arial" w:cs="Arial"/>
          <w:sz w:val="24"/>
          <w:szCs w:val="24"/>
        </w:rPr>
      </w:pPr>
      <w:r>
        <w:rPr>
          <w:rFonts w:cs="Arial" w:ascii="Arial" w:hAnsi="Arial"/>
          <w:sz w:val="24"/>
          <w:szCs w:val="24"/>
        </w:rPr>
      </w:r>
    </w:p>
    <w:p>
      <w:pPr>
        <w:pStyle w:val="Style118"/>
        <w:shd w:fill="FFFFFF" w:val="clear"/>
        <w:ind w:left="993" w:right="0" w:hanging="0"/>
        <w:rPr>
          <w:rFonts w:ascii="Arial" w:hAnsi="Arial" w:cs="Arial"/>
        </w:rPr>
      </w:pPr>
      <w:bookmarkStart w:id="86" w:name="__RefHeading___Toc494965532"/>
      <w:bookmarkEnd w:id="86"/>
      <w:r>
        <w:rPr>
          <w:rFonts w:cs="Arial" w:ascii="Arial" w:hAnsi="Arial"/>
        </w:rPr>
        <w:t>5.5.Зоны инженерной инфраструктуры.</w:t>
      </w:r>
    </w:p>
    <w:p>
      <w:pPr>
        <w:pStyle w:val="ConsPlusNormal2"/>
        <w:rPr/>
      </w:pPr>
      <w:r>
        <w:rPr>
          <w:rFonts w:cs="Arial"/>
          <w:sz w:val="24"/>
          <w:szCs w:val="24"/>
        </w:rPr>
        <w:t xml:space="preserve">            </w:t>
      </w:r>
      <w:r>
        <w:rPr>
          <w:rFonts w:cs="Arial"/>
          <w:sz w:val="24"/>
          <w:szCs w:val="24"/>
        </w:rPr>
        <w:t>5.5.1.</w:t>
        <w:tab/>
        <w:t>Водоснабжение</w:t>
      </w:r>
    </w:p>
    <w:p>
      <w:pPr>
        <w:pStyle w:val="ConsPlusNormal2"/>
        <w:tabs>
          <w:tab w:val="left" w:pos="709" w:leader="none"/>
        </w:tabs>
        <w:suppressAutoHyphens w:val="false"/>
        <w:rPr/>
      </w:pPr>
      <w:r>
        <w:rPr>
          <w:rFonts w:cs="Arial"/>
          <w:sz w:val="24"/>
          <w:szCs w:val="24"/>
        </w:rPr>
        <w:t xml:space="preserve">5.5.1.1.Расчет систем водоснабжения, в том числе выбор источников хозяйственно-питьевого и производственного водоснабжения, размещение водозаборных сооружений и других следует производить в соответствии с требованиями </w:t>
      </w:r>
      <w:hyperlink r:id="rId19">
        <w:r>
          <w:rPr>
            <w:rStyle w:val="Style9"/>
            <w:rFonts w:cs="Arial"/>
            <w:color w:val="00000A"/>
            <w:sz w:val="24"/>
            <w:szCs w:val="24"/>
          </w:rPr>
          <w:t>СНиП 2.04.01-85*</w:t>
        </w:r>
      </w:hyperlink>
      <w:r>
        <w:rPr>
          <w:rFonts w:cs="Arial"/>
          <w:sz w:val="24"/>
          <w:szCs w:val="24"/>
        </w:rPr>
        <w:t xml:space="preserve">,  СП 31.13330.2012, </w:t>
      </w:r>
      <w:hyperlink r:id="rId20">
        <w:r>
          <w:rPr>
            <w:rStyle w:val="Style9"/>
            <w:rFonts w:cs="Arial"/>
            <w:color w:val="00000A"/>
            <w:sz w:val="24"/>
            <w:szCs w:val="24"/>
          </w:rPr>
          <w:t>СанПиН 2.1.4.1074-01</w:t>
        </w:r>
      </w:hyperlink>
      <w:r>
        <w:rPr>
          <w:rFonts w:cs="Arial"/>
          <w:sz w:val="24"/>
          <w:szCs w:val="24"/>
        </w:rPr>
        <w:t xml:space="preserve">, </w:t>
      </w:r>
      <w:hyperlink r:id="rId21">
        <w:r>
          <w:rPr>
            <w:rStyle w:val="Style9"/>
            <w:rFonts w:cs="Arial"/>
            <w:color w:val="00000A"/>
            <w:sz w:val="24"/>
            <w:szCs w:val="24"/>
          </w:rPr>
          <w:t>СанПиН 2.1.4.1110-02</w:t>
        </w:r>
      </w:hyperlink>
      <w:r>
        <w:rPr>
          <w:rFonts w:cs="Arial"/>
          <w:sz w:val="24"/>
          <w:szCs w:val="24"/>
        </w:rPr>
        <w:t xml:space="preserve">, </w:t>
      </w:r>
      <w:hyperlink r:id="rId22">
        <w:r>
          <w:rPr>
            <w:rStyle w:val="Style9"/>
            <w:rFonts w:cs="Arial"/>
            <w:color w:val="00000A"/>
            <w:sz w:val="24"/>
            <w:szCs w:val="24"/>
          </w:rPr>
          <w:t>СанПиН 2.1.4.1175-02</w:t>
        </w:r>
      </w:hyperlink>
      <w:r>
        <w:rPr>
          <w:rFonts w:cs="Arial"/>
          <w:sz w:val="24"/>
          <w:szCs w:val="24"/>
        </w:rPr>
        <w:t>.</w:t>
      </w:r>
    </w:p>
    <w:p>
      <w:pPr>
        <w:pStyle w:val="ConsPlusNormal2"/>
        <w:tabs>
          <w:tab w:val="left" w:pos="709" w:leader="none"/>
        </w:tabs>
        <w:suppressAutoHyphens w:val="false"/>
        <w:rPr>
          <w:rFonts w:cs="Arial"/>
          <w:sz w:val="24"/>
          <w:szCs w:val="24"/>
        </w:rPr>
      </w:pPr>
      <w:r>
        <w:rPr>
          <w:rFonts w:cs="Arial"/>
          <w:sz w:val="24"/>
          <w:szCs w:val="24"/>
        </w:rPr>
        <w:t xml:space="preserve">5.5.1.2.При проектировании систем водоснабжения сельского поселения удельные среднесуточные (за год) нормы водопотребления на хозяйственно-питьевые нужды населения следует принимать в соответствии с требованиями таблицы 5. </w:t>
      </w:r>
    </w:p>
    <w:p>
      <w:pPr>
        <w:pStyle w:val="NoSpacing"/>
        <w:tabs>
          <w:tab w:val="left" w:pos="709" w:leader="none"/>
        </w:tabs>
        <w:ind w:left="426" w:right="0" w:hanging="0"/>
        <w:jc w:val="right"/>
        <w:rPr>
          <w:rFonts w:ascii="Arial" w:hAnsi="Arial" w:cs="Arial"/>
        </w:rPr>
      </w:pPr>
      <w:r>
        <w:rPr>
          <w:rFonts w:cs="Arial" w:ascii="Arial" w:hAnsi="Arial"/>
        </w:rPr>
        <w:t xml:space="preserve">Таблица 5 </w:t>
      </w:r>
    </w:p>
    <w:tbl>
      <w:tblPr>
        <w:tblW w:w="10764" w:type="dxa"/>
        <w:jc w:val="left"/>
        <w:tblInd w:w="0" w:type="dxa"/>
        <w:tblBorders>
          <w:top w:val="single" w:sz="4" w:space="0" w:color="00000A"/>
          <w:left w:val="single" w:sz="4" w:space="0" w:color="00000A"/>
          <w:bottom w:val="single" w:sz="4" w:space="0" w:color="00000A"/>
          <w:insideH w:val="single" w:sz="4" w:space="0" w:color="00000A"/>
        </w:tblBorders>
        <w:tblCellMar>
          <w:top w:w="0" w:type="dxa"/>
          <w:left w:w="108" w:type="dxa"/>
          <w:bottom w:w="0" w:type="dxa"/>
          <w:right w:w="108" w:type="dxa"/>
        </w:tblCellMar>
      </w:tblPr>
      <w:tblGrid>
        <w:gridCol w:w="3859"/>
        <w:gridCol w:w="6905"/>
      </w:tblGrid>
      <w:tr>
        <w:trPr>
          <w:trHeight w:val="1046" w:hRule="atLeast"/>
        </w:trPr>
        <w:tc>
          <w:tcPr>
            <w:tcW w:w="3859"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Default"/>
              <w:rPr>
                <w:rFonts w:ascii="Arial" w:hAnsi="Arial" w:cs="Arial"/>
                <w:b/>
                <w:b/>
                <w:color w:val="00000A"/>
              </w:rPr>
            </w:pPr>
            <w:r>
              <w:rPr>
                <w:rFonts w:cs="Arial" w:ascii="Arial" w:hAnsi="Arial"/>
                <w:b/>
                <w:color w:val="00000A"/>
              </w:rPr>
              <w:t xml:space="preserve">Степень благоустройства районов жилой застройки </w:t>
            </w:r>
          </w:p>
        </w:tc>
        <w:tc>
          <w:tcPr>
            <w:tcW w:w="69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8" w:type="dxa"/>
            </w:tcMar>
          </w:tcPr>
          <w:p>
            <w:pPr>
              <w:pStyle w:val="Default"/>
              <w:rPr>
                <w:rFonts w:ascii="Arial" w:hAnsi="Arial" w:cs="Arial"/>
                <w:b/>
                <w:b/>
                <w:color w:val="00000A"/>
              </w:rPr>
            </w:pPr>
            <w:r>
              <w:rPr>
                <w:rFonts w:cs="Arial" w:ascii="Arial" w:hAnsi="Arial"/>
                <w:b/>
                <w:color w:val="00000A"/>
              </w:rPr>
              <w:t xml:space="preserve">Удельное хозяйственно-питьевое водопотребление в населенных пунктах на одного жителя среднесуточное (за год), л/сутки </w:t>
            </w:r>
          </w:p>
        </w:tc>
      </w:tr>
      <w:tr>
        <w:trPr>
          <w:trHeight w:val="494" w:hRule="atLeast"/>
        </w:trPr>
        <w:tc>
          <w:tcPr>
            <w:tcW w:w="10764"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Застройка зданиями, оборудованными внутренним водопроводом и канализацией: </w:t>
            </w:r>
          </w:p>
        </w:tc>
      </w:tr>
      <w:tr>
        <w:trPr>
          <w:trHeight w:val="218" w:hRule="atLeast"/>
        </w:trPr>
        <w:tc>
          <w:tcPr>
            <w:tcW w:w="3859"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без ванн </w:t>
            </w:r>
          </w:p>
        </w:tc>
        <w:tc>
          <w:tcPr>
            <w:tcW w:w="69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125 - 160 </w:t>
            </w:r>
          </w:p>
        </w:tc>
      </w:tr>
      <w:tr>
        <w:trPr>
          <w:trHeight w:val="218" w:hRule="atLeast"/>
        </w:trPr>
        <w:tc>
          <w:tcPr>
            <w:tcW w:w="3859"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с ванными и местными водонагревателями </w:t>
            </w:r>
          </w:p>
        </w:tc>
        <w:tc>
          <w:tcPr>
            <w:tcW w:w="69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160 - 230 </w:t>
            </w:r>
          </w:p>
        </w:tc>
      </w:tr>
      <w:tr>
        <w:trPr>
          <w:trHeight w:val="218" w:hRule="atLeast"/>
        </w:trPr>
        <w:tc>
          <w:tcPr>
            <w:tcW w:w="3859"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Default"/>
              <w:rPr>
                <w:rFonts w:ascii="Arial" w:hAnsi="Arial" w:cs="Arial"/>
              </w:rPr>
            </w:pPr>
            <w:r>
              <w:rPr>
                <w:rFonts w:cs="Arial" w:ascii="Arial" w:hAnsi="Arial"/>
              </w:rPr>
              <w:t xml:space="preserve">с централизованным горячим водоснабжением </w:t>
            </w:r>
          </w:p>
        </w:tc>
        <w:tc>
          <w:tcPr>
            <w:tcW w:w="690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Default"/>
              <w:rPr>
                <w:rFonts w:ascii="Arial" w:hAnsi="Arial" w:cs="Arial"/>
              </w:rPr>
            </w:pPr>
            <w:r>
              <w:rPr>
                <w:rFonts w:cs="Arial" w:ascii="Arial" w:hAnsi="Arial"/>
              </w:rPr>
              <w:t xml:space="preserve">230 - 350 </w:t>
            </w:r>
          </w:p>
        </w:tc>
      </w:tr>
    </w:tbl>
    <w:p>
      <w:pPr>
        <w:pStyle w:val="Default"/>
        <w:rPr>
          <w:rFonts w:ascii="Arial" w:hAnsi="Arial" w:cs="Arial"/>
          <w:i/>
          <w:i/>
          <w:iCs/>
          <w:color w:val="00000A"/>
        </w:rPr>
      </w:pPr>
      <w:r>
        <w:rPr>
          <w:rFonts w:cs="Arial" w:ascii="Arial" w:hAnsi="Arial"/>
          <w:i/>
          <w:iCs/>
          <w:color w:val="00000A"/>
        </w:rPr>
        <w:t xml:space="preserve">Примечания: </w:t>
      </w:r>
    </w:p>
    <w:p>
      <w:pPr>
        <w:pStyle w:val="Default"/>
        <w:rPr>
          <w:rFonts w:ascii="Arial" w:hAnsi="Arial" w:cs="Arial"/>
          <w:i/>
          <w:i/>
          <w:iCs/>
          <w:color w:val="00000A"/>
        </w:rPr>
      </w:pPr>
      <w:r>
        <w:rPr>
          <w:rFonts w:cs="Arial" w:ascii="Arial" w:hAnsi="Arial"/>
          <w:i/>
          <w:iCs/>
          <w:color w:val="00000A"/>
        </w:rPr>
        <w:t xml:space="preserve">1. Для районов застройки зданиями с водопользованием из водоразборных колонок удельное среднесуточное (за год) водопотребление на одного жителя следует принимать 30-50 л/сутки. </w:t>
      </w:r>
    </w:p>
    <w:p>
      <w:pPr>
        <w:pStyle w:val="Default"/>
        <w:rPr>
          <w:rFonts w:ascii="Arial" w:hAnsi="Arial" w:cs="Arial"/>
          <w:i/>
          <w:i/>
          <w:iCs/>
          <w:color w:val="00000A"/>
        </w:rPr>
      </w:pPr>
      <w:r>
        <w:rPr>
          <w:rFonts w:cs="Arial" w:ascii="Arial" w:hAnsi="Arial"/>
          <w:i/>
          <w:iCs/>
          <w:color w:val="00000A"/>
        </w:rPr>
        <w:t xml:space="preserve">2. Удельное водопотребление включает расходы воды на хозяйственно-питьевые и бытовые нужды в общественных зданиях (по классификации, принятой в СП 42.13330.2011). </w:t>
      </w:r>
    </w:p>
    <w:p>
      <w:pPr>
        <w:pStyle w:val="Default"/>
        <w:rPr>
          <w:rFonts w:ascii="Arial" w:hAnsi="Arial" w:cs="Arial"/>
          <w:i/>
          <w:i/>
          <w:iCs/>
          <w:color w:val="00000A"/>
        </w:rPr>
      </w:pPr>
      <w:r>
        <w:rPr>
          <w:rFonts w:cs="Arial" w:ascii="Arial" w:hAnsi="Arial"/>
          <w:i/>
          <w:iCs/>
          <w:color w:val="00000A"/>
        </w:rPr>
        <w:t xml:space="preserve">3. Выбор удельного водопотребления в пределах, указанных в таблице, должен производиться в зависимости от климатических условий, мощности источника водоснабжения и качества воды, степени благоустройства, этажности застройки и местных условий. </w:t>
      </w:r>
    </w:p>
    <w:p>
      <w:pPr>
        <w:pStyle w:val="Default"/>
        <w:rPr/>
      </w:pPr>
      <w:r>
        <w:rPr>
          <w:rFonts w:cs="Arial" w:ascii="Arial" w:hAnsi="Arial"/>
          <w:i/>
          <w:iCs/>
          <w:color w:val="00000A"/>
        </w:rPr>
        <w:t xml:space="preserve">4. Количество воды на нужды промышленности, обеспечивающей население продуктами, и неучтенные расходы при соответствующем обосновании допускается принимать дополнительно в размере 10-20 </w:t>
      </w:r>
      <w:r>
        <w:rPr>
          <w:rFonts w:cs="Arial" w:ascii="Arial" w:hAnsi="Arial"/>
          <w:color w:val="00000A"/>
        </w:rPr>
        <w:t xml:space="preserve">% </w:t>
      </w:r>
      <w:r>
        <w:rPr>
          <w:rFonts w:cs="Arial" w:ascii="Arial" w:hAnsi="Arial"/>
          <w:i/>
          <w:iCs/>
          <w:color w:val="00000A"/>
        </w:rPr>
        <w:t xml:space="preserve">суммарного расхода воды на хозяйственно-питьевые нужды населенного пункта. </w:t>
      </w:r>
    </w:p>
    <w:p>
      <w:pPr>
        <w:pStyle w:val="Default"/>
        <w:rPr/>
      </w:pPr>
      <w:r>
        <w:rPr>
          <w:rFonts w:cs="Arial" w:ascii="Arial" w:hAnsi="Arial"/>
          <w:i/>
          <w:iCs/>
          <w:color w:val="00000A"/>
        </w:rPr>
        <w:t xml:space="preserve">5. Для микрорайонов (кварталов), застроенных зданиями с централизованным горячим водоснабжением, следует принимать непосредственный отбор горячей воды из тепловой сети в среднем за сутки 40 </w:t>
      </w:r>
      <w:r>
        <w:rPr>
          <w:rFonts w:cs="Arial" w:ascii="Arial" w:hAnsi="Arial"/>
          <w:color w:val="00000A"/>
        </w:rPr>
        <w:t xml:space="preserve">% </w:t>
      </w:r>
      <w:r>
        <w:rPr>
          <w:rFonts w:cs="Arial" w:ascii="Arial" w:hAnsi="Arial"/>
          <w:i/>
          <w:iCs/>
          <w:color w:val="00000A"/>
        </w:rPr>
        <w:t xml:space="preserve">общего расхода воды на хозяйственно-питьевые нужды и в час максимального водозабора – 55 </w:t>
      </w:r>
      <w:r>
        <w:rPr>
          <w:rFonts w:cs="Arial" w:ascii="Arial" w:hAnsi="Arial"/>
          <w:color w:val="00000A"/>
        </w:rPr>
        <w:t xml:space="preserve">% </w:t>
      </w:r>
      <w:r>
        <w:rPr>
          <w:rFonts w:cs="Arial" w:ascii="Arial" w:hAnsi="Arial"/>
          <w:i/>
          <w:iCs/>
          <w:color w:val="00000A"/>
        </w:rPr>
        <w:t>этого расхода. При смешанной застройке следует исходить из численности населения, проживающего в указанных зданиях</w:t>
      </w:r>
    </w:p>
    <w:p>
      <w:pPr>
        <w:pStyle w:val="ConsPlusNormal2"/>
        <w:tabs>
          <w:tab w:val="left" w:pos="709" w:leader="none"/>
        </w:tabs>
        <w:suppressAutoHyphens w:val="false"/>
        <w:rPr>
          <w:rFonts w:cs="Arial"/>
          <w:sz w:val="24"/>
          <w:szCs w:val="24"/>
        </w:rPr>
      </w:pPr>
      <w:r>
        <w:rPr>
          <w:rFonts w:cs="Arial"/>
          <w:sz w:val="24"/>
          <w:szCs w:val="24"/>
        </w:rPr>
      </w:r>
    </w:p>
    <w:p>
      <w:pPr>
        <w:pStyle w:val="ConsPlusNormal2"/>
        <w:tabs>
          <w:tab w:val="left" w:pos="709" w:leader="none"/>
        </w:tabs>
        <w:suppressAutoHyphens w:val="false"/>
        <w:rPr>
          <w:rFonts w:cs="Arial"/>
          <w:sz w:val="24"/>
          <w:szCs w:val="24"/>
        </w:rPr>
      </w:pPr>
      <w:r>
        <w:rPr>
          <w:rFonts w:cs="Arial"/>
          <w:sz w:val="24"/>
          <w:szCs w:val="24"/>
        </w:rPr>
        <w:t>5.5.1.3.Расчетное среднесуточное водопотребление определяется как сумма расходов воды на хозяйственно-бытовые нужды и нужды промышленных предприятий с учетом расхода воды на поливку.</w:t>
      </w:r>
    </w:p>
    <w:p>
      <w:pPr>
        <w:pStyle w:val="ConsPlusNormal2"/>
        <w:tabs>
          <w:tab w:val="left" w:pos="709" w:leader="none"/>
        </w:tabs>
        <w:suppressAutoHyphens w:val="false"/>
        <w:rPr>
          <w:rFonts w:cs="Arial"/>
          <w:sz w:val="24"/>
          <w:szCs w:val="24"/>
        </w:rPr>
      </w:pPr>
      <w:r>
        <w:rPr>
          <w:rFonts w:cs="Arial"/>
          <w:sz w:val="24"/>
          <w:szCs w:val="24"/>
        </w:rPr>
        <w:t>5.5.1.4.Расход воды на хозяйственно-бытовые нужды определяется с учетом расхода воды по отдельным объектам различных категорий потребителей в соответствии таблицей 5. Для ориентировочного учета прочих потребителей в расчет удельного показателя вводится позиция "неучтенные расходы".</w:t>
      </w:r>
    </w:p>
    <w:p>
      <w:pPr>
        <w:pStyle w:val="ConsPlusNormal2"/>
        <w:rPr/>
      </w:pPr>
      <w:r>
        <w:rPr>
          <w:rFonts w:cs="Arial"/>
          <w:sz w:val="24"/>
          <w:szCs w:val="24"/>
        </w:rPr>
        <w:t xml:space="preserve">                                                                                                                                    </w:t>
      </w:r>
      <w:r>
        <w:rPr>
          <w:rFonts w:cs="Arial"/>
          <w:sz w:val="24"/>
          <w:szCs w:val="24"/>
        </w:rPr>
        <w:t>Таблица 5</w:t>
      </w:r>
    </w:p>
    <w:tbl>
      <w:tblPr>
        <w:tblW w:w="10241" w:type="dxa"/>
        <w:jc w:val="left"/>
        <w:tblInd w:w="70" w:type="dxa"/>
        <w:tblBorders>
          <w:top w:val="single" w:sz="4" w:space="0" w:color="000001"/>
          <w:left w:val="single" w:sz="4" w:space="0" w:color="000001"/>
          <w:bottom w:val="single" w:sz="4" w:space="0" w:color="000001"/>
          <w:insideH w:val="single" w:sz="4" w:space="0" w:color="000001"/>
        </w:tblBorders>
        <w:tblCellMar>
          <w:top w:w="0" w:type="dxa"/>
          <w:left w:w="70" w:type="dxa"/>
          <w:bottom w:w="0" w:type="dxa"/>
          <w:right w:w="75" w:type="dxa"/>
        </w:tblCellMar>
      </w:tblPr>
      <w:tblGrid>
        <w:gridCol w:w="5152"/>
        <w:gridCol w:w="2054"/>
        <w:gridCol w:w="1243"/>
        <w:gridCol w:w="1792"/>
      </w:tblGrid>
      <w:tr>
        <w:trPr/>
        <w:tc>
          <w:tcPr>
            <w:tcW w:w="5152" w:type="dxa"/>
            <w:vMerge w:val="restart"/>
            <w:tcBorders>
              <w:top w:val="single" w:sz="4" w:space="0" w:color="000001"/>
              <w:left w:val="single" w:sz="4" w:space="0" w:color="000001"/>
              <w:bottom w:val="single" w:sz="4" w:space="0" w:color="000001"/>
              <w:insideH w:val="single" w:sz="4" w:space="0" w:color="000001"/>
            </w:tcBorders>
            <w:shd w:fill="EEECE1"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Водопотребители</w:t>
            </w:r>
          </w:p>
        </w:tc>
        <w:tc>
          <w:tcPr>
            <w:tcW w:w="2054" w:type="dxa"/>
            <w:vMerge w:val="restart"/>
            <w:tcBorders>
              <w:top w:val="single" w:sz="4" w:space="0" w:color="000001"/>
              <w:left w:val="single" w:sz="4" w:space="0" w:color="000001"/>
              <w:bottom w:val="single" w:sz="4" w:space="0" w:color="000001"/>
              <w:insideH w:val="single" w:sz="4" w:space="0" w:color="000001"/>
            </w:tcBorders>
            <w:shd w:fill="EEECE1" w:val="clear"/>
            <w:tcMar>
              <w:left w:w="70" w:type="dxa"/>
            </w:tcMar>
            <w:vAlign w:val="center"/>
          </w:tcPr>
          <w:p>
            <w:pPr>
              <w:pStyle w:val="Normal"/>
              <w:suppressAutoHyphens w:val="true"/>
              <w:snapToGrid w:val="false"/>
              <w:spacing w:lineRule="auto" w:line="240" w:before="0" w:after="0"/>
              <w:ind w:left="-57" w:right="-57" w:hanging="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Измеритель</w:t>
            </w:r>
          </w:p>
        </w:tc>
        <w:tc>
          <w:tcPr>
            <w:tcW w:w="3035" w:type="dxa"/>
            <w:gridSpan w:val="2"/>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Hopмы расхода воды (в том числе горячей), л</w:t>
            </w:r>
          </w:p>
        </w:tc>
      </w:tr>
      <w:tr>
        <w:trPr/>
        <w:tc>
          <w:tcPr>
            <w:tcW w:w="5152" w:type="dxa"/>
            <w:vMerge w:val="continue"/>
            <w:tcBorders>
              <w:top w:val="single" w:sz="4" w:space="0" w:color="000001"/>
              <w:left w:val="single" w:sz="4" w:space="0" w:color="000001"/>
              <w:bottom w:val="single" w:sz="4" w:space="0" w:color="000001"/>
              <w:insideH w:val="single" w:sz="4" w:space="0" w:color="000001"/>
            </w:tcBorders>
            <w:shd w:fill="EEECE1" w:val="clear"/>
            <w:tcMar>
              <w:left w:w="70" w:type="dxa"/>
            </w:tcMar>
            <w:vAlign w:val="center"/>
          </w:tcPr>
          <w:p>
            <w:pPr>
              <w:pStyle w:val="Normal"/>
              <w:snapToGrid w:val="false"/>
              <w:spacing w:lineRule="auto" w:line="240" w:before="0" w:after="0"/>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r>
          </w:p>
        </w:tc>
        <w:tc>
          <w:tcPr>
            <w:tcW w:w="2054" w:type="dxa"/>
            <w:vMerge w:val="continue"/>
            <w:tcBorders>
              <w:top w:val="single" w:sz="4" w:space="0" w:color="000001"/>
              <w:left w:val="single" w:sz="4" w:space="0" w:color="000001"/>
              <w:bottom w:val="single" w:sz="4" w:space="0" w:color="000001"/>
              <w:insideH w:val="single" w:sz="4" w:space="0" w:color="000001"/>
            </w:tcBorders>
            <w:shd w:fill="EEECE1" w:val="clear"/>
            <w:tcMar>
              <w:left w:w="70" w:type="dxa"/>
            </w:tcMar>
            <w:vAlign w:val="center"/>
          </w:tcPr>
          <w:p>
            <w:pPr>
              <w:pStyle w:val="Normal"/>
              <w:snapToGrid w:val="false"/>
              <w:spacing w:lineRule="auto" w:line="240" w:before="0" w:after="0"/>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r>
          </w:p>
        </w:tc>
        <w:tc>
          <w:tcPr>
            <w:tcW w:w="1243" w:type="dxa"/>
            <w:tcBorders>
              <w:top w:val="single" w:sz="4" w:space="0" w:color="000001"/>
              <w:left w:val="single" w:sz="4" w:space="0" w:color="000001"/>
              <w:bottom w:val="single" w:sz="4" w:space="0" w:color="000001"/>
              <w:insideH w:val="single" w:sz="4" w:space="0" w:color="000001"/>
            </w:tcBorders>
            <w:shd w:fill="EEECE1" w:val="clear"/>
            <w:tcMar>
              <w:left w:w="70" w:type="dxa"/>
            </w:tcMar>
            <w:vAlign w:val="center"/>
          </w:tcPr>
          <w:p>
            <w:pPr>
              <w:pStyle w:val="Normal"/>
              <w:suppressAutoHyphens w:val="true"/>
              <w:snapToGrid w:val="false"/>
              <w:spacing w:lineRule="auto" w:line="240" w:before="0" w:after="0"/>
              <w:ind w:left="-113" w:right="-109" w:hanging="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в средние сутки</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70" w:type="dxa"/>
            </w:tcMar>
            <w:vAlign w:val="center"/>
          </w:tcPr>
          <w:p>
            <w:pPr>
              <w:pStyle w:val="Normal"/>
              <w:suppressAutoHyphens w:val="true"/>
              <w:snapToGrid w:val="false"/>
              <w:spacing w:lineRule="auto" w:line="240" w:before="0" w:after="0"/>
              <w:ind w:left="-106" w:right="-108" w:hanging="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в сутки наибольшего водопотребления</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Жилые дома квартирного типа:</w:t>
            </w:r>
          </w:p>
        </w:tc>
        <w:tc>
          <w:tcPr>
            <w:tcW w:w="2054" w:type="dxa"/>
            <w:tcBorders>
              <w:top w:val="single" w:sz="4" w:space="0" w:color="000001"/>
              <w:left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водопроводом и канализацией без ванн</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95</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газоснабжением</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150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водопроводом, канализацией и ваннами с водонагревателями, работающими на твердом топливе</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150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180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водопроводом, канализацией и ваннами с газовыми водонагревателями</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190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225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быстродействующими газовыми нагревателями и многоточечным водоразбором</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210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250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с централизованным горячим водоснабжением, оборудованные умывальниками, мойками и душами </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195</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230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сидячими ваннами, оборудованными душами</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230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275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ваннами длиной от 1500 до 1700 мм, оборудованными душами</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250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высотой свыше 12 этажей с централизованным горячим водоснабжением и повышенными требованиями к их благоустройству</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360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400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Общежития:</w:t>
            </w:r>
          </w:p>
        </w:tc>
        <w:tc>
          <w:tcPr>
            <w:tcW w:w="2054" w:type="dxa"/>
            <w:tcBorders>
              <w:top w:val="single" w:sz="4" w:space="0" w:color="000001"/>
              <w:left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общими душевыми</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85</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душами при всех жилых комнатах</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110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общими кухнями и блоками душевых на этажах при жилых комнатах в каждой секции здания</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140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160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Гостиницы, пансионаты и мотели с общими ваннами и душами</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120</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120</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Гостиницы и пансионаты с душами во всех отдельных номерах</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230</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230</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Гостиницы с ваннами в отдельных номерах, % от общего числа номеров:</w:t>
            </w:r>
          </w:p>
        </w:tc>
        <w:tc>
          <w:tcPr>
            <w:tcW w:w="2054"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до 25</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200</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до 75</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250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250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до 100</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житель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Больницы:</w:t>
            </w:r>
          </w:p>
        </w:tc>
        <w:tc>
          <w:tcPr>
            <w:tcW w:w="2054" w:type="dxa"/>
            <w:tcBorders>
              <w:top w:val="single" w:sz="4" w:space="0" w:color="000001"/>
              <w:left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общими ваннами и душевыми</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койка</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115</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115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санитарными узлами, приближенными к палатам</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койка</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Инфекционные</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койка</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240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240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Санатории и дома отдыха:</w:t>
            </w:r>
          </w:p>
        </w:tc>
        <w:tc>
          <w:tcPr>
            <w:tcW w:w="2054" w:type="dxa"/>
            <w:tcBorders>
              <w:top w:val="single" w:sz="4" w:space="0" w:color="000001"/>
              <w:left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ваннами при всех жилых комнатах</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койка</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200</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душами при всех жилых комнатах</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койка</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150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150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Поликлиники и амбулатории</w:t>
            </w:r>
          </w:p>
          <w:p>
            <w:pPr>
              <w:pStyle w:val="Normal"/>
              <w:suppressAutoHyphens w:val="tru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больной в смену</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13</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15</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Дошкольные образовательные учреждения:</w:t>
            </w:r>
          </w:p>
        </w:tc>
        <w:tc>
          <w:tcPr>
            <w:tcW w:w="2054"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дневным пребыванием детей:</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454"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со столовыми, работающими на полуфабрикатах</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ребенок</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21,5</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454"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со столовыми, работающими на сырье, и прачечными, оборудованными автоматическими стиральными машинами</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ребенок</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75</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 круглосуточным пребыванием детей:</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454"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со столовыми, работающими на полуфабрикатах</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ребенок</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39</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454"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со столовыми, работающими на сырье, и прачечными, оборудованными автоматическими стиральными машинами</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ребенок</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93</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130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Детские лагеря (в том числе круглогодичного действия):</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со столовыми, работающими на сырье, и прачечными, оборудованными автоматическими стиральными машинами</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место</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200</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со столовыми, работающими на полуфабрикатах, и стиркой белья в централизованных прачечных</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место</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55</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55</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Прачечные:</w:t>
            </w:r>
          </w:p>
        </w:tc>
        <w:tc>
          <w:tcPr>
            <w:tcW w:w="2054"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Механизированные</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кг сухого белья</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75</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75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Немеханизированные</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кг сухого белья</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Административные здания</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работающий</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16</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Учебные заведения (в том числе высшие и средние специальные) с душевыми при гимнастических залах и буфетами, реализующими готовую продукцию</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ind w:left="-106" w:right="-110"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1 учащийся </w:t>
            </w:r>
          </w:p>
          <w:p>
            <w:pPr>
              <w:pStyle w:val="Normal"/>
              <w:suppressAutoHyphens w:val="true"/>
              <w:spacing w:lineRule="auto" w:line="240" w:before="0" w:after="0"/>
              <w:ind w:left="-106" w:right="-110" w:hanging="0"/>
              <w:jc w:val="center"/>
              <w:rPr/>
            </w:pPr>
            <w:r>
              <w:rPr>
                <w:rFonts w:eastAsia="Times New Roman" w:cs="Arial" w:ascii="Arial" w:hAnsi="Arial"/>
                <w:color w:val="000000"/>
                <w:sz w:val="24"/>
                <w:szCs w:val="24"/>
                <w:lang w:eastAsia="ar-SA"/>
              </w:rPr>
              <w:t xml:space="preserve">и 1 </w:t>
            </w:r>
            <w:r>
              <w:rPr>
                <w:rFonts w:eastAsia="Times New Roman" w:cs="Arial" w:ascii="Arial" w:hAnsi="Arial"/>
                <w:color w:val="000000"/>
                <w:spacing w:val="-4"/>
                <w:sz w:val="24"/>
                <w:szCs w:val="24"/>
                <w:lang w:eastAsia="ar-SA"/>
              </w:rPr>
              <w:t>преподаватель</w:t>
            </w:r>
          </w:p>
          <w:p>
            <w:pPr>
              <w:pStyle w:val="Normal"/>
              <w:suppressAutoHyphens w:val="true"/>
              <w:spacing w:lineRule="auto" w:line="240" w:before="0" w:after="0"/>
              <w:ind w:left="-106" w:right="-110"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17,2</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Лаборатории высших и средних специальных учебных заведений</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прибор в смену</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224</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260</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Общеобразовательные школы с душевыми при гимнастических залах и столовыми, работающими на полуфабрикатах</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ind w:left="-106" w:right="-110"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1 учащийся </w:t>
            </w:r>
          </w:p>
          <w:p>
            <w:pPr>
              <w:pStyle w:val="Normal"/>
              <w:suppressAutoHyphens w:val="true"/>
              <w:spacing w:lineRule="auto" w:line="240" w:before="0" w:after="0"/>
              <w:ind w:left="-108" w:right="-108" w:hanging="0"/>
              <w:jc w:val="center"/>
              <w:rPr/>
            </w:pPr>
            <w:r>
              <w:rPr>
                <w:rFonts w:eastAsia="Times New Roman" w:cs="Arial" w:ascii="Arial" w:hAnsi="Arial"/>
                <w:color w:val="000000"/>
                <w:sz w:val="24"/>
                <w:szCs w:val="24"/>
                <w:lang w:eastAsia="ar-SA"/>
              </w:rPr>
              <w:t xml:space="preserve">и 1 </w:t>
            </w:r>
            <w:r>
              <w:rPr>
                <w:rFonts w:eastAsia="Times New Roman" w:cs="Arial" w:ascii="Arial" w:hAnsi="Arial"/>
                <w:color w:val="000000"/>
                <w:spacing w:val="-4"/>
                <w:sz w:val="24"/>
                <w:szCs w:val="24"/>
                <w:lang w:eastAsia="ar-SA"/>
              </w:rPr>
              <w:t>преподаватель</w:t>
            </w:r>
            <w:r>
              <w:rPr>
                <w:rFonts w:eastAsia="Times New Roman" w:cs="Arial" w:ascii="Arial" w:hAnsi="Arial"/>
                <w:color w:val="000000"/>
                <w:sz w:val="24"/>
                <w:szCs w:val="24"/>
                <w:lang w:eastAsia="ar-SA"/>
              </w:rPr>
              <w:t xml:space="preserve"> в смену</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11,5</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То же, с продленным днем</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то же</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14</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Профессионально-технические училища с душевыми при гимнастических залах и столовыми, работающими на полуфабрикатах</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ind w:left="-113" w:right="-113"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1 учащийся </w:t>
            </w:r>
          </w:p>
          <w:p>
            <w:pPr>
              <w:pStyle w:val="Normal"/>
              <w:suppressAutoHyphens w:val="true"/>
              <w:spacing w:lineRule="auto" w:line="240" w:before="0" w:after="0"/>
              <w:ind w:left="-113" w:right="-113" w:hanging="0"/>
              <w:jc w:val="center"/>
              <w:rPr/>
            </w:pPr>
            <w:r>
              <w:rPr>
                <w:rFonts w:eastAsia="Times New Roman" w:cs="Arial" w:ascii="Arial" w:hAnsi="Arial"/>
                <w:color w:val="000000"/>
                <w:sz w:val="24"/>
                <w:szCs w:val="24"/>
                <w:lang w:eastAsia="ar-SA"/>
              </w:rPr>
              <w:t xml:space="preserve">и 1 </w:t>
            </w:r>
            <w:r>
              <w:rPr>
                <w:rFonts w:eastAsia="Times New Roman" w:cs="Arial" w:ascii="Arial" w:hAnsi="Arial"/>
                <w:color w:val="000000"/>
                <w:spacing w:val="-4"/>
                <w:sz w:val="24"/>
                <w:szCs w:val="24"/>
                <w:lang w:eastAsia="ar-SA"/>
              </w:rPr>
              <w:t>преподаватель</w:t>
            </w:r>
            <w:r>
              <w:rPr>
                <w:rFonts w:eastAsia="Times New Roman" w:cs="Arial" w:ascii="Arial" w:hAnsi="Arial"/>
                <w:color w:val="000000"/>
                <w:sz w:val="24"/>
                <w:szCs w:val="24"/>
                <w:lang w:eastAsia="ar-SA"/>
              </w:rPr>
              <w:t xml:space="preserve"> в смену</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20</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23</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Школы-интернаты с помещениями:</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учебными (с душевыми при гимнастических залах)</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113" w:right="-113"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xml:space="preserve">1 учащийся </w:t>
            </w:r>
          </w:p>
          <w:p>
            <w:pPr>
              <w:pStyle w:val="Normal"/>
              <w:suppressAutoHyphens w:val="true"/>
              <w:spacing w:lineRule="auto" w:line="240" w:before="0" w:after="0"/>
              <w:ind w:left="-113" w:right="-113" w:hanging="0"/>
              <w:jc w:val="center"/>
              <w:rPr/>
            </w:pPr>
            <w:r>
              <w:rPr>
                <w:rFonts w:eastAsia="Times New Roman" w:cs="Arial" w:ascii="Arial" w:hAnsi="Arial"/>
                <w:color w:val="000000"/>
                <w:sz w:val="24"/>
                <w:szCs w:val="24"/>
                <w:lang w:eastAsia="ar-SA"/>
              </w:rPr>
              <w:t xml:space="preserve">и 1 </w:t>
            </w:r>
            <w:r>
              <w:rPr>
                <w:rFonts w:eastAsia="Times New Roman" w:cs="Arial" w:ascii="Arial" w:hAnsi="Arial"/>
                <w:color w:val="000000"/>
                <w:spacing w:val="-4"/>
                <w:sz w:val="24"/>
                <w:szCs w:val="24"/>
                <w:lang w:eastAsia="ar-SA"/>
              </w:rPr>
              <w:t>преподаватель</w:t>
            </w:r>
            <w:r>
              <w:rPr>
                <w:rFonts w:eastAsia="Times New Roman" w:cs="Arial" w:ascii="Arial" w:hAnsi="Arial"/>
                <w:color w:val="000000"/>
                <w:sz w:val="24"/>
                <w:szCs w:val="24"/>
                <w:lang w:eastAsia="ar-SA"/>
              </w:rPr>
              <w:t xml:space="preserve"> в смену </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9</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Спальными</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место</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70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70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Научно-исследовательские институты и лаборатории:</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химического профиля</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работающий</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460</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570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биологического профиля</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работающий</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310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370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физического профиля</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работающий</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125</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155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естественных наук</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работающий</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16</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Аптеки:</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торговый зал и подсобные помещения</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работающий</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16</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лаборатория приготовления лекарств</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работающий</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310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370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Предприятия общественного питания:</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приготовления пищи:</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540"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реализуемой в обеденном зале</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условное блюдо</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540"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продаваемой на дом</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условное блюдо</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выпускающие полуфабрикаты:</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454"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Мясные</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т</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6700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454"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Рыбные</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т</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6400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454"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Овощные</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т</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4400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454"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Кулинарные</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т</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7700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Магазины:</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Продовольственные</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pPr>
            <w:r>
              <w:rPr>
                <w:rFonts w:eastAsia="Times New Roman" w:cs="Arial" w:ascii="Arial" w:hAnsi="Arial"/>
                <w:color w:val="000000"/>
                <w:sz w:val="24"/>
                <w:szCs w:val="24"/>
                <w:lang w:eastAsia="ar-SA"/>
              </w:rPr>
              <w:t xml:space="preserve">1 работающий в смену (20 </w:t>
            </w:r>
            <w:r>
              <w:rPr>
                <w:rFonts w:eastAsia="Times New Roman" w:cs="Arial" w:ascii="Arial" w:hAnsi="Arial"/>
                <w:iCs/>
                <w:color w:val="000000"/>
                <w:sz w:val="24"/>
                <w:szCs w:val="24"/>
                <w:lang w:eastAsia="ar-SA"/>
              </w:rPr>
              <w:t>кв. м</w:t>
            </w:r>
            <w:r>
              <w:rPr>
                <w:rFonts w:eastAsia="Times New Roman" w:cs="Arial" w:ascii="Arial" w:hAnsi="Arial"/>
                <w:i/>
                <w:iCs/>
                <w:color w:val="000000"/>
                <w:sz w:val="24"/>
                <w:szCs w:val="24"/>
                <w:lang w:eastAsia="ar-SA"/>
              </w:rPr>
              <w:t xml:space="preserve"> </w:t>
            </w:r>
            <w:r>
              <w:rPr>
                <w:rFonts w:eastAsia="Times New Roman" w:cs="Arial" w:ascii="Arial" w:hAnsi="Arial"/>
                <w:color w:val="000000"/>
                <w:sz w:val="24"/>
                <w:szCs w:val="24"/>
                <w:lang w:eastAsia="ar-SA"/>
              </w:rPr>
              <w:t>торгового зала)</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250</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250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Промтоварные</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работающий в смену</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12</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16</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Парикмахерские</w:t>
            </w:r>
          </w:p>
          <w:p>
            <w:pPr>
              <w:pStyle w:val="Normal"/>
              <w:suppressAutoHyphens w:val="tru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ind w:left="-113" w:right="-113" w:hanging="0"/>
              <w:jc w:val="center"/>
              <w:rPr/>
            </w:pPr>
            <w:r>
              <w:rPr>
                <w:rFonts w:eastAsia="Times New Roman" w:cs="Arial" w:ascii="Arial" w:hAnsi="Arial"/>
                <w:color w:val="000000"/>
                <w:spacing w:val="-4"/>
                <w:sz w:val="24"/>
                <w:szCs w:val="24"/>
                <w:lang w:eastAsia="ar-SA"/>
              </w:rPr>
              <w:t>1 рабочее мес</w:t>
            </w:r>
            <w:r>
              <w:rPr>
                <w:rFonts w:eastAsia="Times New Roman" w:cs="Arial" w:ascii="Arial" w:hAnsi="Arial"/>
                <w:color w:val="000000"/>
                <w:sz w:val="24"/>
                <w:szCs w:val="24"/>
                <w:lang w:eastAsia="ar-SA"/>
              </w:rPr>
              <w:t>то в смену</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56</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60</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Кинотеатры</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место</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Клубы</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место</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8,6</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Театры:</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зрителей</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место</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артистов</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человек</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Стадионы и спортзалы:</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зрителей</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место</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физкультурников (с учетом приема душа)</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человек</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спортсменов</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человек</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Плавательные бассейны:</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пополнение бассейна</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60" w:right="-84" w:hanging="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 вместимости бассейна в сутки</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зрителей</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место</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спортсменов (с учетом приема душа)</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человек</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100</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100</w:t>
            </w:r>
          </w:p>
        </w:tc>
      </w:tr>
      <w:tr>
        <w:trPr/>
        <w:tc>
          <w:tcPr>
            <w:tcW w:w="5152" w:type="dxa"/>
            <w:tcBorders>
              <w:top w:val="single" w:sz="4" w:space="0" w:color="000001"/>
              <w:left w:val="single" w:sz="4" w:space="0" w:color="000001"/>
            </w:tcBorders>
            <w:shd w:fill="auto" w:val="clear"/>
            <w:tcMar>
              <w:left w:w="70" w:type="dxa"/>
            </w:tcMar>
            <w:vAlign w:val="bottom"/>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Бани:</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для мытья в мыльной с тазами на скамьях и ополаскиванием в душе</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посетитель</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180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то же, с приемом оздоровительных процедур и ополаскиванием в душе:</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посетитель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290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душевая кабина</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посетитель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360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ванная кабина</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посетитель</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540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Душевые в бытовых помещениях промышленных предприятий</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ind w:left="-57" w:right="-57" w:hanging="0"/>
              <w:jc w:val="center"/>
              <w:rPr/>
            </w:pPr>
            <w:r>
              <w:rPr>
                <w:rFonts w:eastAsia="Times New Roman" w:cs="Arial" w:ascii="Arial" w:hAnsi="Arial"/>
                <w:color w:val="000000"/>
                <w:sz w:val="24"/>
                <w:szCs w:val="24"/>
                <w:lang w:eastAsia="ar-SA"/>
              </w:rPr>
              <w:t xml:space="preserve">1 душевая </w:t>
            </w:r>
            <w:r>
              <w:rPr>
                <w:rFonts w:eastAsia="Times New Roman" w:cs="Arial" w:ascii="Arial" w:hAnsi="Arial"/>
                <w:color w:val="000000"/>
                <w:spacing w:val="-2"/>
                <w:sz w:val="24"/>
                <w:szCs w:val="24"/>
                <w:lang w:eastAsia="ar-SA"/>
              </w:rPr>
              <w:t>сетка в смену</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500</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pPr>
            <w:r>
              <w:rPr>
                <w:rFonts w:eastAsia="Times New Roman" w:cs="Arial" w:ascii="Arial" w:hAnsi="Arial"/>
                <w:color w:val="000000"/>
                <w:sz w:val="24"/>
                <w:szCs w:val="24"/>
                <w:lang w:eastAsia="ar-SA"/>
              </w:rPr>
              <w:t>Цехи с тепловыделениями свыше 84 кДж на 1 м</w:t>
            </w:r>
            <w:r>
              <w:rPr>
                <w:rFonts w:eastAsia="Times New Roman" w:cs="Arial" w:ascii="Arial" w:hAnsi="Arial"/>
                <w:color w:val="000000"/>
                <w:sz w:val="24"/>
                <w:szCs w:val="24"/>
                <w:vertAlign w:val="superscript"/>
                <w:lang w:eastAsia="ar-SA"/>
              </w:rPr>
              <w:t>3</w:t>
            </w:r>
            <w:r>
              <w:rPr>
                <w:rFonts w:eastAsia="Times New Roman" w:cs="Arial" w:ascii="Arial" w:hAnsi="Arial"/>
                <w:color w:val="000000"/>
                <w:sz w:val="24"/>
                <w:szCs w:val="24"/>
                <w:lang w:eastAsia="ar-SA"/>
              </w:rPr>
              <w:t>/ч</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человек в смену</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45</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Остальные цехи</w:t>
            </w:r>
          </w:p>
          <w:p>
            <w:pPr>
              <w:pStyle w:val="Normal"/>
              <w:suppressAutoHyphens w:val="tru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человек в смену</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25</w:t>
            </w:r>
          </w:p>
          <w:p>
            <w:pPr>
              <w:pStyle w:val="Normal"/>
              <w:suppressAutoHyphens w:val="tru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top w:val="single" w:sz="4" w:space="0" w:color="000001"/>
              <w:left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Расход воды на поливку:</w:t>
            </w:r>
          </w:p>
        </w:tc>
        <w:tc>
          <w:tcPr>
            <w:tcW w:w="2054"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243" w:type="dxa"/>
            <w:tcBorders>
              <w:top w:val="single" w:sz="4" w:space="0" w:color="000001"/>
              <w:left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c>
          <w:tcPr>
            <w:tcW w:w="1792" w:type="dxa"/>
            <w:tcBorders>
              <w:top w:val="single" w:sz="4" w:space="0" w:color="000001"/>
              <w:left w:val="single" w:sz="4" w:space="0" w:color="000001"/>
              <w:right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r>
          </w:p>
        </w:tc>
      </w:tr>
      <w:tr>
        <w:trPr/>
        <w:tc>
          <w:tcPr>
            <w:tcW w:w="5152"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травяного покрова</w:t>
            </w:r>
          </w:p>
        </w:tc>
        <w:tc>
          <w:tcPr>
            <w:tcW w:w="2054"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кв. м</w:t>
            </w:r>
          </w:p>
        </w:tc>
        <w:tc>
          <w:tcPr>
            <w:tcW w:w="1243" w:type="dxa"/>
            <w:tcBorders>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w:t>
            </w:r>
          </w:p>
        </w:tc>
        <w:tc>
          <w:tcPr>
            <w:tcW w:w="1792"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футбольного поля</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кв. м</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0,5</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0,5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остальных спортивных сооружений</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кв. м</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1,5</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усовершенствованных покрытий, тротуаров, площадей, заводских проездов</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кв. м</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0,4-0,5</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0,4-0,5</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ind w:left="227" w:right="0" w:hanging="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зеленых насаждений, газонов и цветников</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кв. м</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i/>
                <w:i/>
                <w:iCs/>
                <w:color w:val="000000"/>
                <w:sz w:val="24"/>
                <w:szCs w:val="24"/>
                <w:lang w:eastAsia="ar-SA"/>
              </w:rPr>
            </w:pPr>
            <w:r>
              <w:rPr>
                <w:rFonts w:eastAsia="Times New Roman" w:cs="Arial" w:ascii="Arial" w:hAnsi="Arial"/>
                <w:i/>
                <w:iCs/>
                <w:color w:val="000000"/>
                <w:sz w:val="24"/>
                <w:szCs w:val="24"/>
                <w:lang w:eastAsia="ar-SA"/>
              </w:rPr>
              <w:t>3-6</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3-6</w:t>
            </w:r>
          </w:p>
        </w:tc>
      </w:tr>
      <w:tr>
        <w:trPr/>
        <w:tc>
          <w:tcPr>
            <w:tcW w:w="5152"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Заливка поверхности катка</w:t>
            </w:r>
          </w:p>
        </w:tc>
        <w:tc>
          <w:tcPr>
            <w:tcW w:w="2054"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1 кв. м</w:t>
            </w:r>
          </w:p>
        </w:tc>
        <w:tc>
          <w:tcPr>
            <w:tcW w:w="1243" w:type="dxa"/>
            <w:tcBorders>
              <w:top w:val="single" w:sz="4" w:space="0" w:color="000001"/>
              <w:left w:val="single" w:sz="4" w:space="0" w:color="000001"/>
              <w:bottom w:val="single" w:sz="4" w:space="0" w:color="000001"/>
              <w:insideH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0,5</w:t>
            </w:r>
          </w:p>
        </w:tc>
        <w:tc>
          <w:tcPr>
            <w:tcW w:w="17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70" w:type="dxa"/>
            </w:tcMar>
            <w:vAlign w:val="center"/>
          </w:tcPr>
          <w:p>
            <w:pPr>
              <w:pStyle w:val="Normal"/>
              <w:suppressAutoHyphens w:val="true"/>
              <w:snapToGrid w:val="false"/>
              <w:spacing w:lineRule="auto" w:line="240" w:before="0" w:after="0"/>
              <w:jc w:val="center"/>
              <w:rPr>
                <w:rFonts w:ascii="Arial" w:hAnsi="Arial" w:eastAsia="Times New Roman" w:cs="Arial"/>
                <w:color w:val="000000"/>
                <w:sz w:val="24"/>
                <w:szCs w:val="24"/>
                <w:lang w:eastAsia="ar-SA"/>
              </w:rPr>
            </w:pPr>
            <w:r>
              <w:rPr>
                <w:rFonts w:eastAsia="Times New Roman" w:cs="Arial" w:ascii="Arial" w:hAnsi="Arial"/>
                <w:color w:val="000000"/>
                <w:sz w:val="24"/>
                <w:szCs w:val="24"/>
                <w:lang w:eastAsia="ar-SA"/>
              </w:rPr>
              <w:t>0,5</w:t>
            </w:r>
          </w:p>
        </w:tc>
      </w:tr>
    </w:tbl>
    <w:p>
      <w:pPr>
        <w:pStyle w:val="ConsPlusNormal2"/>
        <w:ind w:left="0" w:right="0" w:firstLine="540"/>
        <w:rPr>
          <w:rFonts w:cs="Arial"/>
          <w:sz w:val="24"/>
          <w:szCs w:val="24"/>
          <w:lang w:eastAsia="ar-SA"/>
        </w:rPr>
      </w:pPr>
      <w:r>
        <w:rPr>
          <w:rFonts w:cs="Arial"/>
          <w:sz w:val="24"/>
          <w:szCs w:val="24"/>
          <w:lang w:eastAsia="ar-SA"/>
        </w:rPr>
      </w:r>
    </w:p>
    <w:p>
      <w:pPr>
        <w:pStyle w:val="ConsPlusNormal2"/>
        <w:ind w:left="0" w:right="0" w:firstLine="540"/>
        <w:rPr>
          <w:rFonts w:cs="Arial"/>
          <w:sz w:val="24"/>
          <w:szCs w:val="24"/>
        </w:rPr>
      </w:pPr>
      <w:r>
        <w:rPr>
          <w:rFonts w:cs="Arial"/>
          <w:sz w:val="24"/>
          <w:szCs w:val="24"/>
        </w:rPr>
        <w:t>Расход воды на производственные нужды, а также наружное пожаротушение определяется в соответствии с требованиями СП 31.13330.2012.</w:t>
      </w:r>
    </w:p>
    <w:p>
      <w:pPr>
        <w:pStyle w:val="ConsPlusNormal2"/>
        <w:tabs>
          <w:tab w:val="left" w:pos="709" w:leader="none"/>
        </w:tabs>
        <w:suppressAutoHyphens w:val="false"/>
        <w:rPr>
          <w:rFonts w:cs="Arial"/>
          <w:sz w:val="24"/>
          <w:szCs w:val="24"/>
        </w:rPr>
      </w:pPr>
      <w:r>
        <w:rPr>
          <w:rFonts w:cs="Arial"/>
          <w:sz w:val="24"/>
          <w:szCs w:val="24"/>
        </w:rPr>
        <w:t>5.5.1.5.Выбор источника водоснабжения должен быть обоснован результатами топографических, гидрологических, гидрогеологических, ихтиологических, гидрохимических, гидробиологических, гидротермических и других изысканий и санитарных обследований.</w:t>
      </w:r>
    </w:p>
    <w:p>
      <w:pPr>
        <w:pStyle w:val="ConsPlusNormal2"/>
        <w:ind w:left="0" w:right="0" w:firstLine="540"/>
        <w:rPr>
          <w:rFonts w:cs="Arial"/>
          <w:sz w:val="24"/>
          <w:szCs w:val="24"/>
        </w:rPr>
      </w:pPr>
      <w:r>
        <w:rPr>
          <w:rFonts w:cs="Arial"/>
          <w:sz w:val="24"/>
          <w:szCs w:val="24"/>
        </w:rPr>
        <w:t>В качестве источника водоснабжения следует рассматривать подземные воды (водоносные пласты, подрусловые и другие воды).</w:t>
      </w:r>
    </w:p>
    <w:p>
      <w:pPr>
        <w:pStyle w:val="ConsPlusNormal2"/>
        <w:ind w:left="0" w:right="0" w:firstLine="540"/>
        <w:rPr>
          <w:rFonts w:cs="Arial"/>
          <w:sz w:val="24"/>
          <w:szCs w:val="24"/>
        </w:rPr>
      </w:pPr>
      <w:r>
        <w:rPr>
          <w:rFonts w:cs="Arial"/>
          <w:sz w:val="24"/>
          <w:szCs w:val="24"/>
        </w:rPr>
        <w:t>В системе водоснабжения допускается использование нескольких источников с различными гидрологическими и гидрогеологическими характеристиками.</w:t>
      </w:r>
    </w:p>
    <w:p>
      <w:pPr>
        <w:pStyle w:val="ConsPlusNormal2"/>
        <w:tabs>
          <w:tab w:val="left" w:pos="709" w:leader="none"/>
        </w:tabs>
        <w:suppressAutoHyphens w:val="false"/>
        <w:rPr>
          <w:rFonts w:cs="Arial"/>
          <w:sz w:val="24"/>
          <w:szCs w:val="24"/>
        </w:rPr>
      </w:pPr>
      <w:r>
        <w:rPr>
          <w:rFonts w:cs="Arial"/>
          <w:sz w:val="24"/>
          <w:szCs w:val="24"/>
        </w:rPr>
        <w:t>5.5.1.6.Для хозяйственно-питьевых водопроводов должны максимально использоваться имеющиеся ресурсы подземных вод (в том числе пополняемых источников), удовлетворяющих санитарно-гигиеническим требованиям.</w:t>
      </w:r>
    </w:p>
    <w:p>
      <w:pPr>
        <w:pStyle w:val="ConsPlusNormal2"/>
        <w:tabs>
          <w:tab w:val="left" w:pos="709" w:leader="none"/>
        </w:tabs>
        <w:suppressAutoHyphens w:val="false"/>
        <w:rPr>
          <w:rFonts w:cs="Arial"/>
          <w:sz w:val="24"/>
          <w:szCs w:val="24"/>
        </w:rPr>
      </w:pPr>
      <w:r>
        <w:rPr>
          <w:rFonts w:cs="Arial"/>
          <w:sz w:val="24"/>
          <w:szCs w:val="24"/>
        </w:rPr>
        <w:t>5.5.1.7.Для производственного водоснабжения промышленных предприятий следует рассматривать возможность использования очищенных сточных вод.</w:t>
      </w:r>
    </w:p>
    <w:p>
      <w:pPr>
        <w:pStyle w:val="ConsPlusNormal2"/>
        <w:ind w:left="0" w:right="0" w:firstLine="540"/>
        <w:rPr>
          <w:rFonts w:cs="Arial"/>
          <w:sz w:val="24"/>
          <w:szCs w:val="24"/>
        </w:rPr>
      </w:pPr>
      <w:r>
        <w:rPr>
          <w:rFonts w:cs="Arial"/>
          <w:sz w:val="24"/>
          <w:szCs w:val="24"/>
        </w:rPr>
        <w:t>Использование подземных вод питьевого качества для нужд, не связанных с хозяйственно-питьевым водоснабжением, не допускается.</w:t>
      </w:r>
    </w:p>
    <w:p>
      <w:pPr>
        <w:pStyle w:val="ConsPlusNormal2"/>
        <w:ind w:left="0" w:right="0" w:firstLine="540"/>
        <w:rPr>
          <w:rFonts w:cs="Arial"/>
          <w:sz w:val="24"/>
          <w:szCs w:val="24"/>
        </w:rPr>
      </w:pPr>
      <w:r>
        <w:rPr>
          <w:rFonts w:cs="Arial"/>
          <w:sz w:val="24"/>
          <w:szCs w:val="24"/>
        </w:rPr>
        <w:t>Выбор источника производственного водоснабжения следует производить с учетом требований, предъявляемых потребителями к качеству воды.</w:t>
      </w:r>
    </w:p>
    <w:p>
      <w:pPr>
        <w:pStyle w:val="ConsPlusNormal2"/>
        <w:tabs>
          <w:tab w:val="left" w:pos="709" w:leader="none"/>
        </w:tabs>
        <w:suppressAutoHyphens w:val="false"/>
        <w:rPr>
          <w:rFonts w:cs="Arial"/>
          <w:sz w:val="24"/>
          <w:szCs w:val="24"/>
        </w:rPr>
      </w:pPr>
      <w:r>
        <w:rPr>
          <w:rFonts w:cs="Arial"/>
          <w:sz w:val="24"/>
          <w:szCs w:val="24"/>
        </w:rPr>
        <w:t>5.5.1.8.Системы водоснабжения следует проектировать в соответствии со СП 31.13330.2012. Системы водоснабжения могут быть централизованными, нецентрализованными, локальными, оборотными.</w:t>
      </w:r>
    </w:p>
    <w:p>
      <w:pPr>
        <w:pStyle w:val="ConsPlusNormal2"/>
        <w:ind w:left="0" w:right="0" w:firstLine="540"/>
        <w:rPr>
          <w:rFonts w:cs="Arial"/>
          <w:sz w:val="24"/>
          <w:szCs w:val="24"/>
        </w:rPr>
      </w:pPr>
      <w:r>
        <w:rPr>
          <w:rFonts w:cs="Arial"/>
          <w:sz w:val="24"/>
          <w:szCs w:val="24"/>
        </w:rPr>
        <w:t>Централизованная система водоснабжения населенных пунктов должна обеспечивать:</w:t>
      </w:r>
    </w:p>
    <w:p>
      <w:pPr>
        <w:pStyle w:val="ConsPlusNormal2"/>
        <w:numPr>
          <w:ilvl w:val="0"/>
          <w:numId w:val="10"/>
        </w:numPr>
        <w:jc w:val="both"/>
        <w:rPr>
          <w:rFonts w:cs="Arial"/>
          <w:sz w:val="24"/>
          <w:szCs w:val="24"/>
        </w:rPr>
      </w:pPr>
      <w:r>
        <w:rPr>
          <w:rFonts w:cs="Arial"/>
          <w:sz w:val="24"/>
          <w:szCs w:val="24"/>
        </w:rPr>
        <w:t>хозяйственно-питьевое водопотребление в жилых и общественных зданиях, нужды коммунально-бытовых предприятий;</w:t>
      </w:r>
    </w:p>
    <w:p>
      <w:pPr>
        <w:pStyle w:val="ConsPlusNormal2"/>
        <w:numPr>
          <w:ilvl w:val="0"/>
          <w:numId w:val="10"/>
        </w:numPr>
        <w:jc w:val="both"/>
        <w:rPr>
          <w:rFonts w:cs="Arial"/>
          <w:sz w:val="24"/>
          <w:szCs w:val="24"/>
        </w:rPr>
      </w:pPr>
      <w:r>
        <w:rPr>
          <w:rFonts w:cs="Arial"/>
          <w:sz w:val="24"/>
          <w:szCs w:val="24"/>
        </w:rPr>
        <w:t>хозяйственно-питьевое водопотребление на предприятиях;</w:t>
      </w:r>
    </w:p>
    <w:p>
      <w:pPr>
        <w:pStyle w:val="ConsPlusNormal2"/>
        <w:numPr>
          <w:ilvl w:val="0"/>
          <w:numId w:val="10"/>
        </w:numPr>
        <w:jc w:val="both"/>
        <w:rPr>
          <w:rFonts w:cs="Arial"/>
          <w:sz w:val="24"/>
          <w:szCs w:val="24"/>
        </w:rPr>
      </w:pPr>
      <w:r>
        <w:rPr>
          <w:rFonts w:cs="Arial"/>
          <w:sz w:val="24"/>
          <w:szCs w:val="24"/>
        </w:rPr>
        <w:t>производственные нужды промышленных и сельскохозяйственных предприятий, где требуется вода питьевого качества или для которых экономически нецелесообразно сооружение отдельного водопровода;</w:t>
      </w:r>
    </w:p>
    <w:p>
      <w:pPr>
        <w:pStyle w:val="ConsPlusNormal2"/>
        <w:numPr>
          <w:ilvl w:val="0"/>
          <w:numId w:val="10"/>
        </w:numPr>
        <w:jc w:val="both"/>
        <w:rPr>
          <w:rFonts w:cs="Arial"/>
          <w:sz w:val="24"/>
          <w:szCs w:val="24"/>
        </w:rPr>
      </w:pPr>
      <w:r>
        <w:rPr>
          <w:rFonts w:cs="Arial"/>
          <w:sz w:val="24"/>
          <w:szCs w:val="24"/>
        </w:rPr>
        <w:t>тушение пожаров;</w:t>
      </w:r>
    </w:p>
    <w:p>
      <w:pPr>
        <w:pStyle w:val="ConsPlusNormal2"/>
        <w:numPr>
          <w:ilvl w:val="0"/>
          <w:numId w:val="10"/>
        </w:numPr>
        <w:jc w:val="both"/>
        <w:rPr>
          <w:rFonts w:cs="Arial"/>
          <w:sz w:val="24"/>
          <w:szCs w:val="24"/>
        </w:rPr>
      </w:pPr>
      <w:r>
        <w:rPr>
          <w:rFonts w:cs="Arial"/>
          <w:sz w:val="24"/>
          <w:szCs w:val="24"/>
        </w:rPr>
        <w:t>собственные нужды станций водоподготовки, промывку водопроводных и канализационных сетей и другое.</w:t>
      </w:r>
    </w:p>
    <w:p>
      <w:pPr>
        <w:pStyle w:val="ConsPlusNormal2"/>
        <w:ind w:left="0" w:right="0" w:firstLine="540"/>
        <w:rPr>
          <w:rFonts w:cs="Arial"/>
          <w:sz w:val="24"/>
          <w:szCs w:val="24"/>
        </w:rPr>
      </w:pPr>
      <w:r>
        <w:rPr>
          <w:rFonts w:cs="Arial"/>
          <w:sz w:val="24"/>
          <w:szCs w:val="24"/>
        </w:rPr>
        <w:t>При обосновании допускается устройство самостоятельного водопровода для:</w:t>
      </w:r>
    </w:p>
    <w:p>
      <w:pPr>
        <w:pStyle w:val="ConsPlusNormal2"/>
        <w:numPr>
          <w:ilvl w:val="0"/>
          <w:numId w:val="11"/>
        </w:numPr>
        <w:jc w:val="both"/>
        <w:rPr>
          <w:rFonts w:cs="Arial"/>
          <w:sz w:val="24"/>
          <w:szCs w:val="24"/>
        </w:rPr>
      </w:pPr>
      <w:r>
        <w:rPr>
          <w:rFonts w:cs="Arial"/>
          <w:sz w:val="24"/>
          <w:szCs w:val="24"/>
        </w:rPr>
        <w:t>поливки и мойки территорий (улиц, проездов, площадей, зеленых насаждений), работы фонтанов и прочего;</w:t>
      </w:r>
    </w:p>
    <w:p>
      <w:pPr>
        <w:pStyle w:val="ConsPlusNormal2"/>
        <w:numPr>
          <w:ilvl w:val="0"/>
          <w:numId w:val="11"/>
        </w:numPr>
        <w:jc w:val="both"/>
        <w:rPr>
          <w:rFonts w:cs="Arial"/>
          <w:sz w:val="24"/>
          <w:szCs w:val="24"/>
        </w:rPr>
      </w:pPr>
      <w:r>
        <w:rPr>
          <w:rFonts w:cs="Arial"/>
          <w:sz w:val="24"/>
          <w:szCs w:val="24"/>
        </w:rPr>
        <w:t>поливки посадок в теплицах, парниках и на открытых участках, а также приусадебных участков.</w:t>
      </w:r>
    </w:p>
    <w:p>
      <w:pPr>
        <w:pStyle w:val="ConsPlusNormal2"/>
        <w:ind w:left="0" w:right="0" w:firstLine="540"/>
        <w:rPr>
          <w:rFonts w:cs="Arial"/>
          <w:sz w:val="24"/>
          <w:szCs w:val="24"/>
        </w:rPr>
      </w:pPr>
      <w:r>
        <w:rPr>
          <w:rFonts w:cs="Arial"/>
          <w:sz w:val="24"/>
          <w:szCs w:val="24"/>
        </w:rPr>
        <w:t>Локальные системы, обеспечивающие технологические требования объектов, должны проектироваться совместно с объектами.</w:t>
      </w:r>
    </w:p>
    <w:p>
      <w:pPr>
        <w:pStyle w:val="ConsPlusNormal2"/>
        <w:tabs>
          <w:tab w:val="left" w:pos="709" w:leader="none"/>
        </w:tabs>
        <w:suppressAutoHyphens w:val="false"/>
        <w:ind w:left="426" w:right="0" w:hanging="0"/>
        <w:rPr>
          <w:rFonts w:cs="Arial"/>
          <w:sz w:val="24"/>
          <w:szCs w:val="24"/>
        </w:rPr>
      </w:pPr>
      <w:r>
        <w:rPr>
          <w:rFonts w:cs="Arial"/>
          <w:sz w:val="24"/>
          <w:szCs w:val="24"/>
        </w:rPr>
        <w:t>5.5.1.9.В сельских населенных пунктах следует:</w:t>
      </w:r>
    </w:p>
    <w:p>
      <w:pPr>
        <w:pStyle w:val="ConsPlusNormal2"/>
        <w:ind w:left="0" w:right="0" w:firstLine="540"/>
        <w:rPr>
          <w:rFonts w:cs="Arial"/>
          <w:sz w:val="24"/>
          <w:szCs w:val="24"/>
        </w:rPr>
      </w:pPr>
      <w:r>
        <w:rPr>
          <w:rFonts w:cs="Arial"/>
          <w:sz w:val="24"/>
          <w:szCs w:val="24"/>
        </w:rPr>
        <w:t>- проектировать централизованные системы водоснабжения для населенных пунктов и сельскохозяйственных объектов;</w:t>
      </w:r>
    </w:p>
    <w:p>
      <w:pPr>
        <w:pStyle w:val="ConsPlusNormal2"/>
        <w:ind w:left="0" w:right="0" w:firstLine="540"/>
        <w:rPr>
          <w:rFonts w:cs="Arial"/>
          <w:sz w:val="24"/>
          <w:szCs w:val="24"/>
        </w:rPr>
      </w:pPr>
      <w:r>
        <w:rPr>
          <w:rFonts w:cs="Arial"/>
          <w:sz w:val="24"/>
          <w:szCs w:val="24"/>
        </w:rPr>
        <w:t>- предусматривать реконструкцию существующих водозаборных сооружений (водозаборных скважин, шахтных колодцев и других) для сохраняемых на расчетный период сельских населенных пунктов;</w:t>
      </w:r>
    </w:p>
    <w:p>
      <w:pPr>
        <w:pStyle w:val="ConsPlusNormal2"/>
        <w:ind w:left="0" w:right="0" w:firstLine="540"/>
        <w:rPr>
          <w:rFonts w:cs="Arial"/>
          <w:sz w:val="24"/>
          <w:szCs w:val="24"/>
        </w:rPr>
      </w:pPr>
      <w:r>
        <w:rPr>
          <w:rFonts w:cs="Arial"/>
          <w:sz w:val="24"/>
          <w:szCs w:val="24"/>
        </w:rPr>
        <w:t>- рассматривать целесообразность устройства для поливки приусадебных участков отдельных сезонных водопроводов с использованием местных источников и оросительных систем, непригодных в качестве источника хозяйственно-питьевого водоснабжения.</w:t>
      </w:r>
    </w:p>
    <w:p>
      <w:pPr>
        <w:pStyle w:val="ConsPlusNormal2"/>
        <w:tabs>
          <w:tab w:val="left" w:pos="709" w:leader="none"/>
        </w:tabs>
        <w:suppressAutoHyphens w:val="false"/>
        <w:rPr>
          <w:rFonts w:cs="Arial"/>
          <w:sz w:val="24"/>
          <w:szCs w:val="24"/>
        </w:rPr>
      </w:pPr>
      <w:r>
        <w:rPr>
          <w:rFonts w:cs="Arial"/>
          <w:sz w:val="24"/>
          <w:szCs w:val="24"/>
        </w:rPr>
        <w:t>5.5.1.10.При проектировании новых и расширении существующих водозаборов должны учитываться условия взаимодействия их с существующими и проектируемыми водозаборами на соседних участках, а также их влияние на окружающую природную среду (поверхностный сток, растительность и другие).</w:t>
      </w:r>
    </w:p>
    <w:p>
      <w:pPr>
        <w:pStyle w:val="ConsPlusNormal2"/>
        <w:ind w:left="0" w:right="0" w:firstLine="540"/>
        <w:rPr>
          <w:rFonts w:cs="Arial"/>
          <w:sz w:val="24"/>
          <w:szCs w:val="24"/>
        </w:rPr>
      </w:pPr>
      <w:r>
        <w:rPr>
          <w:rFonts w:cs="Arial"/>
          <w:sz w:val="24"/>
          <w:szCs w:val="24"/>
        </w:rPr>
        <w:t>Водозаборные сооружения следует проектировать с учетом перспективного развития водопотребления.</w:t>
      </w:r>
    </w:p>
    <w:p>
      <w:pPr>
        <w:pStyle w:val="ConsPlusNormal2"/>
        <w:tabs>
          <w:tab w:val="left" w:pos="709" w:leader="none"/>
        </w:tabs>
        <w:suppressAutoHyphens w:val="false"/>
        <w:rPr>
          <w:rFonts w:cs="Arial"/>
          <w:sz w:val="24"/>
          <w:szCs w:val="24"/>
        </w:rPr>
      </w:pPr>
      <w:r>
        <w:rPr>
          <w:rFonts w:cs="Arial"/>
          <w:sz w:val="24"/>
          <w:szCs w:val="24"/>
        </w:rPr>
        <w:t>5.5.1.11.Водозаборы подземных вод должны располагаться вне территории промышленных предприятий и жилой застройки. Расположение на территории промышленного предприятия или жилой застройки возможно при соответствующем обосновании.</w:t>
      </w:r>
    </w:p>
    <w:p>
      <w:pPr>
        <w:pStyle w:val="ConsPlusNormal2"/>
        <w:ind w:left="0" w:right="0" w:firstLine="540"/>
        <w:rPr>
          <w:rFonts w:cs="Arial"/>
          <w:sz w:val="24"/>
          <w:szCs w:val="24"/>
        </w:rPr>
      </w:pPr>
      <w:r>
        <w:rPr>
          <w:rFonts w:cs="Arial"/>
          <w:sz w:val="24"/>
          <w:szCs w:val="24"/>
        </w:rPr>
        <w:t>В водозаборах подземных вод могут применяться водозаборные скважины, шахтные колодцы, горизонтальные водозаборы, комбинированные водозаборы, лучевые водозаборы, каптажи родников.</w:t>
      </w:r>
    </w:p>
    <w:p>
      <w:pPr>
        <w:pStyle w:val="ConsPlusNormal2"/>
        <w:tabs>
          <w:tab w:val="left" w:pos="709" w:leader="none"/>
        </w:tabs>
        <w:suppressAutoHyphens w:val="false"/>
        <w:rPr>
          <w:rFonts w:cs="Arial"/>
          <w:sz w:val="24"/>
          <w:szCs w:val="24"/>
        </w:rPr>
      </w:pPr>
      <w:r>
        <w:rPr>
          <w:rFonts w:cs="Arial"/>
          <w:sz w:val="24"/>
          <w:szCs w:val="24"/>
        </w:rPr>
        <w:t>5.5.1.12.Место расположения водоприемников для водозаборов хозяйственно-питьевого водоснабжения должно приниматься выше по течению водотока выпусков сточных вод населенных пунктов, на территории, обеспечивающей организацию зон санитарной охраны.</w:t>
      </w:r>
    </w:p>
    <w:p>
      <w:pPr>
        <w:pStyle w:val="ConsPlusNormal2"/>
        <w:tabs>
          <w:tab w:val="left" w:pos="709" w:leader="none"/>
        </w:tabs>
        <w:suppressAutoHyphens w:val="false"/>
        <w:rPr>
          <w:rFonts w:cs="Arial"/>
          <w:sz w:val="24"/>
          <w:szCs w:val="24"/>
        </w:rPr>
      </w:pPr>
      <w:r>
        <w:rPr>
          <w:rFonts w:cs="Arial"/>
          <w:sz w:val="24"/>
          <w:szCs w:val="24"/>
        </w:rPr>
        <w:t>5.5.1.13.При использовании вод для питьевых и хозяйственно-бытовых нужд должны проводиться мероприятия по водоподготовке, в том числе осветление и обесцвечивание, обеззараживание, специальная обработка для удаления органических веществ, снижения интенсивности привкусов и запахов, стабилизационная обработка для защиты водопроводных труб и оборудования от коррозии и образования отложений, обезжелезивание, фторирование, очистка от марганца, фтора и сероводорода, умягчение воды.</w:t>
      </w:r>
    </w:p>
    <w:p>
      <w:pPr>
        <w:pStyle w:val="ConsPlusNormal2"/>
        <w:ind w:left="0" w:right="0" w:firstLine="540"/>
        <w:rPr>
          <w:rFonts w:cs="Arial"/>
          <w:sz w:val="24"/>
          <w:szCs w:val="24"/>
        </w:rPr>
      </w:pPr>
      <w:r>
        <w:rPr>
          <w:rFonts w:cs="Arial"/>
          <w:sz w:val="24"/>
          <w:szCs w:val="24"/>
        </w:rPr>
        <w:t>Методы обработки воды и расчетные параметры сооружений водоподготовки следует устанавливать в зависимости от качества воды в источнике водоснабжения, назначения водопровода, производительности станции водоподготовки и местных условий на основании данных технологических изысканий и опыта эксплуатации сооружений, работающих в аналогичных условиях.</w:t>
      </w:r>
    </w:p>
    <w:p>
      <w:pPr>
        <w:pStyle w:val="ConsPlusNormal2"/>
        <w:ind w:left="0" w:right="0" w:firstLine="540"/>
        <w:rPr>
          <w:rFonts w:cs="Arial"/>
          <w:sz w:val="24"/>
          <w:szCs w:val="24"/>
        </w:rPr>
      </w:pPr>
      <w:r>
        <w:rPr>
          <w:rFonts w:cs="Arial"/>
          <w:sz w:val="24"/>
          <w:szCs w:val="24"/>
        </w:rPr>
        <w:t>Коммуникации станций водоподготовки следует рассчитывать на возможность пропуска расхода воды на 20 - 30 процентов больше расчетного.</w:t>
      </w:r>
    </w:p>
    <w:p>
      <w:pPr>
        <w:pStyle w:val="ConsPlusNormal2"/>
        <w:ind w:left="0" w:right="0" w:firstLine="540"/>
        <w:rPr>
          <w:rFonts w:cs="Arial"/>
          <w:sz w:val="24"/>
          <w:szCs w:val="24"/>
        </w:rPr>
      </w:pPr>
      <w:r>
        <w:rPr>
          <w:rFonts w:cs="Arial"/>
          <w:sz w:val="24"/>
          <w:szCs w:val="24"/>
        </w:rPr>
        <w:t>Сооружения водоподготовки следует располагать по естественному склону местности с учетом потерь напора в сооружениях, соединительных коммуникациях и измерительных устройствах.</w:t>
      </w:r>
    </w:p>
    <w:p>
      <w:pPr>
        <w:pStyle w:val="ConsPlusNormal2"/>
        <w:ind w:left="0" w:right="0" w:firstLine="540"/>
        <w:rPr>
          <w:rFonts w:cs="Arial"/>
          <w:sz w:val="24"/>
          <w:szCs w:val="24"/>
        </w:rPr>
      </w:pPr>
      <w:r>
        <w:rPr>
          <w:rFonts w:cs="Arial"/>
          <w:sz w:val="24"/>
          <w:szCs w:val="24"/>
        </w:rPr>
        <w:t>Для обеспечения гарантированного, стабильного качества и улучшения химического состава питьевой воды в жилых домах, лечебно-профилактических, а также детских учреждениях предусматривать отдельную систему разбора воды для питья и приготовления пищи и устанавливать на входе в эту систему фильтры тонкой очистки промышленного производства, соответствующие государственным стандартам Российской Федерации и имеющие сертификаты соответствия санитарно-гигиеническим требованиям Российской Федерации.</w:t>
      </w:r>
    </w:p>
    <w:p>
      <w:pPr>
        <w:pStyle w:val="ConsPlusNormal2"/>
        <w:tabs>
          <w:tab w:val="left" w:pos="709" w:leader="none"/>
        </w:tabs>
        <w:suppressAutoHyphens w:val="false"/>
        <w:rPr>
          <w:rFonts w:cs="Arial"/>
          <w:sz w:val="24"/>
          <w:szCs w:val="24"/>
        </w:rPr>
      </w:pPr>
      <w:r>
        <w:rPr>
          <w:rFonts w:cs="Arial"/>
          <w:sz w:val="24"/>
          <w:szCs w:val="24"/>
        </w:rPr>
        <w:t>5.5.1.14.Водоводы и водопроводные сети следует проектировать с уклоном не менее 0,001 по направлению к выпуску.</w:t>
      </w:r>
    </w:p>
    <w:p>
      <w:pPr>
        <w:pStyle w:val="ConsPlusNormal2"/>
        <w:tabs>
          <w:tab w:val="left" w:pos="709" w:leader="none"/>
        </w:tabs>
        <w:suppressAutoHyphens w:val="false"/>
        <w:rPr>
          <w:rFonts w:cs="Arial"/>
          <w:sz w:val="24"/>
          <w:szCs w:val="24"/>
        </w:rPr>
      </w:pPr>
      <w:r>
        <w:rPr>
          <w:rFonts w:cs="Arial"/>
          <w:sz w:val="24"/>
          <w:szCs w:val="24"/>
        </w:rPr>
        <w:t>5.5.1.15.Количество линий водоводов следует принимать с учетом категории системы водоснабжения и очередности строительства.</w:t>
      </w:r>
    </w:p>
    <w:p>
      <w:pPr>
        <w:pStyle w:val="ConsPlusNormal2"/>
        <w:tabs>
          <w:tab w:val="left" w:pos="709" w:leader="none"/>
        </w:tabs>
        <w:suppressAutoHyphens w:val="false"/>
        <w:rPr>
          <w:rFonts w:cs="Arial"/>
          <w:sz w:val="24"/>
          <w:szCs w:val="24"/>
        </w:rPr>
      </w:pPr>
      <w:r>
        <w:rPr>
          <w:rFonts w:cs="Arial"/>
          <w:sz w:val="24"/>
          <w:szCs w:val="24"/>
        </w:rPr>
        <w:t>5.5.1.16.Водопроводные сети должны быть кольцевыми. Тупиковые линии водопроводов допускается применять:</w:t>
      </w:r>
    </w:p>
    <w:p>
      <w:pPr>
        <w:pStyle w:val="ConsPlusNormal2"/>
        <w:ind w:left="0" w:right="0" w:firstLine="540"/>
        <w:rPr>
          <w:rFonts w:cs="Arial"/>
          <w:sz w:val="24"/>
          <w:szCs w:val="24"/>
        </w:rPr>
      </w:pPr>
      <w:r>
        <w:rPr>
          <w:rFonts w:cs="Arial"/>
          <w:sz w:val="24"/>
          <w:szCs w:val="24"/>
        </w:rPr>
        <w:t>- для подачи воды на производственные нужды - при допустимости перерыва в водоснабжении на время ликвидации аварии;</w:t>
      </w:r>
    </w:p>
    <w:p>
      <w:pPr>
        <w:pStyle w:val="ConsPlusNormal2"/>
        <w:ind w:left="0" w:right="0" w:firstLine="540"/>
        <w:rPr>
          <w:rFonts w:cs="Arial"/>
          <w:sz w:val="24"/>
          <w:szCs w:val="24"/>
        </w:rPr>
      </w:pPr>
      <w:r>
        <w:rPr>
          <w:rFonts w:cs="Arial"/>
          <w:sz w:val="24"/>
          <w:szCs w:val="24"/>
        </w:rPr>
        <w:t>- для подачи воды на хозяйственно-питьевые нужды - при диаметре труб не больше 100 мм;</w:t>
      </w:r>
    </w:p>
    <w:p>
      <w:pPr>
        <w:pStyle w:val="ConsPlusNormal2"/>
        <w:ind w:left="0" w:right="0" w:firstLine="540"/>
        <w:rPr>
          <w:rFonts w:cs="Arial"/>
          <w:sz w:val="24"/>
          <w:szCs w:val="24"/>
        </w:rPr>
      </w:pPr>
      <w:r>
        <w:rPr>
          <w:rFonts w:cs="Arial"/>
          <w:sz w:val="24"/>
          <w:szCs w:val="24"/>
        </w:rPr>
        <w:t>- для подачи воды на противопожарные или на хозяйственно-противопожарные нужды независимо от расхода воды на пожаротушение - при длине линий не больше 200 м.</w:t>
      </w:r>
    </w:p>
    <w:p>
      <w:pPr>
        <w:pStyle w:val="ConsPlusNormal2"/>
        <w:ind w:left="0" w:right="0" w:firstLine="540"/>
        <w:rPr>
          <w:rFonts w:cs="Arial"/>
          <w:sz w:val="24"/>
          <w:szCs w:val="24"/>
        </w:rPr>
      </w:pPr>
      <w:r>
        <w:rPr>
          <w:rFonts w:cs="Arial"/>
          <w:sz w:val="24"/>
          <w:szCs w:val="24"/>
        </w:rPr>
        <w:t>Кольцевание наружных водопроводных сетей внутренними водопроводными сетями зданий и сооружений не допускается.</w:t>
      </w:r>
    </w:p>
    <w:p>
      <w:pPr>
        <w:pStyle w:val="ConsPlusNormal2"/>
        <w:ind w:left="0" w:right="0" w:firstLine="540"/>
        <w:rPr>
          <w:rFonts w:cs="Arial"/>
          <w:sz w:val="24"/>
          <w:szCs w:val="24"/>
        </w:rPr>
      </w:pPr>
      <w:r>
        <w:rPr>
          <w:rFonts w:cs="Arial"/>
          <w:sz w:val="24"/>
          <w:szCs w:val="24"/>
        </w:rPr>
        <w:t>В населенных пунктах с числом жителей до 5 тысяч человек и расходом воды на наружное пожаротушение до 10 л/с или при количестве внутренних пожарных кранов в здании до 12 допускаются тупиковые линии длиной более 200 м при условии устройства противопожарных резервуаров или водоемов, водонапорной башни или контррезервуара в конце тупика.</w:t>
      </w:r>
    </w:p>
    <w:p>
      <w:pPr>
        <w:pStyle w:val="ConsPlusNormal2"/>
        <w:tabs>
          <w:tab w:val="left" w:pos="709" w:leader="none"/>
        </w:tabs>
        <w:suppressAutoHyphens w:val="false"/>
        <w:rPr>
          <w:rFonts w:cs="Arial"/>
          <w:sz w:val="24"/>
          <w:szCs w:val="24"/>
        </w:rPr>
      </w:pPr>
      <w:r>
        <w:rPr>
          <w:rFonts w:cs="Arial"/>
          <w:sz w:val="24"/>
          <w:szCs w:val="24"/>
        </w:rPr>
        <w:t>5.5.1.17.Попутные отборы воды допускаются из линии внутриквартальной (распределительной) сети и непосредственно из питающих их водопроводов и магистралей.</w:t>
      </w:r>
    </w:p>
    <w:p>
      <w:pPr>
        <w:pStyle w:val="ConsPlusNormal2"/>
        <w:ind w:left="0" w:right="0" w:firstLine="540"/>
        <w:rPr>
          <w:rFonts w:cs="Arial"/>
          <w:sz w:val="24"/>
          <w:szCs w:val="24"/>
        </w:rPr>
      </w:pPr>
      <w:r>
        <w:rPr>
          <w:rFonts w:cs="Arial"/>
          <w:sz w:val="24"/>
          <w:szCs w:val="24"/>
        </w:rPr>
        <w:t>Устройство сопроводительных линий для присоединения попутных потребителей допускается при диаметре магистральных линий и водопроводов 800 мм и более и транзитном расходе не менее 80 процентов суммарного расхода.</w:t>
      </w:r>
    </w:p>
    <w:p>
      <w:pPr>
        <w:pStyle w:val="ConsPlusNormal2"/>
        <w:tabs>
          <w:tab w:val="left" w:pos="709" w:leader="none"/>
        </w:tabs>
        <w:suppressAutoHyphens w:val="false"/>
        <w:rPr>
          <w:rFonts w:cs="Arial"/>
          <w:sz w:val="24"/>
          <w:szCs w:val="24"/>
        </w:rPr>
      </w:pPr>
      <w:r>
        <w:rPr>
          <w:rFonts w:cs="Arial"/>
          <w:sz w:val="24"/>
          <w:szCs w:val="24"/>
        </w:rPr>
        <w:t>5.5.1.18.Соединение сетей хозяйственно-питьевых водопроводов с сетями водопроводов, подающих воду непитьевого качества, не допускается.</w:t>
      </w:r>
    </w:p>
    <w:p>
      <w:pPr>
        <w:pStyle w:val="ConsPlusNormal2"/>
        <w:tabs>
          <w:tab w:val="left" w:pos="709" w:leader="none"/>
        </w:tabs>
        <w:suppressAutoHyphens w:val="false"/>
        <w:rPr>
          <w:rFonts w:cs="Arial"/>
          <w:sz w:val="24"/>
          <w:szCs w:val="24"/>
        </w:rPr>
      </w:pPr>
      <w:r>
        <w:rPr>
          <w:rFonts w:cs="Arial"/>
          <w:sz w:val="24"/>
          <w:szCs w:val="24"/>
        </w:rPr>
        <w:t>5.5.1.19.Противопожарный водопровод должен предусматриваться в сельских населенных пунктах и объединяться с хозяйственно-питьевым или производственным водопроводом.</w:t>
      </w:r>
    </w:p>
    <w:p>
      <w:pPr>
        <w:pStyle w:val="ConsPlusNormal2"/>
        <w:ind w:left="0" w:right="0" w:firstLine="540"/>
        <w:rPr>
          <w:rFonts w:cs="Arial"/>
          <w:sz w:val="24"/>
          <w:szCs w:val="24"/>
        </w:rPr>
      </w:pPr>
      <w:r>
        <w:rPr>
          <w:rFonts w:cs="Arial"/>
          <w:sz w:val="24"/>
          <w:szCs w:val="24"/>
        </w:rPr>
        <w:t>Допускается принимать наружное противопожарное водоснабжение из емкостей (резервуаров, водоемов) с учетом требований настоящего раздела для:</w:t>
      </w:r>
    </w:p>
    <w:p>
      <w:pPr>
        <w:pStyle w:val="ConsPlusNormal2"/>
        <w:ind w:left="0" w:right="0" w:firstLine="540"/>
        <w:rPr>
          <w:rFonts w:cs="Arial"/>
          <w:sz w:val="24"/>
          <w:szCs w:val="24"/>
        </w:rPr>
      </w:pPr>
      <w:r>
        <w:rPr>
          <w:rFonts w:cs="Arial"/>
          <w:sz w:val="24"/>
          <w:szCs w:val="24"/>
        </w:rPr>
        <w:t>- населенных пунктов с числом жителей до 5 тысяч человек;</w:t>
      </w:r>
    </w:p>
    <w:p>
      <w:pPr>
        <w:pStyle w:val="ConsPlusNormal2"/>
        <w:ind w:left="0" w:right="0" w:firstLine="540"/>
        <w:rPr>
          <w:rFonts w:cs="Arial"/>
          <w:sz w:val="24"/>
          <w:szCs w:val="24"/>
        </w:rPr>
      </w:pPr>
      <w:r>
        <w:rPr>
          <w:rFonts w:cs="Arial"/>
          <w:sz w:val="24"/>
          <w:szCs w:val="24"/>
        </w:rPr>
        <w:t>- отдельно стоящих общественных зданий объемом до 1000 куб. м, расположенных в населенных пунктах, не имеющих кольцевого противопожарного водопровода;</w:t>
      </w:r>
    </w:p>
    <w:p>
      <w:pPr>
        <w:pStyle w:val="ConsPlusNormal2"/>
        <w:ind w:left="0" w:right="0" w:firstLine="540"/>
        <w:rPr>
          <w:rFonts w:cs="Arial"/>
          <w:sz w:val="24"/>
          <w:szCs w:val="24"/>
        </w:rPr>
      </w:pPr>
      <w:r>
        <w:rPr>
          <w:rFonts w:cs="Arial"/>
          <w:sz w:val="24"/>
          <w:szCs w:val="24"/>
        </w:rPr>
        <w:t>- при объеме зданий свыше 1000 куб. м - по согласованию с противопожарной службой;</w:t>
      </w:r>
    </w:p>
    <w:p>
      <w:pPr>
        <w:pStyle w:val="ConsPlusNormal2"/>
        <w:ind w:left="0" w:right="0" w:firstLine="540"/>
        <w:rPr>
          <w:rFonts w:cs="Arial"/>
          <w:sz w:val="24"/>
          <w:szCs w:val="24"/>
        </w:rPr>
      </w:pPr>
      <w:r>
        <w:rPr>
          <w:rFonts w:cs="Arial"/>
          <w:sz w:val="24"/>
          <w:szCs w:val="24"/>
        </w:rPr>
        <w:t>- производственных зданий с производствами категорий В, Г и Д при расходе воды на наружное пожаротушение 10 л/с;</w:t>
      </w:r>
    </w:p>
    <w:p>
      <w:pPr>
        <w:pStyle w:val="ConsPlusNormal2"/>
        <w:ind w:left="0" w:right="0" w:firstLine="540"/>
        <w:rPr>
          <w:rFonts w:cs="Arial"/>
          <w:sz w:val="24"/>
          <w:szCs w:val="24"/>
        </w:rPr>
      </w:pPr>
      <w:r>
        <w:rPr>
          <w:rFonts w:cs="Arial"/>
          <w:sz w:val="24"/>
          <w:szCs w:val="24"/>
        </w:rPr>
        <w:t>- складов грубых кормов объемом до 1000 куб. м;</w:t>
      </w:r>
    </w:p>
    <w:p>
      <w:pPr>
        <w:pStyle w:val="ConsPlusNormal2"/>
        <w:ind w:left="0" w:right="0" w:firstLine="540"/>
        <w:rPr>
          <w:rFonts w:cs="Arial"/>
          <w:sz w:val="24"/>
          <w:szCs w:val="24"/>
        </w:rPr>
      </w:pPr>
      <w:r>
        <w:rPr>
          <w:rFonts w:cs="Arial"/>
          <w:sz w:val="24"/>
          <w:szCs w:val="24"/>
        </w:rPr>
        <w:t>- складов минеральных удобрений объемом зданий до 5000 куб. м;</w:t>
      </w:r>
    </w:p>
    <w:p>
      <w:pPr>
        <w:pStyle w:val="ConsPlusNormal2"/>
        <w:ind w:left="0" w:right="0" w:firstLine="540"/>
        <w:rPr>
          <w:rFonts w:cs="Arial"/>
          <w:sz w:val="24"/>
          <w:szCs w:val="24"/>
        </w:rPr>
      </w:pPr>
      <w:r>
        <w:rPr>
          <w:rFonts w:cs="Arial"/>
          <w:sz w:val="24"/>
          <w:szCs w:val="24"/>
        </w:rPr>
        <w:t>- зданий радиотелевизионных передающих станций;</w:t>
      </w:r>
    </w:p>
    <w:p>
      <w:pPr>
        <w:pStyle w:val="ConsPlusNormal2"/>
        <w:ind w:left="0" w:right="0" w:firstLine="540"/>
        <w:rPr>
          <w:rFonts w:cs="Arial"/>
          <w:sz w:val="24"/>
          <w:szCs w:val="24"/>
        </w:rPr>
      </w:pPr>
      <w:r>
        <w:rPr>
          <w:rFonts w:cs="Arial"/>
          <w:sz w:val="24"/>
          <w:szCs w:val="24"/>
        </w:rPr>
        <w:t>- зданий холодильников и хранилищ овощей и фруктов.</w:t>
      </w:r>
    </w:p>
    <w:p>
      <w:pPr>
        <w:pStyle w:val="ConsPlusNormal2"/>
        <w:tabs>
          <w:tab w:val="left" w:pos="709" w:leader="none"/>
        </w:tabs>
        <w:suppressAutoHyphens w:val="false"/>
        <w:ind w:left="426" w:right="0" w:hanging="0"/>
        <w:rPr>
          <w:rFonts w:cs="Arial"/>
          <w:sz w:val="24"/>
          <w:szCs w:val="24"/>
        </w:rPr>
      </w:pPr>
      <w:r>
        <w:rPr>
          <w:rFonts w:cs="Arial"/>
          <w:sz w:val="24"/>
          <w:szCs w:val="24"/>
        </w:rPr>
        <w:t>5.5.1.20.Допускается не предусматривать противопожарное водоснабжение:</w:t>
      </w:r>
    </w:p>
    <w:p>
      <w:pPr>
        <w:pStyle w:val="ConsPlusNormal2"/>
        <w:ind w:left="0" w:right="0" w:firstLine="540"/>
        <w:rPr>
          <w:rFonts w:cs="Arial"/>
          <w:sz w:val="24"/>
          <w:szCs w:val="24"/>
        </w:rPr>
      </w:pPr>
      <w:r>
        <w:rPr>
          <w:rFonts w:cs="Arial"/>
          <w:sz w:val="24"/>
          <w:szCs w:val="24"/>
        </w:rPr>
        <w:t>- населенных пунктов с числом жителей до 50 человек при застройке зданиями высотой до двух этажей;</w:t>
      </w:r>
    </w:p>
    <w:p>
      <w:pPr>
        <w:pStyle w:val="ConsPlusNormal2"/>
        <w:ind w:left="0" w:right="0" w:firstLine="540"/>
        <w:rPr>
          <w:rFonts w:cs="Arial"/>
          <w:sz w:val="24"/>
          <w:szCs w:val="24"/>
        </w:rPr>
      </w:pPr>
      <w:r>
        <w:rPr>
          <w:rFonts w:cs="Arial"/>
          <w:sz w:val="24"/>
          <w:szCs w:val="24"/>
        </w:rPr>
        <w:t>- отдельно стоящих, расположенных вне населенных пунктов, предприятий общественного питания при объеме зданий до 1000 куб. м и предприятий торговли при площади до 150 кв. м (за исключением промтоварных магазинов), а также общественных зданий I и II степеней огнестойкости объемом до 250 куб. м, расположенных в населенных пунктах;</w:t>
      </w:r>
    </w:p>
    <w:p>
      <w:pPr>
        <w:pStyle w:val="ConsPlusNormal2"/>
        <w:ind w:left="0" w:right="0" w:firstLine="540"/>
        <w:rPr>
          <w:rFonts w:cs="Arial"/>
          <w:sz w:val="24"/>
          <w:szCs w:val="24"/>
        </w:rPr>
      </w:pPr>
      <w:r>
        <w:rPr>
          <w:rFonts w:cs="Arial"/>
          <w:sz w:val="24"/>
          <w:szCs w:val="24"/>
        </w:rPr>
        <w:t>- производственных зданий I и II степеней огнестойкости объемом до 1000 куб. м (за исключением зданий с металлическими незащищенными или деревянными несущими конструкциями, а также с полимерным утеплителем объемом до 250 куб. м) с производствами категории Д;</w:t>
      </w:r>
    </w:p>
    <w:p>
      <w:pPr>
        <w:pStyle w:val="ConsPlusNormal2"/>
        <w:ind w:left="0" w:right="0" w:firstLine="540"/>
        <w:rPr>
          <w:rFonts w:cs="Arial"/>
          <w:sz w:val="24"/>
          <w:szCs w:val="24"/>
        </w:rPr>
      </w:pPr>
      <w:r>
        <w:rPr>
          <w:rFonts w:cs="Arial"/>
          <w:sz w:val="24"/>
          <w:szCs w:val="24"/>
        </w:rPr>
        <w:t>- заводов по изготовлению железобетонных изделий и товарного бетона со зданиями I и II степеней огнестойкости, размещаемых в населенных пунктах, оборудованных сетями водопровода при условии размещения гидрантов на расстоянии не более 200 м от наиболее удаленного здания завода;</w:t>
      </w:r>
    </w:p>
    <w:p>
      <w:pPr>
        <w:pStyle w:val="ConsPlusNormal2"/>
        <w:ind w:left="0" w:right="0" w:firstLine="540"/>
        <w:rPr>
          <w:rFonts w:cs="Arial"/>
          <w:sz w:val="24"/>
          <w:szCs w:val="24"/>
        </w:rPr>
      </w:pPr>
      <w:r>
        <w:rPr>
          <w:rFonts w:cs="Arial"/>
          <w:sz w:val="24"/>
          <w:szCs w:val="24"/>
        </w:rPr>
        <w:t>- сезонных универсальных приемозаготовительных пунктов сельскохозяйственных продуктов при объеме зданий до 1000 куб. м;</w:t>
      </w:r>
    </w:p>
    <w:p>
      <w:pPr>
        <w:pStyle w:val="ConsPlusNormal2"/>
        <w:ind w:left="0" w:right="0" w:firstLine="540"/>
        <w:rPr>
          <w:rFonts w:cs="Arial"/>
          <w:sz w:val="24"/>
          <w:szCs w:val="24"/>
        </w:rPr>
      </w:pPr>
      <w:r>
        <w:rPr>
          <w:rFonts w:cs="Arial"/>
          <w:sz w:val="24"/>
          <w:szCs w:val="24"/>
        </w:rPr>
        <w:t>- зданий складов сгораемых материалов и несгораемых материалов в сгораемой упаковке площадью до 50 кв. м.</w:t>
      </w:r>
    </w:p>
    <w:p>
      <w:pPr>
        <w:pStyle w:val="ConsPlusNormal2"/>
        <w:tabs>
          <w:tab w:val="left" w:pos="709" w:leader="none"/>
        </w:tabs>
        <w:suppressAutoHyphens w:val="false"/>
        <w:rPr>
          <w:rFonts w:cs="Arial"/>
          <w:sz w:val="24"/>
          <w:szCs w:val="24"/>
        </w:rPr>
      </w:pPr>
      <w:bookmarkStart w:id="87" w:name="P656"/>
      <w:bookmarkEnd w:id="87"/>
      <w:r>
        <w:rPr>
          <w:rFonts w:cs="Arial"/>
          <w:sz w:val="24"/>
          <w:szCs w:val="24"/>
        </w:rPr>
        <w:t>5.5.1.21.Емкости в системах водоснабжения в зависимости от назначения должны включать регулирующий, пожарный, аварийный и контактный объемы воды.</w:t>
      </w:r>
    </w:p>
    <w:p>
      <w:pPr>
        <w:pStyle w:val="ConsPlusNormal2"/>
        <w:tabs>
          <w:tab w:val="left" w:pos="709" w:leader="none"/>
        </w:tabs>
        <w:suppressAutoHyphens w:val="false"/>
        <w:rPr>
          <w:rFonts w:cs="Arial"/>
          <w:sz w:val="24"/>
          <w:szCs w:val="24"/>
        </w:rPr>
      </w:pPr>
      <w:r>
        <w:rPr>
          <w:rFonts w:cs="Arial"/>
          <w:sz w:val="24"/>
          <w:szCs w:val="24"/>
        </w:rPr>
        <w:t>5.5.1.22.Общее количество резервуаров одного назначения в одном водозаборном узле должно быть не менее двух.</w:t>
      </w:r>
    </w:p>
    <w:p>
      <w:pPr>
        <w:pStyle w:val="ConsPlusNormal2"/>
        <w:tabs>
          <w:tab w:val="left" w:pos="709" w:leader="none"/>
        </w:tabs>
        <w:suppressAutoHyphens w:val="false"/>
        <w:rPr>
          <w:rFonts w:cs="Arial"/>
          <w:sz w:val="24"/>
          <w:szCs w:val="24"/>
        </w:rPr>
      </w:pPr>
      <w:r>
        <w:rPr>
          <w:rFonts w:cs="Arial"/>
          <w:sz w:val="24"/>
          <w:szCs w:val="24"/>
        </w:rPr>
        <w:t>5.5.1.23.Для резервуаров и баков водонапорных башен должна предусматриваться возможность отбора воды автоцистернами и пожарными машинами.</w:t>
      </w:r>
    </w:p>
    <w:p>
      <w:pPr>
        <w:pStyle w:val="ConsPlusNormal2"/>
        <w:tabs>
          <w:tab w:val="left" w:pos="709" w:leader="none"/>
        </w:tabs>
        <w:suppressAutoHyphens w:val="false"/>
        <w:rPr>
          <w:rFonts w:cs="Arial"/>
          <w:sz w:val="24"/>
          <w:szCs w:val="24"/>
        </w:rPr>
      </w:pPr>
      <w:r>
        <w:rPr>
          <w:rFonts w:cs="Arial"/>
          <w:sz w:val="24"/>
          <w:szCs w:val="24"/>
        </w:rPr>
        <w:t>5.5.1.24.Хранение пожарного объема воды в специальных резервуарах или открытых водоемах допускается для предприятий и населенных пунктов, указанных в подпункте 5.5.1.20 настоящего раздела.</w:t>
      </w:r>
    </w:p>
    <w:p>
      <w:pPr>
        <w:pStyle w:val="ConsPlusNormal2"/>
        <w:tabs>
          <w:tab w:val="left" w:pos="709" w:leader="none"/>
        </w:tabs>
        <w:suppressAutoHyphens w:val="false"/>
        <w:rPr>
          <w:rFonts w:cs="Arial"/>
          <w:sz w:val="24"/>
          <w:szCs w:val="24"/>
        </w:rPr>
      </w:pPr>
      <w:r>
        <w:rPr>
          <w:rFonts w:cs="Arial"/>
          <w:sz w:val="24"/>
          <w:szCs w:val="24"/>
        </w:rPr>
        <w:t>5.5.1.25.Пожарные резервуары или водоемы следует размещать при условии обслуживания ими зданий, находящихся в радиусе:</w:t>
      </w:r>
    </w:p>
    <w:p>
      <w:pPr>
        <w:pStyle w:val="ConsPlusNormal2"/>
        <w:ind w:left="0" w:right="0" w:firstLine="540"/>
        <w:rPr>
          <w:rFonts w:cs="Arial"/>
          <w:sz w:val="24"/>
          <w:szCs w:val="24"/>
        </w:rPr>
      </w:pPr>
      <w:r>
        <w:rPr>
          <w:rFonts w:cs="Arial"/>
          <w:sz w:val="24"/>
          <w:szCs w:val="24"/>
        </w:rPr>
        <w:t>- при наличии автонасосов - 200 м;</w:t>
      </w:r>
    </w:p>
    <w:p>
      <w:pPr>
        <w:pStyle w:val="ConsPlusNormal2"/>
        <w:ind w:left="0" w:right="0" w:firstLine="540"/>
        <w:rPr>
          <w:rFonts w:cs="Arial"/>
          <w:sz w:val="24"/>
          <w:szCs w:val="24"/>
        </w:rPr>
      </w:pPr>
      <w:r>
        <w:rPr>
          <w:rFonts w:cs="Arial"/>
          <w:sz w:val="24"/>
          <w:szCs w:val="24"/>
        </w:rPr>
        <w:t>- при наличии мотопомп - 100 - 150 м.</w:t>
      </w:r>
    </w:p>
    <w:p>
      <w:pPr>
        <w:pStyle w:val="ConsPlusNormal2"/>
        <w:ind w:left="0" w:right="0" w:firstLine="540"/>
        <w:rPr>
          <w:rFonts w:cs="Arial"/>
          <w:sz w:val="24"/>
          <w:szCs w:val="24"/>
        </w:rPr>
      </w:pPr>
      <w:r>
        <w:rPr>
          <w:rFonts w:cs="Arial"/>
          <w:sz w:val="24"/>
          <w:szCs w:val="24"/>
        </w:rPr>
        <w:t>Для увеличения радиуса обслуживания допускается прокладка от резервуаров или водоемов тупиковых трубопроводов длиной не более 200 м.</w:t>
      </w:r>
    </w:p>
    <w:p>
      <w:pPr>
        <w:pStyle w:val="ConsPlusNormal2"/>
        <w:ind w:left="0" w:right="0" w:firstLine="540"/>
        <w:rPr>
          <w:rFonts w:cs="Arial"/>
          <w:sz w:val="24"/>
          <w:szCs w:val="24"/>
        </w:rPr>
      </w:pPr>
      <w:r>
        <w:rPr>
          <w:rFonts w:cs="Arial"/>
          <w:sz w:val="24"/>
          <w:szCs w:val="24"/>
        </w:rPr>
        <w:t>Если непосредственный забор воды из пожарного резервуара или водоема</w:t>
      </w:r>
    </w:p>
    <w:p>
      <w:pPr>
        <w:pStyle w:val="ConsPlusNormal2"/>
        <w:ind w:left="0" w:right="0" w:firstLine="540"/>
        <w:rPr>
          <w:rFonts w:cs="Arial"/>
          <w:sz w:val="24"/>
          <w:szCs w:val="24"/>
        </w:rPr>
      </w:pPr>
      <w:r>
        <w:rPr>
          <w:rFonts w:cs="Arial"/>
          <w:sz w:val="24"/>
          <w:szCs w:val="24"/>
        </w:rPr>
        <w:t>автонасосами или мотопомпами затруднен, следует предусматривать приемные колодцы объемом 3 - 5 куб. м.</w:t>
      </w:r>
    </w:p>
    <w:p>
      <w:pPr>
        <w:pStyle w:val="ConsPlusNormal2"/>
        <w:ind w:left="0" w:right="0" w:firstLine="540"/>
        <w:rPr>
          <w:rFonts w:cs="Arial"/>
          <w:sz w:val="24"/>
          <w:szCs w:val="24"/>
        </w:rPr>
      </w:pPr>
      <w:r>
        <w:rPr>
          <w:rFonts w:cs="Arial"/>
          <w:sz w:val="24"/>
          <w:szCs w:val="24"/>
        </w:rPr>
        <w:t>Подача воды в любую точку пожара должна обеспечиваться из двух соседних резервуаров или водоемов.</w:t>
      </w:r>
    </w:p>
    <w:p>
      <w:pPr>
        <w:pStyle w:val="ConsPlusNormal2"/>
        <w:tabs>
          <w:tab w:val="left" w:pos="709" w:leader="none"/>
        </w:tabs>
        <w:suppressAutoHyphens w:val="false"/>
        <w:rPr>
          <w:rFonts w:cs="Arial"/>
          <w:sz w:val="24"/>
          <w:szCs w:val="24"/>
        </w:rPr>
      </w:pPr>
      <w:r>
        <w:rPr>
          <w:rFonts w:cs="Arial"/>
          <w:sz w:val="24"/>
          <w:szCs w:val="24"/>
        </w:rPr>
        <w:t>5.5.1.26.Расстояние от точки забора воды из резервуаров или водоемов до зданий III, IV и V степеней огнестойкости и до открытых складов сгораемых материалов должно быть не менее 30 м, до зданий I и II степеней огнестойкости - не менее 10 м.</w:t>
      </w:r>
    </w:p>
    <w:p>
      <w:pPr>
        <w:pStyle w:val="ConsPlusNormal2"/>
        <w:tabs>
          <w:tab w:val="left" w:pos="709" w:leader="none"/>
        </w:tabs>
        <w:suppressAutoHyphens w:val="false"/>
        <w:rPr>
          <w:rFonts w:cs="Arial"/>
          <w:sz w:val="24"/>
          <w:szCs w:val="24"/>
        </w:rPr>
      </w:pPr>
      <w:r>
        <w:rPr>
          <w:rFonts w:cs="Arial"/>
          <w:sz w:val="24"/>
          <w:szCs w:val="24"/>
        </w:rPr>
        <w:t>5.5.1.27.К зданиям и сооружениям водопровода, расположенным вне населенных пунктов и предприятий, а также в пределах первого пояса зоны санитарной охраны водозаборов подземных вод, следует предусматривать подъезды и проезды с облегченным усовершенствованным покрытием.</w:t>
      </w:r>
    </w:p>
    <w:p>
      <w:pPr>
        <w:pStyle w:val="ConsPlusNormal2"/>
        <w:ind w:left="0" w:right="0" w:firstLine="540"/>
        <w:rPr>
          <w:rFonts w:cs="Arial"/>
          <w:sz w:val="24"/>
          <w:szCs w:val="24"/>
        </w:rPr>
      </w:pPr>
      <w:r>
        <w:rPr>
          <w:rFonts w:cs="Arial"/>
          <w:sz w:val="24"/>
          <w:szCs w:val="24"/>
        </w:rPr>
        <w:t>К пожарным резервуарам, водоемам и приемным колодцам должен быть обеспечен свободный подъезд пожарных машин. У мест расположения пожарных резервуаров и водоемов должны быть предусмотрены указатели.</w:t>
      </w:r>
    </w:p>
    <w:p>
      <w:pPr>
        <w:pStyle w:val="ConsPlusNormal2"/>
        <w:tabs>
          <w:tab w:val="left" w:pos="709" w:leader="none"/>
        </w:tabs>
        <w:suppressAutoHyphens w:val="false"/>
        <w:rPr>
          <w:rFonts w:cs="Arial"/>
          <w:sz w:val="24"/>
          <w:szCs w:val="24"/>
        </w:rPr>
      </w:pPr>
      <w:r>
        <w:rPr>
          <w:rFonts w:cs="Arial"/>
          <w:sz w:val="24"/>
          <w:szCs w:val="24"/>
        </w:rPr>
        <w:t>5.5.1.28.Водопроводные сооружения должны иметь ограждения.</w:t>
      </w:r>
    </w:p>
    <w:p>
      <w:pPr>
        <w:pStyle w:val="ConsPlusNormal2"/>
        <w:ind w:left="0" w:right="0" w:firstLine="540"/>
        <w:rPr>
          <w:rFonts w:cs="Arial"/>
          <w:sz w:val="24"/>
          <w:szCs w:val="24"/>
        </w:rPr>
      </w:pPr>
      <w:r>
        <w:rPr>
          <w:rFonts w:cs="Arial"/>
          <w:sz w:val="24"/>
          <w:szCs w:val="24"/>
        </w:rPr>
        <w:t>Для площадок станций водоподготовки, насосных станций, резервуаров и водонапорных башен с зонами санитарной охраны первого пояса следует принимать глухое ограждение высотой 2,5 м. Допускается предусматривать ограждение на высоту 2 м - глухое и на 0,5 м - из колючей проволоки или металлической сетки, при этом во всех случаях должна предусматриваться колючая проволока в 4 - 5 нитей на кронштейнах с внутренней стороны ограждения.</w:t>
      </w:r>
    </w:p>
    <w:p>
      <w:pPr>
        <w:pStyle w:val="ConsPlusNormal2"/>
        <w:ind w:left="0" w:right="0" w:firstLine="540"/>
        <w:rPr/>
      </w:pPr>
      <w:r>
        <w:rPr>
          <w:rFonts w:cs="Arial"/>
          <w:sz w:val="24"/>
          <w:szCs w:val="24"/>
        </w:rPr>
        <w:t>Примыкание к ограждению строений, кроме проходных и административно-бытовых зданий, не допускается.</w:t>
      </w:r>
      <w:r>
        <w:rPr>
          <w:rFonts w:cs="Arial"/>
          <w:color w:val="2D2D2D"/>
          <w:spacing w:val="2"/>
          <w:sz w:val="24"/>
          <w:szCs w:val="24"/>
          <w:shd w:fill="FFFFFF" w:val="clear"/>
        </w:rPr>
        <w:t xml:space="preserve"> </w:t>
      </w:r>
    </w:p>
    <w:p>
      <w:pPr>
        <w:pStyle w:val="ConsPlusNormal2"/>
        <w:ind w:left="0" w:right="0" w:firstLine="540"/>
        <w:rPr>
          <w:rFonts w:cs="Arial"/>
          <w:sz w:val="24"/>
          <w:szCs w:val="24"/>
        </w:rPr>
      </w:pPr>
      <w:r>
        <w:rPr>
          <w:rFonts w:cs="Arial"/>
          <w:sz w:val="24"/>
          <w:szCs w:val="24"/>
        </w:rPr>
        <w:t>Для площадок сооружений забора подземной и поверхностной воды, насосных станций первого подъема и подкачки необработанной воды, а также для площадок сооружений хозяйственно-питьевого водопровода, размещаемых на территории предприятий, имеющих ограждение и сторожевую охрану, тип ограждений принимается с учетом местных условий.</w:t>
      </w:r>
    </w:p>
    <w:p>
      <w:pPr>
        <w:pStyle w:val="ConsPlusNormal2"/>
        <w:ind w:left="0" w:right="0" w:firstLine="540"/>
        <w:rPr>
          <w:rFonts w:cs="Arial"/>
          <w:sz w:val="24"/>
          <w:szCs w:val="24"/>
        </w:rPr>
      </w:pPr>
      <w:r>
        <w:rPr>
          <w:rFonts w:cs="Arial"/>
          <w:sz w:val="24"/>
          <w:szCs w:val="24"/>
        </w:rPr>
        <w:t>Примечание - Ограждение насосных станций, работающих без разрыва струи (при отсутствии резервуаров), и водонапорных башен с глухим стволом, расположенных на территории предприятий или населенных пунктов, а также шламонакопителей станций водоподготовки допускается не предусматривать.</w:t>
      </w:r>
    </w:p>
    <w:p>
      <w:pPr>
        <w:pStyle w:val="ConsPlusNormal2"/>
        <w:tabs>
          <w:tab w:val="left" w:pos="709" w:leader="none"/>
        </w:tabs>
        <w:suppressAutoHyphens w:val="false"/>
        <w:rPr>
          <w:rFonts w:cs="Arial"/>
          <w:sz w:val="24"/>
          <w:szCs w:val="24"/>
        </w:rPr>
      </w:pPr>
      <w:r>
        <w:rPr>
          <w:rFonts w:cs="Arial"/>
          <w:sz w:val="24"/>
          <w:szCs w:val="24"/>
        </w:rPr>
        <w:t>5.5.1.29.В проектах хозяйственно-питьевых и объединенных производственно-питьевых водопроводов необходимо предусматривать зоны санитарной охраны.</w:t>
      </w:r>
    </w:p>
    <w:p>
      <w:pPr>
        <w:pStyle w:val="ConsPlusNormal2"/>
        <w:ind w:left="0" w:right="0" w:firstLine="540"/>
        <w:rPr>
          <w:rFonts w:cs="Arial"/>
          <w:sz w:val="24"/>
          <w:szCs w:val="24"/>
        </w:rPr>
      </w:pPr>
      <w:r>
        <w:rPr>
          <w:rFonts w:cs="Arial"/>
          <w:sz w:val="24"/>
          <w:szCs w:val="24"/>
        </w:rPr>
        <w:t>Проект зоны санитарной охраны (ЗСО) должен быть составной частью проекта хозяйственно-питьевого водоснабжения и разрабатываться одновременно с последним. Для действующих водопроводов, не имеющих установленных зон санитарной охраны, проект ЗСО разрабатывается специально.</w:t>
      </w:r>
    </w:p>
    <w:p>
      <w:pPr>
        <w:pStyle w:val="ConsPlusNormal2"/>
        <w:ind w:left="0" w:right="0" w:firstLine="540"/>
        <w:rPr>
          <w:rFonts w:cs="Arial"/>
          <w:sz w:val="24"/>
          <w:szCs w:val="24"/>
        </w:rPr>
      </w:pPr>
      <w:r>
        <w:rPr>
          <w:rFonts w:cs="Arial"/>
          <w:sz w:val="24"/>
          <w:szCs w:val="24"/>
        </w:rPr>
        <w:t>Зона санитарной охраны источника водоснабжения организуется в составе трех поясов: первый пояс (строгого режима) 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Второй и третий пояса (пояса ограничений) включают территорию, предназначенную для предупреждения загрязнения воды в источниках водоснабжения.</w:t>
      </w:r>
    </w:p>
    <w:p>
      <w:pPr>
        <w:pStyle w:val="ConsPlusNormal2"/>
        <w:ind w:left="0" w:right="0" w:firstLine="540"/>
        <w:rPr>
          <w:rFonts w:cs="Arial"/>
          <w:sz w:val="24"/>
          <w:szCs w:val="24"/>
        </w:rPr>
      </w:pPr>
      <w:r>
        <w:rPr>
          <w:rFonts w:cs="Arial"/>
          <w:sz w:val="24"/>
          <w:szCs w:val="24"/>
        </w:rPr>
        <w:t>Зона санитарной охраны водопроводных сооружений, расположенных вне территории водозабора, водоводов представлена первым поясом (строгого режима) - санитарно-защитной полосой.</w:t>
      </w:r>
    </w:p>
    <w:p>
      <w:pPr>
        <w:pStyle w:val="ConsPlusNormal2"/>
        <w:ind w:left="0" w:right="0" w:firstLine="540"/>
        <w:rPr>
          <w:rFonts w:cs="Arial"/>
          <w:sz w:val="24"/>
          <w:szCs w:val="24"/>
        </w:rPr>
      </w:pPr>
      <w:r>
        <w:rPr>
          <w:rFonts w:cs="Arial"/>
          <w:sz w:val="24"/>
          <w:szCs w:val="24"/>
        </w:rPr>
        <w:t>Решение о возможности организации зон санитарной охраны принимается на стадии проекта планировки территории, когда выбирается источник водоснабжения.</w:t>
      </w:r>
    </w:p>
    <w:p>
      <w:pPr>
        <w:pStyle w:val="ConsPlusNormal2"/>
        <w:ind w:left="0" w:right="0" w:firstLine="540"/>
        <w:rPr>
          <w:rFonts w:cs="Arial"/>
          <w:sz w:val="24"/>
          <w:szCs w:val="24"/>
        </w:rPr>
      </w:pPr>
      <w:r>
        <w:rPr>
          <w:rFonts w:cs="Arial"/>
          <w:sz w:val="24"/>
          <w:szCs w:val="24"/>
        </w:rPr>
        <w:t>Установление границ и режимов зон санитарной охраны источников питьевого и хозяйственно-бытового водоснабжения при наличии санитарно-эпидемиологического заключения о соответствии их санитарным правилам</w:t>
      </w:r>
    </w:p>
    <w:p>
      <w:pPr>
        <w:pStyle w:val="ConsPlusNormal2"/>
        <w:ind w:left="0" w:right="0" w:firstLine="540"/>
        <w:rPr/>
      </w:pPr>
      <w:r>
        <w:rPr>
          <w:rFonts w:cs="Arial"/>
          <w:sz w:val="24"/>
          <w:szCs w:val="24"/>
        </w:rPr>
        <w:t xml:space="preserve">утверждается уполномоченным органом исполнительной власти Нижегородской области по вопросам чрезвычайных ситуаций и государственного экологического контроля. Зоны санитарной охраны источников водоснабжения регистрируются как ограничение прав на землю в соответствии со </w:t>
      </w:r>
      <w:hyperlink r:id="rId23">
        <w:r>
          <w:rPr>
            <w:rStyle w:val="Style9"/>
            <w:rFonts w:cs="Arial"/>
            <w:sz w:val="24"/>
            <w:szCs w:val="24"/>
          </w:rPr>
          <w:t>статьей 56</w:t>
        </w:r>
      </w:hyperlink>
      <w:r>
        <w:rPr>
          <w:rFonts w:cs="Arial"/>
          <w:sz w:val="24"/>
          <w:szCs w:val="24"/>
        </w:rPr>
        <w:t xml:space="preserve"> Земельного кодекса Российской Федерации.</w:t>
      </w:r>
    </w:p>
    <w:p>
      <w:pPr>
        <w:pStyle w:val="ConsPlusNormal2"/>
        <w:tabs>
          <w:tab w:val="left" w:pos="709" w:leader="none"/>
        </w:tabs>
        <w:suppressAutoHyphens w:val="false"/>
        <w:rPr/>
      </w:pPr>
      <w:r>
        <w:rPr>
          <w:rFonts w:cs="Arial"/>
          <w:sz w:val="24"/>
          <w:szCs w:val="24"/>
        </w:rPr>
        <w:t xml:space="preserve">5.5.1.30.Территория первого пояса зон санитарной охраны </w:t>
      </w:r>
      <w:r>
        <w:rPr>
          <w:rFonts w:cs="Arial"/>
          <w:spacing w:val="2"/>
          <w:sz w:val="24"/>
          <w:szCs w:val="24"/>
          <w:shd w:fill="FFFFFF" w:val="clear"/>
        </w:rPr>
        <w:t xml:space="preserve">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w:t>
      </w:r>
    </w:p>
    <w:p>
      <w:pPr>
        <w:pStyle w:val="ConsPlusNormal2"/>
        <w:suppressAutoHyphens w:val="false"/>
        <w:ind w:left="0" w:right="0" w:firstLine="540"/>
        <w:rPr>
          <w:rFonts w:eastAsia="Times New Roman" w:cs="Arial"/>
          <w:sz w:val="24"/>
          <w:szCs w:val="24"/>
        </w:rPr>
      </w:pPr>
      <w:r>
        <w:rPr>
          <w:rFonts w:eastAsia="Times New Roman" w:cs="Arial"/>
          <w:sz w:val="24"/>
          <w:szCs w:val="24"/>
        </w:rPr>
        <w:t>Граница первого пояса устанавливается на расстоянии не менее 30 м от водозабора - при использовании защищенных подземных вод и на расстоянии не менее 50 м - при использовании недостаточно защищенных подземных вод.</w:t>
      </w:r>
    </w:p>
    <w:p>
      <w:pPr>
        <w:pStyle w:val="ConsPlusNormal2"/>
        <w:suppressAutoHyphens w:val="false"/>
        <w:ind w:left="0" w:right="0" w:firstLine="540"/>
        <w:rPr>
          <w:rFonts w:eastAsia="Times New Roman" w:cs="Arial"/>
          <w:sz w:val="24"/>
          <w:szCs w:val="24"/>
        </w:rPr>
      </w:pPr>
      <w:r>
        <w:rPr>
          <w:rFonts w:eastAsia="Times New Roman" w:cs="Arial"/>
          <w:sz w:val="24"/>
          <w:szCs w:val="24"/>
        </w:rPr>
        <w:t>Граница первого пояса ЗСО группы подземных водозаборов должна находиться на расстоянии не менее 30 и 50 м от крайних скважин.</w:t>
      </w:r>
    </w:p>
    <w:p>
      <w:pPr>
        <w:pStyle w:val="ConsPlusNormal2"/>
        <w:suppressAutoHyphens w:val="false"/>
        <w:ind w:left="0" w:right="0" w:firstLine="540"/>
        <w:rPr>
          <w:rFonts w:eastAsia="Times New Roman" w:cs="Arial"/>
          <w:sz w:val="24"/>
          <w:szCs w:val="24"/>
        </w:rPr>
      </w:pPr>
      <w:r>
        <w:rPr>
          <w:rFonts w:eastAsia="Times New Roman" w:cs="Arial"/>
          <w:sz w:val="24"/>
          <w:szCs w:val="24"/>
        </w:rPr>
        <w:t>В 1 поясе зоны санитарной охраны не допускается:</w:t>
      </w:r>
    </w:p>
    <w:p>
      <w:pPr>
        <w:pStyle w:val="ConsPlusNormal2"/>
        <w:suppressAutoHyphens w:val="false"/>
        <w:ind w:left="0" w:right="0" w:firstLine="540"/>
        <w:rPr>
          <w:rFonts w:eastAsia="Times New Roman" w:cs="Arial"/>
          <w:sz w:val="24"/>
          <w:szCs w:val="24"/>
        </w:rPr>
      </w:pPr>
      <w:r>
        <w:rPr>
          <w:rFonts w:eastAsia="Times New Roman" w:cs="Arial"/>
          <w:sz w:val="24"/>
          <w:szCs w:val="24"/>
        </w:rPr>
        <w:t>- посадка высокоствольных деревьев;</w:t>
      </w:r>
    </w:p>
    <w:p>
      <w:pPr>
        <w:pStyle w:val="ConsPlusNormal2"/>
        <w:suppressAutoHyphens w:val="false"/>
        <w:ind w:left="0" w:right="0" w:firstLine="540"/>
        <w:rPr>
          <w:rFonts w:eastAsia="Times New Roman" w:cs="Arial"/>
          <w:sz w:val="24"/>
          <w:szCs w:val="24"/>
        </w:rPr>
      </w:pPr>
      <w:r>
        <w:rPr>
          <w:rFonts w:eastAsia="Times New Roman" w:cs="Arial"/>
          <w:sz w:val="24"/>
          <w:szCs w:val="24"/>
        </w:rPr>
        <w:t>- все виды строительства, не имеющие непосредственного отношения к эксплуатации, реконструкции и расширению водопроводных сооружений;</w:t>
      </w:r>
    </w:p>
    <w:p>
      <w:pPr>
        <w:pStyle w:val="ConsPlusNormal2"/>
        <w:suppressAutoHyphens w:val="false"/>
        <w:ind w:left="0" w:right="0" w:firstLine="540"/>
        <w:rPr>
          <w:rFonts w:eastAsia="Times New Roman" w:cs="Arial"/>
          <w:sz w:val="24"/>
          <w:szCs w:val="24"/>
        </w:rPr>
      </w:pPr>
      <w:r>
        <w:rPr>
          <w:rFonts w:eastAsia="Times New Roman" w:cs="Arial"/>
          <w:sz w:val="24"/>
          <w:szCs w:val="24"/>
        </w:rPr>
        <w:t>- прокладка трубопроводов различного назначения;</w:t>
      </w:r>
    </w:p>
    <w:p>
      <w:pPr>
        <w:pStyle w:val="ConsPlusNormal2"/>
        <w:suppressAutoHyphens w:val="false"/>
        <w:ind w:left="0" w:right="0" w:firstLine="540"/>
        <w:rPr>
          <w:rFonts w:eastAsia="Times New Roman" w:cs="Arial"/>
          <w:sz w:val="24"/>
          <w:szCs w:val="24"/>
        </w:rPr>
      </w:pPr>
      <w:r>
        <w:rPr>
          <w:rFonts w:eastAsia="Times New Roman" w:cs="Arial"/>
          <w:sz w:val="24"/>
          <w:szCs w:val="24"/>
        </w:rPr>
        <w:t>- размещение жилых и хозяйственно-бытовых зданий;</w:t>
      </w:r>
    </w:p>
    <w:p>
      <w:pPr>
        <w:pStyle w:val="ConsPlusNormal2"/>
        <w:suppressAutoHyphens w:val="false"/>
        <w:ind w:left="0" w:right="0" w:firstLine="540"/>
        <w:rPr>
          <w:rFonts w:eastAsia="Times New Roman" w:cs="Arial"/>
          <w:sz w:val="24"/>
          <w:szCs w:val="24"/>
        </w:rPr>
      </w:pPr>
      <w:r>
        <w:rPr>
          <w:rFonts w:eastAsia="Times New Roman" w:cs="Arial"/>
          <w:sz w:val="24"/>
          <w:szCs w:val="24"/>
        </w:rPr>
        <w:t>- проживание людей;</w:t>
      </w:r>
    </w:p>
    <w:p>
      <w:pPr>
        <w:pStyle w:val="ConsPlusNormal2"/>
        <w:suppressAutoHyphens w:val="false"/>
        <w:ind w:left="0" w:right="0" w:firstLine="540"/>
        <w:rPr>
          <w:rFonts w:eastAsia="Times New Roman" w:cs="Arial"/>
          <w:sz w:val="24"/>
          <w:szCs w:val="24"/>
        </w:rPr>
      </w:pPr>
      <w:r>
        <w:rPr>
          <w:rFonts w:eastAsia="Times New Roman" w:cs="Arial"/>
          <w:sz w:val="24"/>
          <w:szCs w:val="24"/>
        </w:rPr>
        <w:t>- применение ядохимикатов и удобрений.</w:t>
      </w:r>
    </w:p>
    <w:p>
      <w:pPr>
        <w:pStyle w:val="ConsPlusNormal2"/>
        <w:ind w:left="0" w:right="0" w:firstLine="540"/>
        <w:rPr>
          <w:rFonts w:cs="Arial"/>
          <w:sz w:val="24"/>
          <w:szCs w:val="24"/>
        </w:rPr>
      </w:pPr>
      <w:r>
        <w:rPr>
          <w:rFonts w:cs="Arial"/>
          <w:sz w:val="24"/>
          <w:szCs w:val="24"/>
        </w:rPr>
        <w:t>На территории первого пояса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 расположенные за пределами первого пояса зоны санитарной охраны, с учетом санитарного режима на территории второго пояса. В исключительных случаях при отсутствии канализации должны устраиваться водонепроницаемые приемники нечистот и бытовых отходов, расположенные в местах, исключающих загрязнение территории первого пояса при их вывозе.</w:t>
      </w:r>
    </w:p>
    <w:p>
      <w:pPr>
        <w:pStyle w:val="ConsPlusNormal2"/>
        <w:tabs>
          <w:tab w:val="left" w:pos="709" w:leader="none"/>
        </w:tabs>
        <w:suppressAutoHyphens w:val="false"/>
        <w:rPr>
          <w:rFonts w:cs="Arial"/>
          <w:sz w:val="24"/>
          <w:szCs w:val="24"/>
        </w:rPr>
      </w:pPr>
      <w:r>
        <w:rPr>
          <w:rFonts w:cs="Arial"/>
          <w:sz w:val="24"/>
          <w:szCs w:val="24"/>
        </w:rPr>
        <w:t xml:space="preserve">5.5.1.31.Второй и третий пояса (пояса ограничений) включают территорию, предназначенную для предупреждения загрязнения воды источников водоснабжения. </w:t>
      </w:r>
    </w:p>
    <w:p>
      <w:pPr>
        <w:pStyle w:val="ConsPlusNormal2"/>
        <w:tabs>
          <w:tab w:val="left" w:pos="709" w:leader="none"/>
        </w:tabs>
        <w:suppressAutoHyphens w:val="false"/>
        <w:rPr/>
      </w:pPr>
      <w:r>
        <w:rPr>
          <w:rFonts w:cs="Arial"/>
          <w:sz w:val="24"/>
          <w:szCs w:val="24"/>
        </w:rPr>
        <w:t>5.5.1.32.Определение границ второго и третьего поясов ЗСО</w:t>
      </w:r>
      <w:r>
        <w:rPr>
          <w:rStyle w:val="Appleconvertedspace"/>
          <w:rFonts w:cs="Arial"/>
          <w:b/>
          <w:bCs/>
          <w:sz w:val="24"/>
          <w:szCs w:val="24"/>
        </w:rPr>
        <w:t xml:space="preserve"> </w:t>
      </w:r>
      <w:r>
        <w:rPr>
          <w:rFonts w:cs="Arial"/>
          <w:sz w:val="24"/>
          <w:szCs w:val="24"/>
        </w:rPr>
        <w:t xml:space="preserve">подземных источников водоснабжения для различных гидрогеологических условий проводится в соответствии с методиками гидрогеологических расчетов </w:t>
      </w:r>
    </w:p>
    <w:p>
      <w:pPr>
        <w:pStyle w:val="ConsPlusNormal2"/>
        <w:tabs>
          <w:tab w:val="left" w:pos="709" w:leader="none"/>
        </w:tabs>
        <w:suppressAutoHyphens w:val="false"/>
        <w:rPr>
          <w:rFonts w:cs="Arial"/>
          <w:sz w:val="24"/>
          <w:szCs w:val="24"/>
        </w:rPr>
      </w:pPr>
      <w:r>
        <w:rPr>
          <w:rFonts w:cs="Arial"/>
          <w:sz w:val="24"/>
          <w:szCs w:val="24"/>
        </w:rPr>
        <w:t>5.5.1.33.На территории второго и третьего пояса зоны санитарной охраны подземных источников водоснабжения запрещается:</w:t>
      </w:r>
    </w:p>
    <w:p>
      <w:pPr>
        <w:pStyle w:val="ConsPlusNormal2"/>
        <w:ind w:left="0" w:right="0" w:firstLine="540"/>
        <w:rPr>
          <w:rFonts w:cs="Arial"/>
          <w:sz w:val="24"/>
          <w:szCs w:val="24"/>
        </w:rPr>
      </w:pPr>
      <w:r>
        <w:rPr>
          <w:rFonts w:cs="Arial"/>
          <w:sz w:val="24"/>
          <w:szCs w:val="24"/>
        </w:rPr>
        <w:t>- закачка отработанных вод в подземные горизонты;</w:t>
      </w:r>
    </w:p>
    <w:p>
      <w:pPr>
        <w:pStyle w:val="ConsPlusNormal2"/>
        <w:ind w:left="0" w:right="0" w:firstLine="540"/>
        <w:rPr>
          <w:rFonts w:cs="Arial"/>
          <w:sz w:val="24"/>
          <w:szCs w:val="24"/>
        </w:rPr>
      </w:pPr>
      <w:r>
        <w:rPr>
          <w:rFonts w:cs="Arial"/>
          <w:sz w:val="24"/>
          <w:szCs w:val="24"/>
        </w:rPr>
        <w:t>- подземное складирование твердых отходов;</w:t>
      </w:r>
    </w:p>
    <w:p>
      <w:pPr>
        <w:pStyle w:val="ConsPlusNormal2"/>
        <w:ind w:left="0" w:right="0" w:firstLine="540"/>
        <w:rPr>
          <w:rFonts w:cs="Arial"/>
          <w:sz w:val="24"/>
          <w:szCs w:val="24"/>
        </w:rPr>
      </w:pPr>
      <w:r>
        <w:rPr>
          <w:rFonts w:cs="Arial"/>
          <w:sz w:val="24"/>
          <w:szCs w:val="24"/>
        </w:rPr>
        <w:t>- разработка недр земли;</w:t>
      </w:r>
    </w:p>
    <w:p>
      <w:pPr>
        <w:pStyle w:val="ConsPlusNormal2"/>
        <w:ind w:left="0" w:right="0" w:firstLine="540"/>
        <w:rPr>
          <w:rFonts w:cs="Arial"/>
          <w:sz w:val="24"/>
          <w:szCs w:val="24"/>
        </w:rPr>
      </w:pPr>
      <w:r>
        <w:rPr>
          <w:rFonts w:cs="Arial"/>
          <w:sz w:val="24"/>
          <w:szCs w:val="24"/>
        </w:rPr>
        <w:t>- размещение складов горюче-смазочных материалов, ядохимикатов и минеральных удобрений, накопителей промстоков, шламохранилищ и других объектов, которые могут вызвать химическое загрязнение источников водоснабжения (размещение таких объектов допускается в пределах третьего пояса только при использовании защищенных подземных вод, при условии выполнения специальных мероприятий по защите водоносного горизонта по согласованию с органами санитарно-эпидемиологического надзора);</w:t>
      </w:r>
    </w:p>
    <w:p>
      <w:pPr>
        <w:pStyle w:val="ConsPlusNormal2"/>
        <w:ind w:left="0" w:right="0" w:firstLine="540"/>
        <w:rPr>
          <w:rFonts w:cs="Arial"/>
          <w:sz w:val="24"/>
          <w:szCs w:val="24"/>
        </w:rPr>
      </w:pPr>
      <w:r>
        <w:rPr>
          <w:rFonts w:cs="Arial"/>
          <w:sz w:val="24"/>
          <w:szCs w:val="24"/>
        </w:rPr>
        <w:t>- размещение кладбищ, скотомогильников, полей ассенизации, полей фильтрации, животноводческих и птицеводческих предприятий и других объектов, которые могут вызвать микробные загрязнения подземных вод;</w:t>
      </w:r>
    </w:p>
    <w:p>
      <w:pPr>
        <w:pStyle w:val="ConsPlusNormal2"/>
        <w:ind w:left="0" w:right="0" w:firstLine="540"/>
        <w:rPr>
          <w:rFonts w:cs="Arial"/>
          <w:sz w:val="24"/>
          <w:szCs w:val="24"/>
        </w:rPr>
      </w:pPr>
      <w:r>
        <w:rPr>
          <w:rFonts w:cs="Arial"/>
          <w:sz w:val="24"/>
          <w:szCs w:val="24"/>
        </w:rPr>
        <w:t>- применение удобрений и ядохимикатов;</w:t>
      </w:r>
    </w:p>
    <w:p>
      <w:pPr>
        <w:pStyle w:val="ConsPlusNormal2"/>
        <w:ind w:left="0" w:right="0" w:firstLine="540"/>
        <w:rPr>
          <w:rFonts w:cs="Arial"/>
          <w:sz w:val="24"/>
          <w:szCs w:val="24"/>
        </w:rPr>
      </w:pPr>
      <w:r>
        <w:rPr>
          <w:rFonts w:cs="Arial"/>
          <w:sz w:val="24"/>
          <w:szCs w:val="24"/>
        </w:rPr>
        <w:t>- рубка леса главного пользования и реконструкции (допускаются только рубки ухода и санитарные рубки леса).</w:t>
      </w:r>
    </w:p>
    <w:p>
      <w:pPr>
        <w:pStyle w:val="ConsPlusNormal2"/>
        <w:ind w:left="0" w:right="0" w:firstLine="540"/>
        <w:rPr>
          <w:rFonts w:cs="Arial"/>
          <w:sz w:val="24"/>
          <w:szCs w:val="24"/>
        </w:rPr>
      </w:pPr>
      <w:r>
        <w:rPr>
          <w:rFonts w:cs="Arial"/>
          <w:sz w:val="24"/>
          <w:szCs w:val="24"/>
        </w:rPr>
        <w:t>Поглощающие скважины и шахтные колодцы, которые могут вызвать загрязнение водоносных горизонтов, следует ликвидировать.</w:t>
      </w:r>
    </w:p>
    <w:p>
      <w:pPr>
        <w:pStyle w:val="ConsPlusNormal2"/>
        <w:tabs>
          <w:tab w:val="left" w:pos="709" w:leader="none"/>
        </w:tabs>
        <w:suppressAutoHyphens w:val="false"/>
        <w:rPr>
          <w:rFonts w:cs="Arial"/>
          <w:sz w:val="24"/>
          <w:szCs w:val="24"/>
        </w:rPr>
      </w:pPr>
      <w:r>
        <w:rPr>
          <w:rFonts w:cs="Arial"/>
          <w:sz w:val="24"/>
          <w:szCs w:val="24"/>
        </w:rPr>
        <w:t>5.5.1.34.В пределах санитарно-защитной полосы водоводов должны отсутствовать источники загрязнения почвы и грунтовых вод (уборные, помойные ямы, приемники мусора и другие).</w:t>
      </w:r>
    </w:p>
    <w:p>
      <w:pPr>
        <w:pStyle w:val="ConsPlusNormal2"/>
        <w:ind w:left="0" w:right="0" w:firstLine="540"/>
        <w:rPr>
          <w:rFonts w:cs="Arial"/>
          <w:sz w:val="24"/>
          <w:szCs w:val="24"/>
        </w:rPr>
      </w:pPr>
      <w:r>
        <w:rPr>
          <w:rFonts w:cs="Arial"/>
          <w:sz w:val="24"/>
          <w:szCs w:val="24"/>
        </w:rPr>
        <w:t>Запрещается прокладка водоводов по территории свалок, полей ассенизации, полей фильтрации, полей орошения, кладбищ, скотомогильников, а также прокладка магистральных водоводов по территории промышленных и сельскохозяйственных предприятий.</w:t>
      </w:r>
    </w:p>
    <w:p>
      <w:pPr>
        <w:pStyle w:val="ConsPlusNormal2"/>
        <w:tabs>
          <w:tab w:val="left" w:pos="709" w:leader="none"/>
        </w:tabs>
        <w:suppressAutoHyphens w:val="false"/>
        <w:rPr/>
      </w:pPr>
      <w:r>
        <w:rPr>
          <w:rFonts w:cs="Arial"/>
          <w:sz w:val="24"/>
          <w:szCs w:val="24"/>
        </w:rPr>
        <w:t xml:space="preserve">5.5.1.35.Выбор площадок для строительства водопроводных сооружений, а также планировка и застройка их территорий должны выполняться в соответствии с требованиями </w:t>
      </w:r>
      <w:r>
        <w:fldChar w:fldCharType="begin"/>
      </w:r>
      <w:r>
        <w:instrText> HYPERLINK "file:///D:/! Вадим/! www.sharanga.nnov.ru/Sel'skie poseleniya/Kushnur/2017/Re//C:/Users/Специалист/Desktop/Мои документы/декабрь 2017/MNGP2.docx" \l "P544"</w:instrText>
      </w:r>
      <w:r>
        <w:fldChar w:fldCharType="separate"/>
      </w:r>
      <w:r>
        <w:rPr>
          <w:rStyle w:val="Style9"/>
          <w:rFonts w:cs="Arial"/>
          <w:sz w:val="24"/>
          <w:szCs w:val="24"/>
        </w:rPr>
        <w:t xml:space="preserve">раздела </w:t>
      </w:r>
      <w:r>
        <w:fldChar w:fldCharType="end"/>
      </w:r>
      <w:r>
        <w:rPr>
          <w:rFonts w:cs="Arial"/>
          <w:sz w:val="24"/>
          <w:szCs w:val="24"/>
        </w:rPr>
        <w:t xml:space="preserve"> "Производственная территория" настоящих Нормативов и требованиями к зонам санитарной охраны.</w:t>
      </w:r>
    </w:p>
    <w:p>
      <w:pPr>
        <w:pStyle w:val="ConsPlusNormal2"/>
        <w:ind w:left="0" w:right="0" w:firstLine="540"/>
        <w:rPr>
          <w:rFonts w:cs="Arial"/>
          <w:sz w:val="24"/>
          <w:szCs w:val="24"/>
        </w:rPr>
      </w:pPr>
      <w:r>
        <w:rPr>
          <w:rFonts w:cs="Arial"/>
          <w:sz w:val="24"/>
          <w:szCs w:val="24"/>
        </w:rPr>
        <w:t>Планировочные отметки площадок водопроводных сооружений, размещаемых на прибрежных участках водотоков и водоемов, должны приниматься не менее чем на 0,5 м выше расчетного максимального уровня воды.</w:t>
      </w:r>
    </w:p>
    <w:p>
      <w:pPr>
        <w:pStyle w:val="ConsPlusNormal2"/>
        <w:tabs>
          <w:tab w:val="left" w:pos="709" w:leader="none"/>
        </w:tabs>
        <w:suppressAutoHyphens w:val="false"/>
        <w:rPr/>
      </w:pPr>
      <w:r>
        <w:rPr>
          <w:rFonts w:cs="Arial"/>
          <w:sz w:val="24"/>
          <w:szCs w:val="24"/>
        </w:rPr>
        <w:t xml:space="preserve">5.5.1.36.Выбор, отвод и использование земель для магистральных водоводов осуществляются в соответствии с требованиями </w:t>
      </w:r>
      <w:hyperlink r:id="rId24">
        <w:r>
          <w:rPr>
            <w:rStyle w:val="Style9"/>
            <w:rFonts w:cs="Arial"/>
            <w:sz w:val="24"/>
            <w:szCs w:val="24"/>
          </w:rPr>
          <w:t>СН 456-73</w:t>
        </w:r>
      </w:hyperlink>
      <w:r>
        <w:rPr>
          <w:rFonts w:cs="Arial"/>
          <w:sz w:val="24"/>
          <w:szCs w:val="24"/>
        </w:rPr>
        <w:t>.</w:t>
      </w:r>
    </w:p>
    <w:p>
      <w:pPr>
        <w:pStyle w:val="ConsPlusNormal2"/>
        <w:tabs>
          <w:tab w:val="left" w:pos="709" w:leader="none"/>
        </w:tabs>
        <w:suppressAutoHyphens w:val="false"/>
        <w:ind w:left="426" w:right="0" w:hanging="0"/>
        <w:rPr/>
      </w:pPr>
      <w:r>
        <w:rPr>
          <w:rFonts w:cs="Arial"/>
          <w:sz w:val="24"/>
          <w:szCs w:val="24"/>
        </w:rPr>
        <w:t xml:space="preserve">    </w:t>
      </w:r>
      <w:r>
        <w:rPr>
          <w:rFonts w:cs="Arial"/>
          <w:sz w:val="24"/>
          <w:szCs w:val="24"/>
        </w:rPr>
        <w:t>5.5.1.37.Размеры земельных участков для размещения колодцев магистральных подземных водоводов должны быть не более 3 м x 3 м, камер переключения и запорной арматуры - не более 10 м x 10 м.</w:t>
      </w:r>
    </w:p>
    <w:p>
      <w:pPr>
        <w:pStyle w:val="ConsPlusNormal2"/>
        <w:tabs>
          <w:tab w:val="left" w:pos="709" w:leader="none"/>
        </w:tabs>
        <w:suppressAutoHyphens w:val="false"/>
        <w:rPr>
          <w:rFonts w:cs="Arial"/>
          <w:sz w:val="24"/>
          <w:szCs w:val="24"/>
        </w:rPr>
      </w:pPr>
      <w:r>
        <w:rPr>
          <w:rFonts w:cs="Arial"/>
          <w:sz w:val="24"/>
          <w:szCs w:val="24"/>
        </w:rPr>
        <w:t>5.5.1.38.Размеры земельных участков для станций водоочистки в зависимости от их производительности (единица измерения - тыс. куб. м/сут.) следует принимать по проекту, но не более:</w:t>
      </w:r>
    </w:p>
    <w:p>
      <w:pPr>
        <w:pStyle w:val="ConsPlusNormal2"/>
        <w:tabs>
          <w:tab w:val="left" w:pos="709" w:leader="none"/>
        </w:tabs>
        <w:suppressAutoHyphens w:val="false"/>
        <w:rPr>
          <w:rFonts w:cs="Arial"/>
          <w:sz w:val="24"/>
          <w:szCs w:val="24"/>
        </w:rPr>
      </w:pPr>
      <w:r>
        <w:rPr>
          <w:rFonts w:cs="Arial"/>
          <w:sz w:val="24"/>
          <w:szCs w:val="24"/>
        </w:rPr>
        <w:t>5.5.1.39.Размеры земельных участков для станций водоочистки (в гектарах) в зависимости от их производительности, (тысяч метров кубических в сутки), следует принимать по проекту, но не более:</w:t>
      </w:r>
    </w:p>
    <w:p>
      <w:pPr>
        <w:pStyle w:val="ListParagraph"/>
        <w:numPr>
          <w:ilvl w:val="0"/>
          <w:numId w:val="12"/>
        </w:numPr>
        <w:tabs>
          <w:tab w:val="left" w:pos="1100" w:leader="none"/>
        </w:tabs>
        <w:spacing w:lineRule="auto" w:line="240" w:before="0" w:after="0"/>
        <w:contextualSpacing/>
        <w:jc w:val="both"/>
        <w:rPr>
          <w:rFonts w:ascii="Arial" w:hAnsi="Arial" w:cs="Arial"/>
          <w:sz w:val="24"/>
          <w:szCs w:val="24"/>
        </w:rPr>
      </w:pPr>
      <w:r>
        <w:rPr>
          <w:rFonts w:cs="Arial" w:ascii="Arial" w:hAnsi="Arial"/>
          <w:sz w:val="24"/>
          <w:szCs w:val="24"/>
        </w:rPr>
        <w:t>до 0,8 тыс.м 3/сутки - 1 гектар;</w:t>
      </w:r>
    </w:p>
    <w:p>
      <w:pPr>
        <w:pStyle w:val="ListParagraph"/>
        <w:numPr>
          <w:ilvl w:val="0"/>
          <w:numId w:val="12"/>
        </w:numPr>
        <w:tabs>
          <w:tab w:val="left" w:pos="1100" w:leader="none"/>
        </w:tabs>
        <w:spacing w:lineRule="auto" w:line="240" w:before="0" w:after="0"/>
        <w:contextualSpacing/>
        <w:jc w:val="both"/>
        <w:rPr>
          <w:rFonts w:ascii="Arial" w:hAnsi="Arial" w:cs="Arial"/>
          <w:sz w:val="24"/>
          <w:szCs w:val="24"/>
        </w:rPr>
      </w:pPr>
      <w:r>
        <w:rPr>
          <w:rFonts w:cs="Arial" w:ascii="Arial" w:hAnsi="Arial"/>
          <w:sz w:val="24"/>
          <w:szCs w:val="24"/>
        </w:rPr>
        <w:t>свыше 0,8 до 12 тыс. м 3/сутки - 2 гектара;</w:t>
      </w:r>
    </w:p>
    <w:p>
      <w:pPr>
        <w:pStyle w:val="ListParagraph"/>
        <w:numPr>
          <w:ilvl w:val="0"/>
          <w:numId w:val="12"/>
        </w:numPr>
        <w:tabs>
          <w:tab w:val="left" w:pos="1100" w:leader="none"/>
        </w:tabs>
        <w:spacing w:lineRule="auto" w:line="240" w:before="0" w:after="0"/>
        <w:contextualSpacing/>
        <w:jc w:val="both"/>
        <w:rPr>
          <w:rFonts w:ascii="Arial" w:hAnsi="Arial" w:cs="Arial"/>
          <w:sz w:val="24"/>
          <w:szCs w:val="24"/>
        </w:rPr>
      </w:pPr>
      <w:r>
        <w:rPr>
          <w:rFonts w:cs="Arial" w:ascii="Arial" w:hAnsi="Arial"/>
          <w:sz w:val="24"/>
          <w:szCs w:val="24"/>
        </w:rPr>
        <w:t>свыше 12 до 32 тыс. м 3/сутки - 3 гектара;</w:t>
      </w:r>
    </w:p>
    <w:p>
      <w:pPr>
        <w:pStyle w:val="ListParagraph"/>
        <w:numPr>
          <w:ilvl w:val="0"/>
          <w:numId w:val="12"/>
        </w:numPr>
        <w:tabs>
          <w:tab w:val="left" w:pos="1100" w:leader="none"/>
        </w:tabs>
        <w:spacing w:lineRule="auto" w:line="240" w:before="0" w:after="0"/>
        <w:contextualSpacing/>
        <w:jc w:val="both"/>
        <w:rPr>
          <w:rFonts w:ascii="Arial" w:hAnsi="Arial" w:cs="Arial"/>
          <w:sz w:val="24"/>
          <w:szCs w:val="24"/>
        </w:rPr>
      </w:pPr>
      <w:r>
        <w:rPr>
          <w:rFonts w:cs="Arial" w:ascii="Arial" w:hAnsi="Arial"/>
          <w:sz w:val="24"/>
          <w:szCs w:val="24"/>
        </w:rPr>
        <w:t>свыше 32 до 80 тыс. м 3/сутки - 4 гектара;</w:t>
      </w:r>
    </w:p>
    <w:p>
      <w:pPr>
        <w:pStyle w:val="ListParagraph"/>
        <w:numPr>
          <w:ilvl w:val="0"/>
          <w:numId w:val="12"/>
        </w:numPr>
        <w:tabs>
          <w:tab w:val="left" w:pos="1100" w:leader="none"/>
        </w:tabs>
        <w:spacing w:lineRule="auto" w:line="240" w:before="0" w:after="0"/>
        <w:contextualSpacing/>
        <w:jc w:val="both"/>
        <w:rPr>
          <w:rFonts w:ascii="Arial" w:hAnsi="Arial" w:cs="Arial"/>
          <w:sz w:val="24"/>
          <w:szCs w:val="24"/>
        </w:rPr>
      </w:pPr>
      <w:r>
        <w:rPr>
          <w:rFonts w:cs="Arial" w:ascii="Arial" w:hAnsi="Arial"/>
          <w:sz w:val="24"/>
          <w:szCs w:val="24"/>
        </w:rPr>
        <w:t>свыше 80 до 125 тыс. м 3/сутки - 6 гектаров.</w:t>
      </w:r>
    </w:p>
    <w:p>
      <w:pPr>
        <w:pStyle w:val="ConsPlusNormal2"/>
        <w:tabs>
          <w:tab w:val="left" w:pos="709" w:leader="none"/>
        </w:tabs>
        <w:suppressAutoHyphens w:val="false"/>
        <w:rPr/>
      </w:pPr>
      <w:r>
        <w:rPr>
          <w:rFonts w:cs="Arial"/>
          <w:sz w:val="24"/>
          <w:szCs w:val="24"/>
        </w:rPr>
        <w:t>5.5.1.40.Расходные склады для хранения сильнодействующих ядовитых веществ (СДЯВ) на площадке водопроводных сооружений следует размещать от зданий и сооружений (не относящихся к складскому хозяйству) с постоянным пребыванием людей и от водоемов и водотоков на расстоянии не менее 30 м; от зданий без постоянного пребывания людей - согласно </w:t>
      </w:r>
      <w:hyperlink r:id="rId25">
        <w:r>
          <w:rPr>
            <w:rStyle w:val="Style9"/>
            <w:rFonts w:cs="Arial"/>
            <w:color w:val="00000A"/>
            <w:sz w:val="24"/>
            <w:szCs w:val="24"/>
          </w:rPr>
          <w:t>СП 38.13330</w:t>
        </w:r>
      </w:hyperlink>
      <w:r>
        <w:rPr>
          <w:rFonts w:cs="Arial"/>
          <w:sz w:val="24"/>
          <w:szCs w:val="24"/>
        </w:rPr>
        <w:t xml:space="preserve">; от жилых, общественных и производственных зданий (вне площадки) при хранении СДЯВ в стационарных емкостях (цистернах, танках) - не менее 300 м и при хранении в контейнерах или баллонах - не менее 100 м. </w:t>
      </w:r>
    </w:p>
    <w:p>
      <w:pPr>
        <w:pStyle w:val="ConsPlusNormal2"/>
        <w:tabs>
          <w:tab w:val="left" w:pos="709" w:leader="none"/>
        </w:tabs>
        <w:suppressAutoHyphens w:val="false"/>
        <w:rPr>
          <w:rFonts w:cs="Arial"/>
          <w:sz w:val="24"/>
          <w:szCs w:val="24"/>
        </w:rPr>
      </w:pPr>
      <w:r>
        <w:rPr>
          <w:rFonts w:cs="Arial"/>
          <w:sz w:val="24"/>
          <w:szCs w:val="24"/>
        </w:rPr>
        <w:t>5.5.1.41.При проектировании водопроводов применять высокотехнологичные материалы, трубы с высокой степенью защиты и высокой устойчивостью к коррозии от агрессивных сред и других биологических влияний, высокой пластичностью (угол загиба не ниже 40 градусов), прочностью не ниже 400 МПа и высокими гидравлическими характеристиками (коэффициент шероховатости не выше 0,01 мм). Коэффициент запаса прочности по давлению должен быть не менее 1,8 мм после 50 лет эксплуатации.</w:t>
      </w:r>
    </w:p>
    <w:p>
      <w:pPr>
        <w:pStyle w:val="ConsPlusNormal2"/>
        <w:tabs>
          <w:tab w:val="left" w:pos="709" w:leader="none"/>
        </w:tabs>
        <w:suppressAutoHyphens w:val="false"/>
        <w:rPr>
          <w:rFonts w:cs="Arial"/>
          <w:sz w:val="24"/>
          <w:szCs w:val="24"/>
        </w:rPr>
      </w:pPr>
      <w:r>
        <w:rPr>
          <w:rFonts w:cs="Arial"/>
          <w:sz w:val="24"/>
          <w:szCs w:val="24"/>
        </w:rPr>
        <w:t>5.5.1.42.При проектировании магистральных водоводов предусматривать оборудование для защиты от гидроударов.</w:t>
      </w:r>
    </w:p>
    <w:p>
      <w:pPr>
        <w:pStyle w:val="ConsPlusNormal2"/>
        <w:tabs>
          <w:tab w:val="left" w:pos="709" w:leader="none"/>
        </w:tabs>
        <w:suppressAutoHyphens w:val="false"/>
        <w:rPr>
          <w:rFonts w:cs="Arial"/>
          <w:sz w:val="24"/>
          <w:szCs w:val="24"/>
        </w:rPr>
      </w:pPr>
      <w:r>
        <w:rPr>
          <w:rFonts w:cs="Arial"/>
          <w:sz w:val="24"/>
          <w:szCs w:val="24"/>
        </w:rPr>
        <w:t>5.5.1.43.На станциях водоподготовки проектирование вести с учетом современных технологий и оборудования по очистке и дезинфекции воды, обработке промывных вод фильтров и осадков водопроводных сооружений.</w:t>
      </w:r>
    </w:p>
    <w:p>
      <w:pPr>
        <w:pStyle w:val="ConsPlusNormal2"/>
        <w:ind w:left="0" w:right="0" w:firstLine="540"/>
        <w:rPr>
          <w:rFonts w:cs="Arial"/>
          <w:sz w:val="24"/>
          <w:szCs w:val="24"/>
        </w:rPr>
      </w:pPr>
      <w:r>
        <w:rPr>
          <w:rFonts w:cs="Arial"/>
          <w:sz w:val="24"/>
          <w:szCs w:val="24"/>
        </w:rPr>
        <w:t>При проектировании станций водоподготовки предусматривать многоступенчатую очистку воды, нано-, микро-, ультрафильтрацию.</w:t>
      </w:r>
    </w:p>
    <w:p>
      <w:pPr>
        <w:pStyle w:val="ConsPlusNormal2"/>
        <w:rPr>
          <w:rFonts w:cs="Arial"/>
          <w:sz w:val="24"/>
          <w:szCs w:val="24"/>
        </w:rPr>
      </w:pPr>
      <w:r>
        <w:rPr>
          <w:rFonts w:cs="Arial"/>
          <w:sz w:val="24"/>
          <w:szCs w:val="24"/>
        </w:rPr>
      </w:r>
    </w:p>
    <w:p>
      <w:pPr>
        <w:pStyle w:val="ConsPlusNormal2"/>
        <w:rPr/>
      </w:pPr>
      <w:r>
        <w:rPr>
          <w:rFonts w:cs="Arial"/>
          <w:sz w:val="24"/>
          <w:szCs w:val="24"/>
        </w:rPr>
        <w:t xml:space="preserve">           </w:t>
      </w:r>
      <w:r>
        <w:rPr>
          <w:rFonts w:cs="Arial"/>
          <w:sz w:val="24"/>
          <w:szCs w:val="24"/>
        </w:rPr>
        <w:t>5.5.2.</w:t>
        <w:tab/>
        <w:t>Канализация</w:t>
      </w:r>
    </w:p>
    <w:p>
      <w:pPr>
        <w:pStyle w:val="ConsPlusNormal2"/>
        <w:tabs>
          <w:tab w:val="left" w:pos="851" w:leader="none"/>
        </w:tabs>
        <w:suppressAutoHyphens w:val="false"/>
        <w:rPr>
          <w:rFonts w:cs="Arial"/>
          <w:sz w:val="24"/>
          <w:szCs w:val="24"/>
        </w:rPr>
      </w:pPr>
      <w:r>
        <w:rPr>
          <w:rFonts w:cs="Arial"/>
          <w:sz w:val="24"/>
          <w:szCs w:val="24"/>
        </w:rPr>
        <w:t>5.5.2.1.При проектировании канализации необходимо рассматривать возможность объединения систем канализации различных объектов, а также предусматривать возможность использования существующих сооружений и интенсификацию их работы на основании технико-экономических расчетов.</w:t>
      </w:r>
    </w:p>
    <w:p>
      <w:pPr>
        <w:pStyle w:val="ConsPlusNormal2"/>
        <w:ind w:left="0" w:right="0" w:firstLine="540"/>
        <w:rPr>
          <w:rFonts w:cs="Arial"/>
          <w:sz w:val="24"/>
          <w:szCs w:val="24"/>
        </w:rPr>
      </w:pPr>
      <w:r>
        <w:rPr>
          <w:rFonts w:cs="Arial"/>
          <w:sz w:val="24"/>
          <w:szCs w:val="24"/>
        </w:rPr>
        <w:t>Проекты канализации объектов должны разрабатываться одновременно с проектами водоснабжения с обязательным анализом баланса водопотребления и отведения сточных вод. При этом необходимо рассматривать возможность использования очищенных сточных и дождевых вод для производственного водоснабжения и орошения, а также предусматривать систему ливневой канализации.</w:t>
      </w:r>
    </w:p>
    <w:p>
      <w:pPr>
        <w:pStyle w:val="ConsPlusNormal2"/>
        <w:ind w:left="0" w:right="0" w:firstLine="540"/>
        <w:rPr>
          <w:rFonts w:cs="Arial"/>
          <w:sz w:val="24"/>
          <w:szCs w:val="24"/>
        </w:rPr>
      </w:pPr>
      <w:r>
        <w:rPr>
          <w:rFonts w:cs="Arial"/>
          <w:sz w:val="24"/>
          <w:szCs w:val="24"/>
        </w:rPr>
        <w:t>Проекты канализации объектов должны основываться на современных технологиях и решать проблемы перевода технологии обеззараживания воды с жидкого хлора на наиболее экологически безопасные реагенты (гипохлорид, диоксид хлора, ультрафиолетовое обеззараживание). Необходимо проектировать современные сооружения биологической очистки с удалением азота и фосфора. Применять аэрационные системы нового поколения, погружные пропеллерные насосы, специальные установки с автоматическим регулированием подачи воздуха.</w:t>
      </w:r>
    </w:p>
    <w:p>
      <w:pPr>
        <w:pStyle w:val="ConsPlusNormal2"/>
        <w:tabs>
          <w:tab w:val="left" w:pos="851" w:leader="none"/>
        </w:tabs>
        <w:suppressAutoHyphens w:val="false"/>
        <w:rPr/>
      </w:pPr>
      <w:r>
        <w:rPr>
          <w:rFonts w:cs="Arial"/>
          <w:sz w:val="24"/>
          <w:szCs w:val="24"/>
        </w:rPr>
        <w:t xml:space="preserve">5.5.2.2.Расчет систем канализации населенных пунктов, их резервных территорий, а также размещение очистных сооружений следует производить в соответствии со СП 32.13330.2012  и </w:t>
      </w:r>
      <w:hyperlink r:id="rId26">
        <w:r>
          <w:rPr>
            <w:rStyle w:val="Style9"/>
            <w:rFonts w:cs="Arial"/>
            <w:color w:val="00000A"/>
            <w:sz w:val="24"/>
            <w:szCs w:val="24"/>
          </w:rPr>
          <w:t>СанПиН 2.2.1/2.1.1.1200-03</w:t>
        </w:r>
      </w:hyperlink>
      <w:r>
        <w:rPr>
          <w:rFonts w:cs="Arial"/>
          <w:sz w:val="24"/>
          <w:szCs w:val="24"/>
        </w:rPr>
        <w:t xml:space="preserve"> (с изменениями на 25 апреля 2014 года)</w:t>
      </w:r>
    </w:p>
    <w:p>
      <w:pPr>
        <w:pStyle w:val="ConsPlusNormal2"/>
        <w:tabs>
          <w:tab w:val="left" w:pos="851" w:leader="none"/>
        </w:tabs>
        <w:suppressAutoHyphens w:val="false"/>
        <w:rPr>
          <w:rFonts w:cs="Arial"/>
          <w:sz w:val="24"/>
          <w:szCs w:val="24"/>
        </w:rPr>
      </w:pPr>
      <w:r>
        <w:rPr>
          <w:rFonts w:cs="Arial"/>
          <w:sz w:val="24"/>
          <w:szCs w:val="24"/>
        </w:rPr>
        <w:t>5.5.2.3.Удельное среднесуточное водоотведение бытовых сточных вод следует принимать равным удельному среднесуточному водопотреблению без учета расхода воды на полив территорий и зеленых насаждений.</w:t>
      </w:r>
    </w:p>
    <w:p>
      <w:pPr>
        <w:pStyle w:val="ConsPlusNormal2"/>
        <w:ind w:left="0" w:right="0" w:firstLine="540"/>
        <w:rPr>
          <w:rFonts w:cs="Arial"/>
          <w:sz w:val="24"/>
          <w:szCs w:val="24"/>
        </w:rPr>
      </w:pPr>
      <w:r>
        <w:rPr>
          <w:rFonts w:cs="Arial"/>
          <w:sz w:val="24"/>
          <w:szCs w:val="24"/>
        </w:rPr>
        <w:t>Расчетные среднесуточные расходы производственных сточных вод от промышленных и сельскохозяйственных предприятий следует определять на основе технологических данных.</w:t>
      </w:r>
    </w:p>
    <w:p>
      <w:pPr>
        <w:pStyle w:val="ConsPlusNormal2"/>
        <w:ind w:left="0" w:right="0" w:firstLine="540"/>
        <w:rPr>
          <w:rFonts w:cs="Arial"/>
          <w:sz w:val="24"/>
          <w:szCs w:val="24"/>
        </w:rPr>
      </w:pPr>
      <w:r>
        <w:rPr>
          <w:rFonts w:cs="Arial"/>
          <w:sz w:val="24"/>
          <w:szCs w:val="24"/>
        </w:rPr>
        <w:t>Удельное водоотведение в неканализованных районах следует принимать из расчета 25 л/сут. на одного жителя.</w:t>
      </w:r>
    </w:p>
    <w:p>
      <w:pPr>
        <w:pStyle w:val="ConsPlusNormal2"/>
        <w:tabs>
          <w:tab w:val="left" w:pos="851" w:leader="none"/>
        </w:tabs>
        <w:suppressAutoHyphens w:val="false"/>
        <w:rPr>
          <w:rFonts w:cs="Arial"/>
          <w:sz w:val="24"/>
          <w:szCs w:val="24"/>
        </w:rPr>
      </w:pPr>
      <w:r>
        <w:rPr>
          <w:rFonts w:cs="Arial"/>
          <w:sz w:val="24"/>
          <w:szCs w:val="24"/>
        </w:rPr>
        <w:t>5.5.2.4.Канализование населенных пунктов следует предусматривать по системам: раздельной - полной или неполной, полураздельной, а также комбинированной.</w:t>
      </w:r>
    </w:p>
    <w:p>
      <w:pPr>
        <w:pStyle w:val="ConsPlusNormal2"/>
        <w:ind w:left="0" w:right="0" w:firstLine="540"/>
        <w:rPr>
          <w:rFonts w:cs="Arial"/>
          <w:sz w:val="24"/>
          <w:szCs w:val="24"/>
        </w:rPr>
      </w:pPr>
      <w:r>
        <w:rPr>
          <w:rFonts w:cs="Arial"/>
          <w:sz w:val="24"/>
          <w:szCs w:val="24"/>
        </w:rPr>
        <w:t>Отведение поверхностных вод по открытой системе водостоков допускается при соответствующем обосновании и согласовании с органами санитарно-эпидемиологического и экологического надзора, по регулированию и охране вод, охраны рыбных запасов.</w:t>
      </w:r>
    </w:p>
    <w:p>
      <w:pPr>
        <w:pStyle w:val="ConsPlusNormal2"/>
        <w:ind w:left="0" w:right="0" w:firstLine="540"/>
        <w:rPr>
          <w:rFonts w:cs="Arial"/>
          <w:sz w:val="24"/>
          <w:szCs w:val="24"/>
        </w:rPr>
      </w:pPr>
      <w:r>
        <w:rPr>
          <w:rFonts w:cs="Arial"/>
          <w:sz w:val="24"/>
          <w:szCs w:val="24"/>
        </w:rPr>
        <w:t>Выбор системы канализации следует производить с учетом требований к очистке поверхностных сточных вод, рельефа местности и других факторов.</w:t>
      </w:r>
    </w:p>
    <w:p>
      <w:pPr>
        <w:pStyle w:val="ConsPlusNormal2"/>
        <w:tabs>
          <w:tab w:val="left" w:pos="851" w:leader="none"/>
        </w:tabs>
        <w:suppressAutoHyphens w:val="false"/>
        <w:rPr>
          <w:rFonts w:cs="Arial"/>
          <w:sz w:val="24"/>
          <w:szCs w:val="24"/>
        </w:rPr>
      </w:pPr>
      <w:r>
        <w:rPr>
          <w:rFonts w:cs="Arial"/>
          <w:sz w:val="24"/>
          <w:szCs w:val="24"/>
        </w:rPr>
        <w:t>5.5.2.5.Канализацию населенных пунктов до 5000 человек следует предусматривать по неполной раздельной системе.</w:t>
      </w:r>
    </w:p>
    <w:p>
      <w:pPr>
        <w:pStyle w:val="ConsPlusNormal2"/>
        <w:ind w:left="0" w:right="0" w:firstLine="540"/>
        <w:rPr>
          <w:rFonts w:cs="Arial"/>
          <w:sz w:val="24"/>
          <w:szCs w:val="24"/>
        </w:rPr>
      </w:pPr>
      <w:r>
        <w:rPr>
          <w:rFonts w:cs="Arial"/>
          <w:sz w:val="24"/>
          <w:szCs w:val="24"/>
        </w:rPr>
        <w:t>Для данных населенных пунктов следует предусматривать централизованные схемы канализации для одного или нескольких населенных пунктов, отдельных групп зданий и производственных зон.</w:t>
      </w:r>
    </w:p>
    <w:p>
      <w:pPr>
        <w:pStyle w:val="ConsPlusNormal2"/>
        <w:tabs>
          <w:tab w:val="left" w:pos="851" w:leader="none"/>
        </w:tabs>
        <w:suppressAutoHyphens w:val="false"/>
        <w:rPr>
          <w:rFonts w:cs="Arial"/>
          <w:sz w:val="24"/>
          <w:szCs w:val="24"/>
        </w:rPr>
      </w:pPr>
      <w:r>
        <w:rPr>
          <w:rFonts w:cs="Arial"/>
          <w:sz w:val="24"/>
          <w:szCs w:val="24"/>
        </w:rPr>
        <w:t>5.5.2.6.Централизованные схемы канализации следует предусматривать, в первую очередь, для общественного центра поселка и примыкающей к нему застройки, а также при комплексной застройке населенного пункта. Централизованные схемы канализации следует проектировать объединенными для жилых и производственных зон, при этом объединение производственных сточных вод с бытовыми должно производиться с учетом действующих норм.</w:t>
      </w:r>
    </w:p>
    <w:p>
      <w:pPr>
        <w:pStyle w:val="ConsPlusNormal2"/>
        <w:ind w:left="0" w:right="0" w:firstLine="540"/>
        <w:rPr>
          <w:rFonts w:cs="Arial"/>
          <w:sz w:val="24"/>
          <w:szCs w:val="24"/>
        </w:rPr>
      </w:pPr>
      <w:r>
        <w:rPr>
          <w:rFonts w:cs="Arial"/>
          <w:sz w:val="24"/>
          <w:szCs w:val="24"/>
        </w:rPr>
        <w:t>Устройство централизованных схем раздельно для жилой и производственной зон допускается при технико-экономическом обосновании.</w:t>
      </w:r>
    </w:p>
    <w:p>
      <w:pPr>
        <w:pStyle w:val="ConsPlusNormal2"/>
        <w:tabs>
          <w:tab w:val="left" w:pos="851" w:leader="none"/>
        </w:tabs>
        <w:suppressAutoHyphens w:val="false"/>
        <w:rPr>
          <w:rFonts w:cs="Arial"/>
          <w:sz w:val="24"/>
          <w:szCs w:val="24"/>
        </w:rPr>
      </w:pPr>
      <w:r>
        <w:rPr>
          <w:rFonts w:cs="Arial"/>
          <w:sz w:val="24"/>
          <w:szCs w:val="24"/>
        </w:rPr>
        <w:t xml:space="preserve">5.5.2.7.Для выборочной застройки в сложившихся населенных пунктах и при отсутствии в них централизованных систем канализации, а также для канализования первоочередных объектов (отдельных жилых домов, больниц, школ, детских садов, административных зданий) следует применять децентрализованные схемы канализации. Применению децентрализованной схемы канализации благоприятствуют следующие условия: песчаные и супесчаные грунты при низком уровне грунтовых вод; низкая плотность населения канализуемой застройки (ниже 20-30 чел./га); относительно низкий уровень благоустройства жилого фонда (норма водоотведения до 100 л/чел. в сутки), отсутствие необходимых средств и мощностей подрядной организации для строительства централизованной канализации </w:t>
      </w:r>
    </w:p>
    <w:p>
      <w:pPr>
        <w:pStyle w:val="ConsPlusNormal2"/>
        <w:tabs>
          <w:tab w:val="left" w:pos="851" w:leader="none"/>
        </w:tabs>
        <w:suppressAutoHyphens w:val="false"/>
        <w:rPr>
          <w:rFonts w:cs="Arial"/>
          <w:sz w:val="24"/>
          <w:szCs w:val="24"/>
        </w:rPr>
      </w:pPr>
      <w:r>
        <w:rPr>
          <w:rFonts w:cs="Arial"/>
          <w:sz w:val="24"/>
          <w:szCs w:val="24"/>
        </w:rPr>
        <w:t>5.5.2.8.Канализование промышленных предприятий следует предусматривать по полной раздельной системе.</w:t>
      </w:r>
    </w:p>
    <w:p>
      <w:pPr>
        <w:pStyle w:val="ConsPlusNormal2"/>
        <w:ind w:left="0" w:right="0" w:firstLine="540"/>
        <w:rPr>
          <w:rFonts w:cs="Arial"/>
          <w:sz w:val="24"/>
          <w:szCs w:val="24"/>
        </w:rPr>
      </w:pPr>
      <w:r>
        <w:rPr>
          <w:rFonts w:cs="Arial"/>
          <w:sz w:val="24"/>
          <w:szCs w:val="24"/>
        </w:rPr>
        <w:t>Число сетей производственной канализации на промышленной площадке необходимо определять исходя из состава сточных вод, их расхода и температуры, возможности повторного использования воды, необходимости локальной очистки и строительства бессточных систем водообеспечения. Сточные воды, требующие специальной очистки с целью их возврата в производство или для подготовки перед спуском в водные объекты или в систему канализации населенного пункта или другого водопользователя, следует отводить самостоятельным потоком.</w:t>
      </w:r>
    </w:p>
    <w:p>
      <w:pPr>
        <w:pStyle w:val="ConsPlusNormal2"/>
        <w:tabs>
          <w:tab w:val="left" w:pos="851" w:leader="none"/>
        </w:tabs>
        <w:suppressAutoHyphens w:val="false"/>
        <w:rPr>
          <w:rFonts w:cs="Arial"/>
          <w:sz w:val="24"/>
          <w:szCs w:val="24"/>
        </w:rPr>
      </w:pPr>
      <w:r>
        <w:rPr>
          <w:rFonts w:cs="Arial"/>
          <w:sz w:val="24"/>
          <w:szCs w:val="24"/>
        </w:rPr>
        <w:t>5.5.2.9.Наименьшие уклоны трубопроводов для всех систем канализации следует принимать в процентах:</w:t>
      </w:r>
    </w:p>
    <w:p>
      <w:pPr>
        <w:pStyle w:val="ConsPlusNormal2"/>
        <w:ind w:left="0" w:right="0" w:firstLine="540"/>
        <w:rPr>
          <w:rFonts w:cs="Arial"/>
          <w:sz w:val="24"/>
          <w:szCs w:val="24"/>
        </w:rPr>
      </w:pPr>
      <w:r>
        <w:rPr>
          <w:rFonts w:cs="Arial"/>
          <w:sz w:val="24"/>
          <w:szCs w:val="24"/>
        </w:rPr>
        <w:t>- 0,008 - для труб диаметром 150 мм;</w:t>
      </w:r>
    </w:p>
    <w:p>
      <w:pPr>
        <w:pStyle w:val="ConsPlusNormal2"/>
        <w:ind w:left="0" w:right="0" w:firstLine="540"/>
        <w:rPr>
          <w:rFonts w:cs="Arial"/>
          <w:sz w:val="24"/>
          <w:szCs w:val="24"/>
        </w:rPr>
      </w:pPr>
      <w:r>
        <w:rPr>
          <w:rFonts w:cs="Arial"/>
          <w:sz w:val="24"/>
          <w:szCs w:val="24"/>
        </w:rPr>
        <w:t>- 0,007 - для труб диаметром 200 мм.</w:t>
      </w:r>
    </w:p>
    <w:p>
      <w:pPr>
        <w:pStyle w:val="ConsPlusNormal2"/>
        <w:ind w:left="0" w:right="0" w:firstLine="540"/>
        <w:rPr>
          <w:rFonts w:cs="Arial"/>
          <w:sz w:val="24"/>
          <w:szCs w:val="24"/>
        </w:rPr>
      </w:pPr>
      <w:r>
        <w:rPr>
          <w:rFonts w:cs="Arial"/>
          <w:sz w:val="24"/>
          <w:szCs w:val="24"/>
        </w:rPr>
        <w:t>В зависимости от местных условий при соответствующем обосновании для отдельных участков сети допускается принимать уклоны в процентах:</w:t>
      </w:r>
    </w:p>
    <w:p>
      <w:pPr>
        <w:pStyle w:val="ConsPlusNormal2"/>
        <w:ind w:left="0" w:right="0" w:firstLine="540"/>
        <w:rPr>
          <w:rFonts w:cs="Arial"/>
          <w:sz w:val="24"/>
          <w:szCs w:val="24"/>
        </w:rPr>
      </w:pPr>
      <w:r>
        <w:rPr>
          <w:rFonts w:cs="Arial"/>
          <w:sz w:val="24"/>
          <w:szCs w:val="24"/>
        </w:rPr>
        <w:t>- 0,007 - для труб диаметром 150 мм;</w:t>
      </w:r>
    </w:p>
    <w:p>
      <w:pPr>
        <w:pStyle w:val="ConsPlusNormal2"/>
        <w:ind w:left="0" w:right="0" w:firstLine="540"/>
        <w:rPr>
          <w:rFonts w:cs="Arial"/>
          <w:sz w:val="24"/>
          <w:szCs w:val="24"/>
        </w:rPr>
      </w:pPr>
      <w:r>
        <w:rPr>
          <w:rFonts w:cs="Arial"/>
          <w:sz w:val="24"/>
          <w:szCs w:val="24"/>
        </w:rPr>
        <w:t>- 0,005 - для труб диаметром 200 мм.</w:t>
      </w:r>
    </w:p>
    <w:p>
      <w:pPr>
        <w:pStyle w:val="ConsPlusNormal2"/>
        <w:ind w:left="0" w:right="0" w:firstLine="540"/>
        <w:rPr>
          <w:rFonts w:cs="Arial"/>
          <w:sz w:val="24"/>
          <w:szCs w:val="24"/>
        </w:rPr>
      </w:pPr>
      <w:r>
        <w:rPr>
          <w:rFonts w:cs="Arial"/>
          <w:sz w:val="24"/>
          <w:szCs w:val="24"/>
        </w:rPr>
        <w:t>Уклон присоединения от дождеприемников следует принимать 0,02 процента.</w:t>
      </w:r>
    </w:p>
    <w:p>
      <w:pPr>
        <w:pStyle w:val="ConsPlusNormal2"/>
        <w:tabs>
          <w:tab w:val="left" w:pos="851" w:leader="none"/>
        </w:tabs>
        <w:suppressAutoHyphens w:val="false"/>
        <w:rPr>
          <w:rFonts w:cs="Arial"/>
          <w:sz w:val="24"/>
          <w:szCs w:val="24"/>
        </w:rPr>
      </w:pPr>
      <w:r>
        <w:rPr>
          <w:rFonts w:cs="Arial"/>
          <w:sz w:val="24"/>
          <w:szCs w:val="24"/>
        </w:rPr>
        <w:t>5.5.2.10.На пересечении канализационных сетей с водоемами и водотоками следует предусматривать дюкеры не менее чем в две рабочие линии.</w:t>
      </w:r>
    </w:p>
    <w:p>
      <w:pPr>
        <w:pStyle w:val="ConsPlusNormal2"/>
        <w:ind w:left="0" w:right="0" w:firstLine="540"/>
        <w:rPr>
          <w:rFonts w:cs="Arial"/>
          <w:sz w:val="24"/>
          <w:szCs w:val="24"/>
        </w:rPr>
      </w:pPr>
      <w:r>
        <w:rPr>
          <w:rFonts w:cs="Arial"/>
          <w:sz w:val="24"/>
          <w:szCs w:val="24"/>
        </w:rPr>
        <w:t>Проекты дюкеров через водные объекты, используемые для хозяйственно-питьевого водоснабжения, должны быть согласованы с органами санитарно-эпидемиологического надзора.</w:t>
      </w:r>
    </w:p>
    <w:p>
      <w:pPr>
        <w:pStyle w:val="ConsPlusNormal2"/>
        <w:ind w:left="0" w:right="0" w:firstLine="540"/>
        <w:rPr>
          <w:rFonts w:cs="Arial"/>
          <w:sz w:val="24"/>
          <w:szCs w:val="24"/>
        </w:rPr>
      </w:pPr>
      <w:r>
        <w:rPr>
          <w:rFonts w:cs="Arial"/>
          <w:sz w:val="24"/>
          <w:szCs w:val="24"/>
        </w:rPr>
        <w:t>При пересечении оврагов допускается предусматривать дюкеры в одну линию.</w:t>
      </w:r>
    </w:p>
    <w:p>
      <w:pPr>
        <w:pStyle w:val="ConsPlusNormal2"/>
        <w:tabs>
          <w:tab w:val="left" w:pos="851" w:leader="none"/>
        </w:tabs>
        <w:suppressAutoHyphens w:val="false"/>
        <w:rPr>
          <w:rFonts w:cs="Arial"/>
          <w:sz w:val="24"/>
          <w:szCs w:val="24"/>
        </w:rPr>
      </w:pPr>
      <w:r>
        <w:rPr>
          <w:rFonts w:cs="Arial"/>
          <w:sz w:val="24"/>
          <w:szCs w:val="24"/>
        </w:rPr>
        <w:t>5.5.2.11.Прием жидких отбросов (нечистот, помоев и т.п.), доставляемых из неканализированных зданий ассенизационным транспортом, и обработку их перед сбросом в канализационную сеть, следует осуществлять на сливных станциях.</w:t>
      </w:r>
    </w:p>
    <w:p>
      <w:pPr>
        <w:pStyle w:val="ConsPlusNormal2"/>
        <w:tabs>
          <w:tab w:val="left" w:pos="851" w:leader="none"/>
        </w:tabs>
        <w:suppressAutoHyphens w:val="false"/>
        <w:rPr>
          <w:rFonts w:cs="Arial"/>
          <w:sz w:val="24"/>
          <w:szCs w:val="24"/>
        </w:rPr>
      </w:pPr>
      <w:r>
        <w:rPr>
          <w:rFonts w:cs="Arial"/>
          <w:sz w:val="24"/>
          <w:szCs w:val="24"/>
        </w:rPr>
        <w:t>5.5.2.12.Сливные станции следует располагать на территории очистных сооружений хозяйственно-бытовых стоков или в непосредственной близости от них. Допускается размещать сливные станции вблизи канализационных коллекторов с диаметрами не менее 400 мм при этом количество сточных вод, поступающих от сливной станции, не должно превышать 20% общего расчётного расхода по коллектору.</w:t>
      </w:r>
    </w:p>
    <w:p>
      <w:pPr>
        <w:pStyle w:val="ConsPlusNormal2"/>
        <w:tabs>
          <w:tab w:val="left" w:pos="851" w:leader="none"/>
        </w:tabs>
        <w:suppressAutoHyphens w:val="false"/>
        <w:rPr>
          <w:rFonts w:cs="Arial"/>
          <w:sz w:val="24"/>
          <w:szCs w:val="24"/>
        </w:rPr>
      </w:pPr>
      <w:r>
        <w:rPr>
          <w:rFonts w:cs="Arial"/>
          <w:sz w:val="24"/>
          <w:szCs w:val="24"/>
        </w:rPr>
        <w:t>5.5.2.13.Для отдельно стоящих неканализованных зданий при расходе сточных вод до 1 куб. м/сут. допускается применение гидроизолированных снаружи и изнутри выгребов с вывозом стоков на очистные сооружения.</w:t>
      </w:r>
    </w:p>
    <w:p>
      <w:pPr>
        <w:pStyle w:val="ConsPlusNormal2"/>
        <w:tabs>
          <w:tab w:val="left" w:pos="851" w:leader="none"/>
        </w:tabs>
        <w:suppressAutoHyphens w:val="false"/>
        <w:rPr/>
      </w:pPr>
      <w:r>
        <w:rPr>
          <w:rFonts w:cs="Arial"/>
          <w:sz w:val="24"/>
          <w:szCs w:val="24"/>
        </w:rPr>
        <w:t xml:space="preserve">5.5.2.14.Выбор площадок для строительства сооружений канализации, планировку, застройку и благоустройство их территории следует выполнять в соответствии с требованиями </w:t>
      </w:r>
      <w:r>
        <w:fldChar w:fldCharType="begin"/>
      </w:r>
      <w:r>
        <w:instrText> HYPERLINK "file:///D:/! Вадим/! www.sharanga.nnov.ru/Sel'skie poseleniya/Kushnur/2017/Re//C:/Users/Специалист/Desktop/Мои документы/декабрь 2017/MNGP2.docx" \l "P544"</w:instrText>
      </w:r>
      <w:r>
        <w:fldChar w:fldCharType="separate"/>
      </w:r>
      <w:r>
        <w:rPr>
          <w:rStyle w:val="Style9"/>
          <w:rFonts w:cs="Arial"/>
          <w:color w:val="00000A"/>
          <w:sz w:val="24"/>
          <w:szCs w:val="24"/>
        </w:rPr>
        <w:t xml:space="preserve">раздела </w:t>
      </w:r>
      <w:r>
        <w:fldChar w:fldCharType="end"/>
      </w:r>
      <w:r>
        <w:rPr>
          <w:rFonts w:cs="Arial"/>
          <w:sz w:val="24"/>
          <w:szCs w:val="24"/>
        </w:rPr>
        <w:t xml:space="preserve"> "Производственная территория" настоящих Нормативов и требованиями к устройству санитарно-защитных зон СанПиН 1200-03.</w:t>
      </w:r>
    </w:p>
    <w:p>
      <w:pPr>
        <w:pStyle w:val="ConsPlusNormal2"/>
        <w:ind w:left="0" w:right="0" w:firstLine="540"/>
        <w:rPr>
          <w:rFonts w:cs="Arial"/>
          <w:sz w:val="24"/>
          <w:szCs w:val="24"/>
        </w:rPr>
      </w:pPr>
      <w:r>
        <w:rPr>
          <w:rFonts w:cs="Arial"/>
          <w:sz w:val="24"/>
          <w:szCs w:val="24"/>
        </w:rPr>
        <w:t>Планировочные отметки площадок канализационных сооружений и насосных станций, размещаемых на прибрежных участках водотоков и водоемов, следует принимать не менее чем на 0,5 м выше максимального горизонта паводковых вод с обеспеченностью 3 процента с учетом ветрового нагона воды и высоты наката ветровой волны.</w:t>
      </w:r>
    </w:p>
    <w:p>
      <w:pPr>
        <w:pStyle w:val="ConsPlusNormal2"/>
        <w:tabs>
          <w:tab w:val="left" w:pos="851" w:leader="none"/>
        </w:tabs>
        <w:suppressAutoHyphens w:val="false"/>
        <w:rPr>
          <w:rFonts w:cs="Arial"/>
          <w:sz w:val="24"/>
          <w:szCs w:val="24"/>
        </w:rPr>
      </w:pPr>
      <w:r>
        <w:rPr>
          <w:rFonts w:cs="Arial"/>
          <w:sz w:val="24"/>
          <w:szCs w:val="24"/>
        </w:rPr>
        <w:t>5.5.2.15.Выбор, отвод и использование земель для магистральных канализационных коллекторов осуществляются в соответствии с требованиями СН 456-73.</w:t>
      </w:r>
    </w:p>
    <w:p>
      <w:pPr>
        <w:pStyle w:val="ConsPlusNormal2"/>
        <w:ind w:left="0" w:right="0" w:firstLine="540"/>
        <w:rPr>
          <w:rFonts w:cs="Arial"/>
          <w:sz w:val="24"/>
          <w:szCs w:val="24"/>
        </w:rPr>
      </w:pPr>
      <w:r>
        <w:rPr>
          <w:rFonts w:cs="Arial"/>
          <w:sz w:val="24"/>
          <w:szCs w:val="24"/>
        </w:rPr>
        <w:t>Размеры земельных участков для размещения колодцев канализационных коллекторов должны быть не более 3 м x 3 м, камер переключения и запорной арматуры - не более 10 м x 10 м.</w:t>
      </w:r>
    </w:p>
    <w:p>
      <w:pPr>
        <w:pStyle w:val="ConsPlusNormal2"/>
        <w:tabs>
          <w:tab w:val="left" w:pos="851" w:leader="none"/>
        </w:tabs>
        <w:suppressAutoHyphens w:val="false"/>
        <w:rPr>
          <w:rFonts w:cs="Arial"/>
          <w:sz w:val="24"/>
          <w:szCs w:val="24"/>
        </w:rPr>
      </w:pPr>
      <w:r>
        <w:rPr>
          <w:rFonts w:cs="Arial"/>
          <w:sz w:val="24"/>
          <w:szCs w:val="24"/>
        </w:rPr>
        <w:t>5.5.2.16.Площадку очистных сооружений сточных вод следует располагать с подветренной стороны для ветров преобладающего в теплый период года направления по отношению к жилой застройке и населенного пункта ниже по течению водотока.</w:t>
      </w:r>
    </w:p>
    <w:p>
      <w:pPr>
        <w:pStyle w:val="ConsPlusNormal2"/>
        <w:ind w:left="0" w:right="0" w:firstLine="540"/>
        <w:rPr>
          <w:rFonts w:cs="Arial"/>
          <w:sz w:val="24"/>
          <w:szCs w:val="24"/>
        </w:rPr>
      </w:pPr>
      <w:r>
        <w:rPr>
          <w:rFonts w:cs="Arial"/>
          <w:sz w:val="24"/>
          <w:szCs w:val="24"/>
        </w:rPr>
        <w:t>Очистные сооружения производственной и дождевой канализации следует размещать на территории промышленных предприятий.</w:t>
      </w:r>
    </w:p>
    <w:p>
      <w:pPr>
        <w:pStyle w:val="ConsPlusNormal2"/>
        <w:tabs>
          <w:tab w:val="left" w:pos="851" w:leader="none"/>
        </w:tabs>
        <w:suppressAutoHyphens w:val="false"/>
        <w:ind w:left="567" w:right="0" w:hanging="0"/>
        <w:rPr>
          <w:rFonts w:cs="Arial"/>
          <w:sz w:val="24"/>
          <w:szCs w:val="24"/>
        </w:rPr>
      </w:pPr>
      <w:r>
        <w:rPr>
          <w:rFonts w:cs="Arial"/>
          <w:sz w:val="24"/>
          <w:szCs w:val="24"/>
        </w:rPr>
        <w:t>5.5.2.17.Размеры земельных участков для очистных сооружений канализации должны быть не более указанных в таблице 7.</w:t>
      </w:r>
    </w:p>
    <w:p>
      <w:pPr>
        <w:pStyle w:val="ConsPlusNormal2"/>
        <w:jc w:val="right"/>
        <w:rPr>
          <w:rFonts w:cs="Arial"/>
          <w:sz w:val="24"/>
          <w:szCs w:val="24"/>
        </w:rPr>
      </w:pPr>
      <w:bookmarkStart w:id="88" w:name="P762"/>
      <w:bookmarkEnd w:id="88"/>
      <w:r>
        <w:rPr>
          <w:rFonts w:cs="Arial"/>
          <w:sz w:val="24"/>
          <w:szCs w:val="24"/>
        </w:rPr>
        <w:t>Таблица 7</w:t>
      </w:r>
    </w:p>
    <w:tbl>
      <w:tblPr>
        <w:tblW w:w="10284"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3745"/>
        <w:gridCol w:w="1587"/>
        <w:gridCol w:w="1588"/>
        <w:gridCol w:w="3364"/>
      </w:tblGrid>
      <w:tr>
        <w:trPr/>
        <w:tc>
          <w:tcPr>
            <w:tcW w:w="3745"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rPr>
                <w:rFonts w:cs="Arial"/>
                <w:b/>
                <w:b/>
                <w:sz w:val="24"/>
                <w:szCs w:val="24"/>
              </w:rPr>
            </w:pPr>
            <w:r>
              <w:rPr>
                <w:rFonts w:cs="Arial"/>
                <w:b/>
                <w:sz w:val="24"/>
                <w:szCs w:val="24"/>
              </w:rPr>
              <w:t>Производительность очистных сооружений канализации, тыс. куб. м/сут.</w:t>
            </w:r>
          </w:p>
        </w:tc>
        <w:tc>
          <w:tcPr>
            <w:tcW w:w="6539"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rPr>
                <w:rFonts w:cs="Arial"/>
                <w:b/>
                <w:b/>
                <w:sz w:val="24"/>
                <w:szCs w:val="24"/>
              </w:rPr>
            </w:pPr>
            <w:r>
              <w:rPr>
                <w:rFonts w:cs="Arial"/>
                <w:b/>
                <w:sz w:val="24"/>
                <w:szCs w:val="24"/>
              </w:rPr>
              <w:t>Размер земельного участка, га</w:t>
            </w:r>
          </w:p>
        </w:tc>
      </w:tr>
      <w:tr>
        <w:trPr/>
        <w:tc>
          <w:tcPr>
            <w:tcW w:w="3745"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cs="Arial"/>
                <w:b/>
                <w:b/>
                <w:sz w:val="24"/>
                <w:szCs w:val="24"/>
                <w:lang w:eastAsia="ar-SA"/>
              </w:rPr>
            </w:pPr>
            <w:r>
              <w:rPr>
                <w:rFonts w:cs="Arial" w:ascii="Arial" w:hAnsi="Arial"/>
                <w:b/>
                <w:sz w:val="24"/>
                <w:szCs w:val="24"/>
                <w:lang w:eastAsia="ar-SA"/>
              </w:rPr>
            </w:r>
          </w:p>
        </w:tc>
        <w:tc>
          <w:tcPr>
            <w:tcW w:w="1587"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rPr>
                <w:rFonts w:cs="Arial"/>
                <w:b/>
                <w:b/>
                <w:sz w:val="24"/>
                <w:szCs w:val="24"/>
              </w:rPr>
            </w:pPr>
            <w:r>
              <w:rPr>
                <w:rFonts w:cs="Arial"/>
                <w:b/>
                <w:sz w:val="24"/>
                <w:szCs w:val="24"/>
              </w:rPr>
              <w:t>очистных сооружений</w:t>
            </w:r>
          </w:p>
        </w:tc>
        <w:tc>
          <w:tcPr>
            <w:tcW w:w="1588"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rPr>
                <w:rFonts w:cs="Arial"/>
                <w:b/>
                <w:b/>
                <w:sz w:val="24"/>
                <w:szCs w:val="24"/>
              </w:rPr>
            </w:pPr>
            <w:r>
              <w:rPr>
                <w:rFonts w:cs="Arial"/>
                <w:b/>
                <w:sz w:val="24"/>
                <w:szCs w:val="24"/>
              </w:rPr>
              <w:t>иловых площадок</w:t>
            </w:r>
          </w:p>
        </w:tc>
        <w:tc>
          <w:tcPr>
            <w:tcW w:w="336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rPr>
                <w:rFonts w:cs="Arial"/>
                <w:b/>
                <w:b/>
                <w:sz w:val="24"/>
                <w:szCs w:val="24"/>
              </w:rPr>
            </w:pPr>
            <w:r>
              <w:rPr>
                <w:rFonts w:cs="Arial"/>
                <w:b/>
                <w:sz w:val="24"/>
                <w:szCs w:val="24"/>
              </w:rPr>
              <w:t>биологических прудов глубокой очистки сточных вод</w:t>
            </w:r>
          </w:p>
        </w:tc>
      </w:tr>
      <w:tr>
        <w:trPr/>
        <w:tc>
          <w:tcPr>
            <w:tcW w:w="374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до 0,7</w:t>
            </w:r>
          </w:p>
        </w:tc>
        <w:tc>
          <w:tcPr>
            <w:tcW w:w="158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0,5</w:t>
            </w:r>
          </w:p>
        </w:tc>
        <w:tc>
          <w:tcPr>
            <w:tcW w:w="158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0,2</w:t>
            </w:r>
          </w:p>
        </w:tc>
        <w:tc>
          <w:tcPr>
            <w:tcW w:w="336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rPr>
                <w:rFonts w:cs="Arial"/>
                <w:sz w:val="24"/>
                <w:szCs w:val="24"/>
              </w:rPr>
            </w:pPr>
            <w:r>
              <w:rPr>
                <w:rFonts w:cs="Arial"/>
                <w:sz w:val="24"/>
                <w:szCs w:val="24"/>
              </w:rPr>
              <w:t>-</w:t>
            </w:r>
          </w:p>
        </w:tc>
      </w:tr>
      <w:tr>
        <w:trPr/>
        <w:tc>
          <w:tcPr>
            <w:tcW w:w="374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свыше 0,7 до 17</w:t>
            </w:r>
          </w:p>
        </w:tc>
        <w:tc>
          <w:tcPr>
            <w:tcW w:w="158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4</w:t>
            </w:r>
          </w:p>
        </w:tc>
        <w:tc>
          <w:tcPr>
            <w:tcW w:w="158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3</w:t>
            </w:r>
          </w:p>
        </w:tc>
        <w:tc>
          <w:tcPr>
            <w:tcW w:w="336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rPr>
                <w:rFonts w:cs="Arial"/>
                <w:sz w:val="24"/>
                <w:szCs w:val="24"/>
              </w:rPr>
            </w:pPr>
            <w:r>
              <w:rPr>
                <w:rFonts w:cs="Arial"/>
                <w:sz w:val="24"/>
                <w:szCs w:val="24"/>
              </w:rPr>
              <w:t>3</w:t>
            </w:r>
          </w:p>
        </w:tc>
      </w:tr>
    </w:tbl>
    <w:p>
      <w:pPr>
        <w:pStyle w:val="ConsPlusNormal2"/>
        <w:tabs>
          <w:tab w:val="left" w:pos="851" w:leader="none"/>
        </w:tabs>
        <w:suppressAutoHyphens w:val="false"/>
        <w:rPr/>
      </w:pPr>
      <w:r>
        <w:rPr>
          <w:rFonts w:cs="Arial"/>
          <w:sz w:val="24"/>
          <w:szCs w:val="24"/>
        </w:rPr>
        <w:t xml:space="preserve">5.5.2.18.Санитарно-защитные зоны (далее - СЗЗ) для канализационных очистных сооружений следует принимать в соответствии с </w:t>
      </w:r>
      <w:hyperlink r:id="rId27">
        <w:r>
          <w:rPr>
            <w:rStyle w:val="Style9"/>
            <w:rFonts w:cs="Arial"/>
            <w:color w:val="00000A"/>
            <w:sz w:val="24"/>
            <w:szCs w:val="24"/>
          </w:rPr>
          <w:t>СанПиН 2.2.1/2.1.1.1200-03</w:t>
        </w:r>
      </w:hyperlink>
      <w:r>
        <w:rPr>
          <w:rFonts w:cs="Arial"/>
          <w:sz w:val="24"/>
          <w:szCs w:val="24"/>
        </w:rPr>
        <w:t xml:space="preserve">  ( с изменениями от 25 апреля 2014 года) по </w:t>
      </w:r>
      <w:r>
        <w:fldChar w:fldCharType="begin"/>
      </w:r>
      <w:r>
        <w:instrText> HYPERLINK "file:///D:/! Вадим/! www.sharanga.nnov.ru/Sel'skie poseleniya/Kushnur/2017/Re//C:/Users/Специалист/Desktop/Мои документы/декабрь 2017/MNGP2.docx" \l "P780"</w:instrText>
      </w:r>
      <w:r>
        <w:fldChar w:fldCharType="separate"/>
      </w:r>
      <w:r>
        <w:rPr>
          <w:rStyle w:val="Style9"/>
          <w:rFonts w:cs="Arial"/>
          <w:color w:val="00000A"/>
          <w:sz w:val="24"/>
          <w:szCs w:val="24"/>
        </w:rPr>
        <w:t>таблице 8</w:t>
      </w:r>
      <w:r>
        <w:fldChar w:fldCharType="end"/>
      </w:r>
      <w:r>
        <w:rPr>
          <w:rFonts w:cs="Arial"/>
          <w:sz w:val="24"/>
          <w:szCs w:val="24"/>
        </w:rPr>
        <w:t>.</w:t>
      </w:r>
    </w:p>
    <w:p>
      <w:pPr>
        <w:pStyle w:val="ConsPlusNormal2"/>
        <w:jc w:val="right"/>
        <w:rPr>
          <w:rFonts w:cs="Arial"/>
          <w:sz w:val="24"/>
          <w:szCs w:val="24"/>
        </w:rPr>
      </w:pPr>
      <w:bookmarkStart w:id="89" w:name="P780"/>
      <w:bookmarkEnd w:id="89"/>
      <w:r>
        <w:rPr>
          <w:rFonts w:cs="Arial"/>
          <w:sz w:val="24"/>
          <w:szCs w:val="24"/>
        </w:rPr>
        <w:t>Таблица 8</w:t>
      </w:r>
    </w:p>
    <w:tbl>
      <w:tblPr>
        <w:tblW w:w="10284"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4198"/>
        <w:gridCol w:w="1801"/>
        <w:gridCol w:w="1815"/>
        <w:gridCol w:w="2470"/>
      </w:tblGrid>
      <w:tr>
        <w:trPr/>
        <w:tc>
          <w:tcPr>
            <w:tcW w:w="4198"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rPr>
                <w:rFonts w:cs="Arial"/>
                <w:b/>
                <w:b/>
                <w:sz w:val="24"/>
                <w:szCs w:val="24"/>
              </w:rPr>
            </w:pPr>
            <w:r>
              <w:rPr>
                <w:rFonts w:cs="Arial"/>
                <w:b/>
                <w:sz w:val="24"/>
                <w:szCs w:val="24"/>
              </w:rPr>
              <w:t>Сооружение для очистки сточных вод</w:t>
            </w:r>
          </w:p>
        </w:tc>
        <w:tc>
          <w:tcPr>
            <w:tcW w:w="6086"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rPr>
                <w:rFonts w:cs="Arial"/>
                <w:b/>
                <w:b/>
                <w:sz w:val="24"/>
                <w:szCs w:val="24"/>
              </w:rPr>
            </w:pPr>
            <w:r>
              <w:rPr>
                <w:rFonts w:cs="Arial"/>
                <w:b/>
                <w:sz w:val="24"/>
                <w:szCs w:val="24"/>
              </w:rPr>
              <w:t>Расстояние в метрах при расчетной производительности очистных сооружений (тыс. куб. м/сут.)</w:t>
            </w:r>
          </w:p>
        </w:tc>
      </w:tr>
      <w:tr>
        <w:trPr/>
        <w:tc>
          <w:tcPr>
            <w:tcW w:w="4198"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cs="Arial"/>
                <w:b/>
                <w:b/>
                <w:sz w:val="24"/>
                <w:szCs w:val="24"/>
                <w:lang w:eastAsia="ar-SA"/>
              </w:rPr>
            </w:pPr>
            <w:r>
              <w:rPr>
                <w:rFonts w:cs="Arial" w:ascii="Arial" w:hAnsi="Arial"/>
                <w:b/>
                <w:sz w:val="24"/>
                <w:szCs w:val="24"/>
                <w:lang w:eastAsia="ar-SA"/>
              </w:rPr>
            </w:r>
          </w:p>
        </w:tc>
        <w:tc>
          <w:tcPr>
            <w:tcW w:w="1801"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rPr>
                <w:rFonts w:cs="Arial"/>
                <w:b/>
                <w:b/>
                <w:sz w:val="24"/>
                <w:szCs w:val="24"/>
              </w:rPr>
            </w:pPr>
            <w:r>
              <w:rPr>
                <w:rFonts w:cs="Arial"/>
                <w:b/>
                <w:sz w:val="24"/>
                <w:szCs w:val="24"/>
              </w:rPr>
              <w:t>до 0,2</w:t>
            </w:r>
          </w:p>
        </w:tc>
        <w:tc>
          <w:tcPr>
            <w:tcW w:w="1815"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rPr>
                <w:rFonts w:cs="Arial"/>
                <w:b/>
                <w:b/>
                <w:sz w:val="24"/>
                <w:szCs w:val="24"/>
              </w:rPr>
            </w:pPr>
            <w:r>
              <w:rPr>
                <w:rFonts w:cs="Arial"/>
                <w:b/>
                <w:sz w:val="24"/>
                <w:szCs w:val="24"/>
              </w:rPr>
              <w:t>более 0,2 до 5,0</w:t>
            </w:r>
          </w:p>
        </w:tc>
        <w:tc>
          <w:tcPr>
            <w:tcW w:w="247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rPr>
                <w:rFonts w:cs="Arial"/>
                <w:b/>
                <w:b/>
                <w:sz w:val="24"/>
                <w:szCs w:val="24"/>
              </w:rPr>
            </w:pPr>
            <w:r>
              <w:rPr>
                <w:rFonts w:cs="Arial"/>
                <w:b/>
                <w:sz w:val="24"/>
                <w:szCs w:val="24"/>
              </w:rPr>
              <w:t>более 5,0 до 50,0</w:t>
            </w:r>
          </w:p>
        </w:tc>
      </w:tr>
      <w:tr>
        <w:trPr/>
        <w:tc>
          <w:tcPr>
            <w:tcW w:w="41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Насосные станции и аварийно-регулирующие резервуары, локальные очистные сооружения</w:t>
            </w:r>
          </w:p>
        </w:tc>
        <w:tc>
          <w:tcPr>
            <w:tcW w:w="180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15</w:t>
            </w:r>
          </w:p>
        </w:tc>
        <w:tc>
          <w:tcPr>
            <w:tcW w:w="181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20</w:t>
            </w:r>
          </w:p>
        </w:tc>
        <w:tc>
          <w:tcPr>
            <w:tcW w:w="247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rPr>
                <w:rFonts w:cs="Arial"/>
                <w:sz w:val="24"/>
                <w:szCs w:val="24"/>
              </w:rPr>
            </w:pPr>
            <w:r>
              <w:rPr>
                <w:rFonts w:cs="Arial"/>
                <w:sz w:val="24"/>
                <w:szCs w:val="24"/>
              </w:rPr>
              <w:t>20</w:t>
            </w:r>
          </w:p>
        </w:tc>
      </w:tr>
      <w:tr>
        <w:trPr/>
        <w:tc>
          <w:tcPr>
            <w:tcW w:w="41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Сооружения для механической и биологической очистки с иловыми площадками для сброженных осадков, а также иловые площадки</w:t>
            </w:r>
          </w:p>
        </w:tc>
        <w:tc>
          <w:tcPr>
            <w:tcW w:w="180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150</w:t>
            </w:r>
          </w:p>
        </w:tc>
        <w:tc>
          <w:tcPr>
            <w:tcW w:w="181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200</w:t>
            </w:r>
          </w:p>
        </w:tc>
        <w:tc>
          <w:tcPr>
            <w:tcW w:w="247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rPr>
                <w:rFonts w:cs="Arial"/>
                <w:sz w:val="24"/>
                <w:szCs w:val="24"/>
              </w:rPr>
            </w:pPr>
            <w:r>
              <w:rPr>
                <w:rFonts w:cs="Arial"/>
                <w:sz w:val="24"/>
                <w:szCs w:val="24"/>
              </w:rPr>
              <w:t>400</w:t>
            </w:r>
          </w:p>
        </w:tc>
      </w:tr>
      <w:tr>
        <w:trPr/>
        <w:tc>
          <w:tcPr>
            <w:tcW w:w="41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Сооружения для механической и биологической очистки с термомеханической обработкой осадка в закрытых помещениях</w:t>
            </w:r>
          </w:p>
        </w:tc>
        <w:tc>
          <w:tcPr>
            <w:tcW w:w="180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100</w:t>
            </w:r>
          </w:p>
        </w:tc>
        <w:tc>
          <w:tcPr>
            <w:tcW w:w="181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150</w:t>
            </w:r>
          </w:p>
        </w:tc>
        <w:tc>
          <w:tcPr>
            <w:tcW w:w="247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rPr>
                <w:rFonts w:cs="Arial"/>
                <w:sz w:val="24"/>
                <w:szCs w:val="24"/>
              </w:rPr>
            </w:pPr>
            <w:r>
              <w:rPr>
                <w:rFonts w:cs="Arial"/>
                <w:sz w:val="24"/>
                <w:szCs w:val="24"/>
              </w:rPr>
              <w:t>300</w:t>
            </w:r>
          </w:p>
        </w:tc>
      </w:tr>
      <w:tr>
        <w:trPr/>
        <w:tc>
          <w:tcPr>
            <w:tcW w:w="41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Поля фильтрации</w:t>
            </w:r>
          </w:p>
        </w:tc>
        <w:tc>
          <w:tcPr>
            <w:tcW w:w="180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200</w:t>
            </w:r>
          </w:p>
        </w:tc>
        <w:tc>
          <w:tcPr>
            <w:tcW w:w="181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300</w:t>
            </w:r>
          </w:p>
        </w:tc>
        <w:tc>
          <w:tcPr>
            <w:tcW w:w="247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rPr>
                <w:rFonts w:cs="Arial"/>
                <w:sz w:val="24"/>
                <w:szCs w:val="24"/>
              </w:rPr>
            </w:pPr>
            <w:r>
              <w:rPr>
                <w:rFonts w:cs="Arial"/>
                <w:sz w:val="24"/>
                <w:szCs w:val="24"/>
              </w:rPr>
              <w:t>500</w:t>
            </w:r>
          </w:p>
        </w:tc>
      </w:tr>
      <w:tr>
        <w:trPr/>
        <w:tc>
          <w:tcPr>
            <w:tcW w:w="41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орошения</w:t>
            </w:r>
          </w:p>
        </w:tc>
        <w:tc>
          <w:tcPr>
            <w:tcW w:w="180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150</w:t>
            </w:r>
          </w:p>
        </w:tc>
        <w:tc>
          <w:tcPr>
            <w:tcW w:w="181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200</w:t>
            </w:r>
          </w:p>
        </w:tc>
        <w:tc>
          <w:tcPr>
            <w:tcW w:w="247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rPr>
                <w:rFonts w:cs="Arial"/>
                <w:sz w:val="24"/>
                <w:szCs w:val="24"/>
              </w:rPr>
            </w:pPr>
            <w:r>
              <w:rPr>
                <w:rFonts w:cs="Arial"/>
                <w:sz w:val="24"/>
                <w:szCs w:val="24"/>
              </w:rPr>
              <w:t>400</w:t>
            </w:r>
          </w:p>
        </w:tc>
      </w:tr>
      <w:tr>
        <w:trPr/>
        <w:tc>
          <w:tcPr>
            <w:tcW w:w="419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Биологические пруды</w:t>
            </w:r>
          </w:p>
        </w:tc>
        <w:tc>
          <w:tcPr>
            <w:tcW w:w="180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200</w:t>
            </w:r>
          </w:p>
        </w:tc>
        <w:tc>
          <w:tcPr>
            <w:tcW w:w="181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200</w:t>
            </w:r>
          </w:p>
        </w:tc>
        <w:tc>
          <w:tcPr>
            <w:tcW w:w="247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rPr>
                <w:rFonts w:cs="Arial"/>
                <w:sz w:val="24"/>
                <w:szCs w:val="24"/>
              </w:rPr>
            </w:pPr>
            <w:r>
              <w:rPr>
                <w:rFonts w:cs="Arial"/>
                <w:sz w:val="24"/>
                <w:szCs w:val="24"/>
              </w:rPr>
              <w:t>300</w:t>
            </w:r>
          </w:p>
        </w:tc>
      </w:tr>
    </w:tbl>
    <w:p>
      <w:pPr>
        <w:pStyle w:val="ConsPlusNormal2"/>
        <w:ind w:left="0" w:right="0" w:firstLine="540"/>
        <w:rPr>
          <w:rFonts w:cs="Arial"/>
          <w:sz w:val="24"/>
          <w:szCs w:val="24"/>
        </w:rPr>
      </w:pPr>
      <w:r>
        <w:rPr>
          <w:rFonts w:cs="Arial"/>
          <w:sz w:val="24"/>
          <w:szCs w:val="24"/>
        </w:rPr>
        <w:t>Примечания.</w:t>
      </w:r>
    </w:p>
    <w:p>
      <w:pPr>
        <w:pStyle w:val="ConsPlusNormal2"/>
        <w:ind w:left="0" w:right="0" w:firstLine="540"/>
        <w:rPr>
          <w:rFonts w:cs="Arial"/>
          <w:sz w:val="24"/>
          <w:szCs w:val="24"/>
        </w:rPr>
      </w:pPr>
      <w:r>
        <w:rPr>
          <w:rFonts w:cs="Arial"/>
          <w:sz w:val="24"/>
          <w:szCs w:val="24"/>
        </w:rPr>
        <w:t>1. При отсутствии иловых площадок на территории очистных сооружений производительностью свыше 0,2 тыс. куб. м/сут. размер зоны следует сокращать на 30 процентов.</w:t>
      </w:r>
    </w:p>
    <w:p>
      <w:pPr>
        <w:pStyle w:val="ConsPlusNormal2"/>
        <w:ind w:left="0" w:right="0" w:firstLine="540"/>
        <w:rPr>
          <w:rFonts w:cs="Arial"/>
          <w:sz w:val="24"/>
          <w:szCs w:val="24"/>
        </w:rPr>
      </w:pPr>
      <w:r>
        <w:rPr>
          <w:rFonts w:cs="Arial"/>
          <w:sz w:val="24"/>
          <w:szCs w:val="24"/>
        </w:rPr>
        <w:t>2. Для полей фильтрации площадью до 0,5 га, для полей орошения коммунального типа площадью до 1,0 га, для сооружений механической и биологической очистки сточных вод производительностью до 50 куб. м/сут. СЗЗ следует принимать размером 100 м.</w:t>
      </w:r>
    </w:p>
    <w:p>
      <w:pPr>
        <w:pStyle w:val="ConsPlusNormal2"/>
        <w:ind w:left="0" w:right="0" w:firstLine="540"/>
        <w:rPr>
          <w:rFonts w:cs="Arial"/>
          <w:sz w:val="24"/>
          <w:szCs w:val="24"/>
        </w:rPr>
      </w:pPr>
      <w:r>
        <w:rPr>
          <w:rFonts w:cs="Arial"/>
          <w:sz w:val="24"/>
          <w:szCs w:val="24"/>
        </w:rPr>
        <w:t>3. Для полей подземной фильтрации пропускной способностью до 15 куб. м/сут. СЗЗ следует принимать размером 50 м.</w:t>
      </w:r>
    </w:p>
    <w:p>
      <w:pPr>
        <w:pStyle w:val="ConsPlusNormal2"/>
        <w:ind w:left="0" w:right="0" w:firstLine="540"/>
        <w:rPr>
          <w:rFonts w:cs="Arial"/>
          <w:sz w:val="24"/>
          <w:szCs w:val="24"/>
        </w:rPr>
      </w:pPr>
      <w:r>
        <w:rPr>
          <w:rFonts w:cs="Arial"/>
          <w:sz w:val="24"/>
          <w:szCs w:val="24"/>
        </w:rPr>
        <w:t>4. СЗЗ от фильтрующих траншей и песчано-гравийных фильтров следует принимать 25 м, от септиков - 5 м, от фильтрующих колодцев - 8 м, от аэрационных установок на полное окисление с аэробной стабилизацией ила при производительности до 700 куб. м/сут. - 50 м.</w:t>
      </w:r>
    </w:p>
    <w:p>
      <w:pPr>
        <w:pStyle w:val="ConsPlusNormal2"/>
        <w:ind w:left="0" w:right="0" w:firstLine="540"/>
        <w:rPr>
          <w:rFonts w:cs="Arial"/>
          <w:sz w:val="24"/>
          <w:szCs w:val="24"/>
        </w:rPr>
      </w:pPr>
      <w:r>
        <w:rPr>
          <w:rFonts w:cs="Arial"/>
          <w:sz w:val="24"/>
          <w:szCs w:val="24"/>
        </w:rPr>
        <w:t>5. СЗЗ от очистных сооружений поверхностного стока открытого типа до жилой территории следует принимать 100 м, закрытого типа - 50 м.</w:t>
      </w:r>
    </w:p>
    <w:p>
      <w:pPr>
        <w:pStyle w:val="ConsPlusNormal2"/>
        <w:ind w:left="0" w:right="0" w:firstLine="540"/>
        <w:rPr/>
      </w:pPr>
      <w:r>
        <w:rPr>
          <w:rFonts w:cs="Arial"/>
          <w:sz w:val="24"/>
          <w:szCs w:val="24"/>
        </w:rPr>
        <w:t xml:space="preserve">6. СЗЗ, указанные в </w:t>
      </w:r>
      <w:r>
        <w:fldChar w:fldCharType="begin"/>
      </w:r>
      <w:r>
        <w:instrText> HYPERLINK "file:///D:/! Вадим/! www.sharanga.nnov.ru/Sel'skie poseleniya/Kushnur/2017/Re//C:/Users/Специалист/Desktop/Мои документы/декабрь 2017/MNGP2.docx" \l "P780"</w:instrText>
      </w:r>
      <w:r>
        <w:fldChar w:fldCharType="separate"/>
      </w:r>
      <w:r>
        <w:rPr>
          <w:rStyle w:val="Style9"/>
          <w:rFonts w:cs="Arial"/>
          <w:sz w:val="24"/>
          <w:szCs w:val="24"/>
        </w:rPr>
        <w:t>таблице 8</w:t>
      </w:r>
      <w:r>
        <w:fldChar w:fldCharType="end"/>
      </w:r>
      <w:r>
        <w:rPr>
          <w:rFonts w:cs="Arial"/>
          <w:sz w:val="24"/>
          <w:szCs w:val="24"/>
        </w:rPr>
        <w:t xml:space="preserve"> настоящих Нормативов, допускается увеличивать, но не более чем в 2 раза в случае расположения жилой застройки с подветренной стороны по отношению к очистным сооружениям, или уменьшать не более чем на 25 процентов при наличии благоприятной розы ветров.</w:t>
      </w:r>
    </w:p>
    <w:p>
      <w:pPr>
        <w:pStyle w:val="ConsPlusNormal2"/>
        <w:ind w:left="0" w:right="0" w:firstLine="540"/>
        <w:rPr>
          <w:rFonts w:cs="Arial"/>
          <w:sz w:val="24"/>
          <w:szCs w:val="24"/>
        </w:rPr>
      </w:pPr>
      <w:r>
        <w:rPr>
          <w:rFonts w:cs="Arial"/>
          <w:sz w:val="24"/>
          <w:szCs w:val="24"/>
        </w:rPr>
      </w:r>
    </w:p>
    <w:p>
      <w:pPr>
        <w:pStyle w:val="ConsPlusNormal2"/>
        <w:tabs>
          <w:tab w:val="left" w:pos="851" w:leader="none"/>
        </w:tabs>
        <w:suppressAutoHyphens w:val="false"/>
        <w:rPr/>
      </w:pPr>
      <w:r>
        <w:rPr>
          <w:rFonts w:cs="Arial"/>
          <w:sz w:val="24"/>
          <w:szCs w:val="24"/>
        </w:rPr>
        <w:t xml:space="preserve">5.5.2.19.От очистных сооружений и насосных станций производственной канализации, не расположенных на территории промышленных предприятий, как при самостоятельной очистке и перекачке производственных сточных вод, так и при совместной их очистке с бытовыми, санитарно-защитные зоны следует принимать такими же, как для производств, от которых поступают сточные воды, но не менее указанных в </w:t>
      </w:r>
      <w:r>
        <w:fldChar w:fldCharType="begin"/>
      </w:r>
      <w:r>
        <w:instrText> HYPERLINK "file:///D:/! Вадим/! www.sharanga.nnov.ru/Sel'skie poseleniya/Kushnur/2017/Re//C:/Users/Специалист/Desktop/Мои документы/декабрь 2017/MNGP2.docx" \l "P762"</w:instrText>
      </w:r>
      <w:r>
        <w:fldChar w:fldCharType="separate"/>
      </w:r>
      <w:r>
        <w:rPr>
          <w:rStyle w:val="Style9"/>
          <w:rFonts w:cs="Arial"/>
          <w:color w:val="00000A"/>
          <w:sz w:val="24"/>
          <w:szCs w:val="24"/>
        </w:rPr>
        <w:t>таблице 8</w:t>
      </w:r>
      <w:r>
        <w:fldChar w:fldCharType="end"/>
      </w:r>
      <w:r>
        <w:rPr>
          <w:rFonts w:cs="Arial"/>
          <w:sz w:val="24"/>
          <w:szCs w:val="24"/>
        </w:rPr>
        <w:t xml:space="preserve"> настоящих Нормативов.</w:t>
      </w:r>
    </w:p>
    <w:p>
      <w:pPr>
        <w:pStyle w:val="ConsPlusNormal2"/>
        <w:tabs>
          <w:tab w:val="left" w:pos="851" w:leader="none"/>
        </w:tabs>
        <w:suppressAutoHyphens w:val="false"/>
        <w:rPr>
          <w:rFonts w:cs="Arial"/>
          <w:sz w:val="24"/>
          <w:szCs w:val="24"/>
        </w:rPr>
      </w:pPr>
      <w:r>
        <w:rPr>
          <w:rFonts w:cs="Arial"/>
          <w:sz w:val="24"/>
          <w:szCs w:val="24"/>
        </w:rPr>
        <w:t>5.5.2.20.Кроме того, устанавливаются санитарно-защитные зоны:</w:t>
      </w:r>
    </w:p>
    <w:p>
      <w:pPr>
        <w:pStyle w:val="ConsPlusNormal2"/>
        <w:ind w:left="0" w:right="0" w:firstLine="540"/>
        <w:rPr>
          <w:rFonts w:cs="Arial"/>
          <w:sz w:val="24"/>
          <w:szCs w:val="24"/>
        </w:rPr>
      </w:pPr>
      <w:r>
        <w:rPr>
          <w:rFonts w:cs="Arial"/>
          <w:sz w:val="24"/>
          <w:szCs w:val="24"/>
        </w:rPr>
        <w:t>- от сливных станций - в 300 м;</w:t>
      </w:r>
    </w:p>
    <w:p>
      <w:pPr>
        <w:pStyle w:val="ConsPlusNormal2"/>
        <w:ind w:left="0" w:right="0" w:firstLine="540"/>
        <w:rPr>
          <w:rFonts w:cs="Arial"/>
          <w:sz w:val="24"/>
          <w:szCs w:val="24"/>
        </w:rPr>
      </w:pPr>
      <w:r>
        <w:rPr>
          <w:rFonts w:cs="Arial"/>
          <w:sz w:val="24"/>
          <w:szCs w:val="24"/>
        </w:rPr>
        <w:t>- от шламонакопителей - в зависимости от состава и свойств шлама по согласованию с органами Роспотребнадзора.</w:t>
      </w:r>
    </w:p>
    <w:p>
      <w:pPr>
        <w:pStyle w:val="ConsPlusNormal2"/>
        <w:tabs>
          <w:tab w:val="left" w:pos="851" w:leader="none"/>
        </w:tabs>
        <w:suppressAutoHyphens w:val="false"/>
        <w:rPr>
          <w:rFonts w:cs="Arial"/>
          <w:sz w:val="24"/>
          <w:szCs w:val="24"/>
        </w:rPr>
      </w:pPr>
      <w:r>
        <w:rPr>
          <w:rFonts w:cs="Arial"/>
          <w:sz w:val="24"/>
          <w:szCs w:val="24"/>
        </w:rPr>
        <w:t>5.5.2.21.Размеры земельных участков очистных сооружений локальных систем канализации и их санитарно-защитных зон следует принимать в зависимости от грунтовых условий и количества сточных вод, но не более 0,25 гектара.</w:t>
      </w:r>
    </w:p>
    <w:p>
      <w:pPr>
        <w:pStyle w:val="ConsPlusNormal2"/>
        <w:tabs>
          <w:tab w:val="left" w:pos="851" w:leader="none"/>
        </w:tabs>
        <w:suppressAutoHyphens w:val="false"/>
        <w:rPr>
          <w:rFonts w:cs="Arial"/>
          <w:sz w:val="24"/>
          <w:szCs w:val="24"/>
        </w:rPr>
      </w:pPr>
      <w:r>
        <w:rPr>
          <w:rFonts w:cs="Arial"/>
          <w:sz w:val="24"/>
          <w:szCs w:val="24"/>
        </w:rPr>
        <w:t>5.5.2.22.Здания и сооружения канализации следует принимать не ниже II степени огнестойкости и относить ко II классу ответственности, за исключением</w:t>
      </w:r>
    </w:p>
    <w:p>
      <w:pPr>
        <w:pStyle w:val="ConsPlusNormal2"/>
        <w:ind w:left="0" w:right="0" w:firstLine="540"/>
        <w:rPr>
          <w:rFonts w:cs="Arial"/>
          <w:sz w:val="24"/>
          <w:szCs w:val="24"/>
        </w:rPr>
      </w:pPr>
      <w:r>
        <w:rPr>
          <w:rFonts w:cs="Arial"/>
          <w:sz w:val="24"/>
          <w:szCs w:val="24"/>
        </w:rPr>
        <w:t>иловых площадок, полей фильтрации, биологических прудов, регулирующих емкостей, канализационных сетей и сооружений на них, которые следует относить к III классу ответственности и степень огнестойкости которых не нормируется.</w:t>
      </w:r>
    </w:p>
    <w:p>
      <w:pPr>
        <w:pStyle w:val="ConsPlusNormal2"/>
        <w:ind w:left="0" w:right="0" w:firstLine="540"/>
        <w:rPr>
          <w:rFonts w:cs="Arial"/>
          <w:sz w:val="24"/>
          <w:szCs w:val="24"/>
        </w:rPr>
      </w:pPr>
      <w:r>
        <w:rPr>
          <w:rFonts w:cs="Arial"/>
          <w:sz w:val="24"/>
          <w:szCs w:val="24"/>
        </w:rPr>
        <w:t>По пожарной безопасности процессы перекачки и очистки бытовых сточных вод относятся к категории Д. Категория пожарной опасности процессов перекачки и очистки производственных сточных вод, содержащих легковоспламеняющиеся и взрывоопасные вещества, устанавливается в зависимости от характера этих веществ.</w:t>
      </w:r>
    </w:p>
    <w:p>
      <w:pPr>
        <w:pStyle w:val="ConsPlusNormal2"/>
        <w:tabs>
          <w:tab w:val="left" w:pos="851" w:leader="none"/>
        </w:tabs>
        <w:suppressAutoHyphens w:val="false"/>
        <w:rPr>
          <w:rFonts w:cs="Arial"/>
          <w:sz w:val="24"/>
          <w:szCs w:val="24"/>
        </w:rPr>
      </w:pPr>
      <w:r>
        <w:rPr>
          <w:rFonts w:cs="Arial"/>
          <w:sz w:val="24"/>
          <w:szCs w:val="24"/>
        </w:rPr>
        <w:t>5.5.2.23.Территория канализационных очистных сооружений населенных пунктов, а также очистных сооружений промышленных предприятий, располагаемых за пределами промышленных площадок, во всех случаях должна быть ограждена.</w:t>
      </w:r>
    </w:p>
    <w:p>
      <w:pPr>
        <w:pStyle w:val="ConsPlusNormal2"/>
        <w:tabs>
          <w:tab w:val="left" w:pos="851" w:leader="none"/>
        </w:tabs>
        <w:suppressAutoHyphens w:val="false"/>
        <w:ind w:left="567" w:right="0" w:hanging="0"/>
        <w:rPr>
          <w:rFonts w:cs="Arial"/>
          <w:sz w:val="24"/>
          <w:szCs w:val="24"/>
        </w:rPr>
      </w:pPr>
      <w:r>
        <w:rPr>
          <w:rFonts w:cs="Arial"/>
          <w:sz w:val="24"/>
          <w:szCs w:val="24"/>
        </w:rPr>
        <w:t>5.5.2.24.Для утилизации осадков сточных вод следует предусматривать их механическое обезвоживание или подсушивание на иловых площадках, обеззараживание, дегельминтизацию, при необходимости - термическую сушку.</w:t>
      </w:r>
    </w:p>
    <w:p>
      <w:pPr>
        <w:pStyle w:val="ConsPlusNormal2"/>
        <w:ind w:left="0" w:right="0" w:firstLine="540"/>
        <w:rPr>
          <w:rFonts w:cs="Arial"/>
          <w:sz w:val="24"/>
          <w:szCs w:val="24"/>
        </w:rPr>
      </w:pPr>
      <w:r>
        <w:rPr>
          <w:rFonts w:cs="Arial"/>
          <w:sz w:val="24"/>
          <w:szCs w:val="24"/>
        </w:rPr>
        <w:t>Допускается сжигание осадка, не подлежащего дальнейшей утилизации, в печах различных типов при соответствующем обосновании и с соблюдением требований к отводимым газам.</w:t>
      </w:r>
    </w:p>
    <w:p>
      <w:pPr>
        <w:pStyle w:val="ConsPlusNormal2"/>
        <w:ind w:left="0" w:right="0" w:firstLine="540"/>
        <w:rPr>
          <w:rFonts w:cs="Arial"/>
          <w:sz w:val="24"/>
          <w:szCs w:val="24"/>
        </w:rPr>
      </w:pPr>
      <w:r>
        <w:rPr>
          <w:rFonts w:cs="Arial"/>
          <w:sz w:val="24"/>
          <w:szCs w:val="24"/>
        </w:rPr>
        <w:t>Для хранения осадков следует предусматривать открытые площадки с твердым покрытием, а при соответствующем обосновании - закрытые склады. Для неутилизируемых осадков должны быть предусмотрены сооружения, обеспечивающие их складирование в условиях, предотвращающих загрязнение окружающей среды (по согласованию с органами экологического надзора).</w:t>
      </w:r>
    </w:p>
    <w:p>
      <w:pPr>
        <w:pStyle w:val="ConsPlusNormal2"/>
        <w:ind w:left="0" w:right="0" w:firstLine="540"/>
        <w:rPr>
          <w:rFonts w:cs="Arial"/>
          <w:sz w:val="24"/>
          <w:szCs w:val="24"/>
        </w:rPr>
      </w:pPr>
      <w:r>
        <w:rPr>
          <w:rFonts w:cs="Arial"/>
          <w:sz w:val="24"/>
          <w:szCs w:val="24"/>
        </w:rPr>
        <w:t>Использование осадков сточных вод в качестве удобрения допускается по результатам исследований и при наличии санитарно-эпидемиологического заключения.</w:t>
      </w:r>
    </w:p>
    <w:p>
      <w:pPr>
        <w:pStyle w:val="ConsPlusNormal2"/>
        <w:ind w:left="0" w:right="0" w:firstLine="540"/>
        <w:rPr>
          <w:rFonts w:cs="Arial"/>
          <w:sz w:val="24"/>
          <w:szCs w:val="24"/>
        </w:rPr>
      </w:pPr>
      <w:r>
        <w:rPr>
          <w:rFonts w:cs="Arial"/>
          <w:sz w:val="24"/>
          <w:szCs w:val="24"/>
        </w:rPr>
      </w:r>
    </w:p>
    <w:p>
      <w:pPr>
        <w:pStyle w:val="ConsPlusNormal2"/>
        <w:rPr>
          <w:rFonts w:cs="Arial"/>
          <w:sz w:val="24"/>
          <w:szCs w:val="24"/>
        </w:rPr>
      </w:pPr>
      <w:r>
        <w:rPr>
          <w:rFonts w:cs="Arial"/>
          <w:sz w:val="24"/>
          <w:szCs w:val="24"/>
        </w:rPr>
        <w:t>Дождевая канализация</w:t>
      </w:r>
    </w:p>
    <w:p>
      <w:pPr>
        <w:pStyle w:val="ConsPlusNormal2"/>
        <w:tabs>
          <w:tab w:val="left" w:pos="851" w:leader="none"/>
        </w:tabs>
        <w:suppressAutoHyphens w:val="false"/>
        <w:rPr/>
      </w:pPr>
      <w:r>
        <w:rPr>
          <w:rFonts w:cs="Arial"/>
          <w:sz w:val="24"/>
          <w:szCs w:val="24"/>
        </w:rPr>
        <w:t xml:space="preserve">5.5.2.25.Отвод поверхностных вод должен осуществляться в соответствии с требованиями </w:t>
      </w:r>
      <w:hyperlink r:id="rId28">
        <w:r>
          <w:rPr>
            <w:rStyle w:val="Style9"/>
            <w:rFonts w:cs="Arial"/>
            <w:color w:val="00000A"/>
            <w:sz w:val="24"/>
            <w:szCs w:val="24"/>
          </w:rPr>
          <w:t>СанПиН 2.1.5.980-00</w:t>
        </w:r>
      </w:hyperlink>
      <w:r>
        <w:rPr>
          <w:rFonts w:cs="Arial"/>
          <w:sz w:val="24"/>
          <w:szCs w:val="24"/>
        </w:rPr>
        <w:t>.</w:t>
      </w:r>
    </w:p>
    <w:p>
      <w:pPr>
        <w:pStyle w:val="ConsPlusNormal2"/>
        <w:ind w:left="0" w:right="0" w:firstLine="540"/>
        <w:rPr>
          <w:rFonts w:cs="Arial"/>
          <w:sz w:val="24"/>
          <w:szCs w:val="24"/>
        </w:rPr>
      </w:pPr>
      <w:r>
        <w:rPr>
          <w:rFonts w:cs="Arial"/>
          <w:sz w:val="24"/>
          <w:szCs w:val="24"/>
        </w:rPr>
        <w:t>Выпуски в водные объекты следует размещать в местах с повышенной турбулентностью потока (сужениях, протоках и прочих).</w:t>
      </w:r>
    </w:p>
    <w:p>
      <w:pPr>
        <w:pStyle w:val="ConsPlusNormal2"/>
        <w:ind w:left="0" w:right="0" w:firstLine="540"/>
        <w:rPr>
          <w:rFonts w:cs="Arial"/>
          <w:sz w:val="24"/>
          <w:szCs w:val="24"/>
        </w:rPr>
      </w:pPr>
      <w:r>
        <w:rPr>
          <w:rFonts w:cs="Arial"/>
          <w:sz w:val="24"/>
          <w:szCs w:val="24"/>
        </w:rPr>
        <w:t>В водоемы, предназначенные для купания, возможен сброс поверхностных сточных вод при условии их глубокой очистки.</w:t>
      </w:r>
    </w:p>
    <w:p>
      <w:pPr>
        <w:pStyle w:val="ConsPlusNormal2"/>
        <w:tabs>
          <w:tab w:val="left" w:pos="851" w:leader="none"/>
        </w:tabs>
        <w:suppressAutoHyphens w:val="false"/>
        <w:rPr>
          <w:rFonts w:cs="Arial"/>
          <w:sz w:val="24"/>
          <w:szCs w:val="24"/>
        </w:rPr>
      </w:pPr>
      <w:r>
        <w:rPr>
          <w:rFonts w:cs="Arial"/>
          <w:sz w:val="24"/>
          <w:szCs w:val="24"/>
        </w:rPr>
        <w:t>5.5.2.26.Применение открытых водоотводящих устройств (канав, кюветов, лотков) допускается в районах одно-, двухэтажной застройки и в сельских населенных пунктах, а также на территории парков с устройством мостиков или труб на пересечении с улицами, дорогами, проездами и тротуарами.</w:t>
      </w:r>
    </w:p>
    <w:p>
      <w:pPr>
        <w:pStyle w:val="ConsPlusNormal2"/>
        <w:ind w:left="0" w:right="0" w:firstLine="540"/>
        <w:rPr>
          <w:rFonts w:cs="Arial"/>
          <w:sz w:val="24"/>
          <w:szCs w:val="24"/>
        </w:rPr>
      </w:pPr>
      <w:r>
        <w:rPr>
          <w:rFonts w:cs="Arial"/>
          <w:sz w:val="24"/>
          <w:szCs w:val="24"/>
        </w:rPr>
        <w:t>На рекреационных территориях допускается осуществлять систему отвода поверхностных и подземных вод в виде сетей дождевой канализации и дренажа открытого типа.</w:t>
      </w:r>
    </w:p>
    <w:p>
      <w:pPr>
        <w:pStyle w:val="ConsPlusNormal2"/>
        <w:ind w:left="0" w:right="0" w:firstLine="540"/>
        <w:rPr>
          <w:rFonts w:cs="Arial"/>
          <w:sz w:val="24"/>
          <w:szCs w:val="24"/>
        </w:rPr>
      </w:pPr>
      <w:r>
        <w:rPr>
          <w:rFonts w:cs="Arial"/>
          <w:sz w:val="24"/>
          <w:szCs w:val="24"/>
        </w:rPr>
        <w:t>Открытая дождевая канализация состоит из лотков и канав с искусственной или естественной одеждой и выпусков упрощенных конструкций.</w:t>
      </w:r>
    </w:p>
    <w:p>
      <w:pPr>
        <w:pStyle w:val="ConsPlusNormal2"/>
        <w:tabs>
          <w:tab w:val="left" w:pos="851" w:leader="none"/>
        </w:tabs>
        <w:suppressAutoHyphens w:val="false"/>
        <w:rPr>
          <w:rFonts w:cs="Arial"/>
          <w:sz w:val="24"/>
          <w:szCs w:val="24"/>
        </w:rPr>
      </w:pPr>
      <w:r>
        <w:rPr>
          <w:rFonts w:cs="Arial"/>
          <w:sz w:val="24"/>
          <w:szCs w:val="24"/>
        </w:rPr>
        <w:t>5.5.2.27.В открытой дождевой сети наименьшие уклоны следует принимать в процентах:</w:t>
      </w:r>
    </w:p>
    <w:p>
      <w:pPr>
        <w:pStyle w:val="ConsPlusNormal2"/>
        <w:tabs>
          <w:tab w:val="left" w:pos="851" w:leader="none"/>
        </w:tabs>
        <w:suppressAutoHyphens w:val="false"/>
        <w:ind w:left="567" w:right="0" w:hanging="0"/>
        <w:rPr>
          <w:rFonts w:cs="Arial"/>
          <w:sz w:val="24"/>
          <w:szCs w:val="24"/>
        </w:rPr>
      </w:pPr>
      <w:r>
        <w:rPr>
          <w:rFonts w:cs="Arial"/>
          <w:sz w:val="24"/>
          <w:szCs w:val="24"/>
        </w:rPr>
        <w:t>для лотков проезжей части:</w:t>
      </w:r>
    </w:p>
    <w:p>
      <w:pPr>
        <w:pStyle w:val="ConsPlusNormal2"/>
        <w:ind w:left="0" w:right="0" w:firstLine="540"/>
        <w:rPr>
          <w:rFonts w:cs="Arial"/>
          <w:sz w:val="24"/>
          <w:szCs w:val="24"/>
        </w:rPr>
      </w:pPr>
      <w:r>
        <w:rPr>
          <w:rFonts w:cs="Arial"/>
          <w:sz w:val="24"/>
          <w:szCs w:val="24"/>
        </w:rPr>
        <w:t>- при асфальтобетонном покрытии - 0,003;</w:t>
      </w:r>
    </w:p>
    <w:p>
      <w:pPr>
        <w:pStyle w:val="ConsPlusNormal2"/>
        <w:ind w:left="0" w:right="0" w:firstLine="540"/>
        <w:rPr>
          <w:rFonts w:cs="Arial"/>
          <w:sz w:val="24"/>
          <w:szCs w:val="24"/>
        </w:rPr>
      </w:pPr>
      <w:r>
        <w:rPr>
          <w:rFonts w:cs="Arial"/>
          <w:sz w:val="24"/>
          <w:szCs w:val="24"/>
        </w:rPr>
        <w:t>- при брусчатом или щебеночном покрытии - 0,004;</w:t>
      </w:r>
    </w:p>
    <w:p>
      <w:pPr>
        <w:pStyle w:val="ConsPlusNormal2"/>
        <w:ind w:left="0" w:right="0" w:firstLine="540"/>
        <w:rPr>
          <w:rFonts w:cs="Arial"/>
          <w:sz w:val="24"/>
          <w:szCs w:val="24"/>
        </w:rPr>
      </w:pPr>
      <w:r>
        <w:rPr>
          <w:rFonts w:cs="Arial"/>
          <w:sz w:val="24"/>
          <w:szCs w:val="24"/>
        </w:rPr>
        <w:t>- для отдельных лотков и кюветов - 0,005;</w:t>
      </w:r>
    </w:p>
    <w:p>
      <w:pPr>
        <w:pStyle w:val="ConsPlusNormal2"/>
        <w:ind w:left="0" w:right="0" w:firstLine="540"/>
        <w:rPr>
          <w:rFonts w:cs="Arial"/>
          <w:sz w:val="24"/>
          <w:szCs w:val="24"/>
        </w:rPr>
      </w:pPr>
      <w:r>
        <w:rPr>
          <w:rFonts w:cs="Arial"/>
          <w:sz w:val="24"/>
          <w:szCs w:val="24"/>
        </w:rPr>
        <w:t>- для водоотводных канав - 0,003;</w:t>
      </w:r>
    </w:p>
    <w:p>
      <w:pPr>
        <w:pStyle w:val="ConsPlusNormal2"/>
        <w:ind w:left="0" w:right="0" w:firstLine="540"/>
        <w:rPr>
          <w:rFonts w:cs="Arial"/>
          <w:sz w:val="24"/>
          <w:szCs w:val="24"/>
        </w:rPr>
      </w:pPr>
      <w:r>
        <w:rPr>
          <w:rFonts w:cs="Arial"/>
          <w:sz w:val="24"/>
          <w:szCs w:val="24"/>
        </w:rPr>
        <w:t>- присоединения от дождеприемников - 0,02.</w:t>
      </w:r>
    </w:p>
    <w:p>
      <w:pPr>
        <w:pStyle w:val="ConsPlusNormal2"/>
        <w:tabs>
          <w:tab w:val="left" w:pos="851" w:leader="none"/>
        </w:tabs>
        <w:suppressAutoHyphens w:val="false"/>
        <w:ind w:left="567" w:right="0" w:hanging="0"/>
        <w:rPr>
          <w:rFonts w:cs="Arial"/>
          <w:sz w:val="24"/>
          <w:szCs w:val="24"/>
        </w:rPr>
      </w:pPr>
      <w:r>
        <w:rPr>
          <w:rFonts w:cs="Arial"/>
          <w:sz w:val="24"/>
          <w:szCs w:val="24"/>
        </w:rPr>
        <w:t>5.5.2.28.Дождеприемники следует предусматривать:</w:t>
      </w:r>
    </w:p>
    <w:p>
      <w:pPr>
        <w:pStyle w:val="ConsPlusNormal2"/>
        <w:ind w:left="0" w:right="0" w:firstLine="540"/>
        <w:rPr>
          <w:rFonts w:cs="Arial"/>
          <w:sz w:val="24"/>
          <w:szCs w:val="24"/>
        </w:rPr>
      </w:pPr>
      <w:r>
        <w:rPr>
          <w:rFonts w:cs="Arial"/>
          <w:sz w:val="24"/>
          <w:szCs w:val="24"/>
        </w:rPr>
        <w:t>- на затяжных участках спусков (подъемов);</w:t>
      </w:r>
    </w:p>
    <w:p>
      <w:pPr>
        <w:pStyle w:val="ConsPlusNormal2"/>
        <w:ind w:left="0" w:right="0" w:firstLine="540"/>
        <w:rPr>
          <w:rFonts w:cs="Arial"/>
          <w:sz w:val="24"/>
          <w:szCs w:val="24"/>
        </w:rPr>
      </w:pPr>
      <w:r>
        <w:rPr>
          <w:rFonts w:cs="Arial"/>
          <w:sz w:val="24"/>
          <w:szCs w:val="24"/>
        </w:rPr>
        <w:t>- на перекрестках и пешеходных переходах со стороны притока поверхностных вод;</w:t>
      </w:r>
    </w:p>
    <w:p>
      <w:pPr>
        <w:pStyle w:val="ConsPlusNormal2"/>
        <w:ind w:left="0" w:right="0" w:firstLine="540"/>
        <w:rPr>
          <w:rFonts w:cs="Arial"/>
          <w:sz w:val="24"/>
          <w:szCs w:val="24"/>
        </w:rPr>
      </w:pPr>
      <w:r>
        <w:rPr>
          <w:rFonts w:cs="Arial"/>
          <w:sz w:val="24"/>
          <w:szCs w:val="24"/>
        </w:rPr>
        <w:t>- в пониженных местах в конце затяжных участков спусков;</w:t>
      </w:r>
    </w:p>
    <w:p>
      <w:pPr>
        <w:pStyle w:val="ConsPlusNormal2"/>
        <w:ind w:left="0" w:right="0" w:firstLine="540"/>
        <w:rPr>
          <w:rFonts w:cs="Arial"/>
          <w:sz w:val="24"/>
          <w:szCs w:val="24"/>
        </w:rPr>
      </w:pPr>
      <w:r>
        <w:rPr>
          <w:rFonts w:cs="Arial"/>
          <w:sz w:val="24"/>
          <w:szCs w:val="24"/>
        </w:rPr>
        <w:t>- в пониженных местах при пилообразном профиле лотков улиц;</w:t>
      </w:r>
    </w:p>
    <w:p>
      <w:pPr>
        <w:pStyle w:val="ConsPlusNormal2"/>
        <w:ind w:left="0" w:right="0" w:firstLine="540"/>
        <w:rPr>
          <w:rFonts w:cs="Arial"/>
          <w:sz w:val="24"/>
          <w:szCs w:val="24"/>
        </w:rPr>
      </w:pPr>
      <w:r>
        <w:rPr>
          <w:rFonts w:cs="Arial"/>
          <w:sz w:val="24"/>
          <w:szCs w:val="24"/>
        </w:rPr>
        <w:t>- в местах улиц, дворовых и парковых территорий, не имеющих стока поверхностных вод.</w:t>
      </w:r>
    </w:p>
    <w:p>
      <w:pPr>
        <w:pStyle w:val="ConsPlusNormal2"/>
        <w:tabs>
          <w:tab w:val="left" w:pos="851" w:leader="none"/>
        </w:tabs>
        <w:suppressAutoHyphens w:val="false"/>
        <w:rPr>
          <w:rFonts w:cs="Arial"/>
          <w:sz w:val="24"/>
          <w:szCs w:val="24"/>
        </w:rPr>
      </w:pPr>
      <w:r>
        <w:rPr>
          <w:rFonts w:cs="Arial"/>
          <w:sz w:val="24"/>
          <w:szCs w:val="24"/>
        </w:rPr>
        <w:t>5.5.2.29.На участках территорий жилой застройки, подверженных эрозии (по характеристикам уклонов и грунтов), следует предусматривать локальный отвод поверхностных вод от зданий дополнительно к общей системе водоотвода.</w:t>
      </w:r>
    </w:p>
    <w:p>
      <w:pPr>
        <w:pStyle w:val="ConsPlusNormal2"/>
        <w:tabs>
          <w:tab w:val="left" w:pos="851" w:leader="none"/>
        </w:tabs>
        <w:suppressAutoHyphens w:val="false"/>
        <w:rPr>
          <w:rFonts w:cs="Arial"/>
          <w:sz w:val="24"/>
          <w:szCs w:val="24"/>
        </w:rPr>
      </w:pPr>
      <w:r>
        <w:rPr>
          <w:rFonts w:cs="Arial"/>
          <w:sz w:val="24"/>
          <w:szCs w:val="24"/>
        </w:rPr>
        <w:t>5.5.2.30.Отвод дождевых вод с площадок открытого резервуарного хранения горючих, легковоспламеняющихся и токсичных жидкостей, кислот, щелочей и прочих, не связанных с регулярным сбросом загрязненных сточных вод, следует предусматривать через распределительный колодец с задвижками, позволяющими направлять воды при нормальных условиях в систему дождевой канализации, а при появлении течи в резервуарах-хранилищах - в технологические аварийные приемники, входящие в состав складского хозяйства.</w:t>
      </w:r>
    </w:p>
    <w:p>
      <w:pPr>
        <w:pStyle w:val="ConsPlusNormal2"/>
        <w:tabs>
          <w:tab w:val="left" w:pos="851" w:leader="none"/>
        </w:tabs>
        <w:suppressAutoHyphens w:val="false"/>
        <w:rPr>
          <w:rFonts w:cs="Arial"/>
          <w:sz w:val="24"/>
          <w:szCs w:val="24"/>
        </w:rPr>
      </w:pPr>
      <w:r>
        <w:rPr>
          <w:rFonts w:cs="Arial"/>
          <w:sz w:val="24"/>
          <w:szCs w:val="24"/>
        </w:rPr>
        <w:t>5.5.2.31.Поверхностные сточные воды с территории населенного пункта при раздельной системе канализации следует направлять для очистки на локальные или централизованные очистные сооружения поверхностного стока.</w:t>
      </w:r>
    </w:p>
    <w:p>
      <w:pPr>
        <w:pStyle w:val="ConsPlusNormal2"/>
        <w:ind w:left="0" w:right="0" w:firstLine="540"/>
        <w:rPr>
          <w:rFonts w:cs="Arial"/>
          <w:sz w:val="24"/>
          <w:szCs w:val="24"/>
        </w:rPr>
      </w:pPr>
      <w:r>
        <w:rPr>
          <w:rFonts w:cs="Arial"/>
          <w:sz w:val="24"/>
          <w:szCs w:val="24"/>
        </w:rPr>
        <w:t>Смесь поверхностных вод с бытовыми и производственными сточными водами при полураздельной системе канализации следует очищать по полной схеме очистки, принятой для сточных вод.</w:t>
      </w:r>
    </w:p>
    <w:p>
      <w:pPr>
        <w:pStyle w:val="ConsPlusNormal2"/>
        <w:tabs>
          <w:tab w:val="left" w:pos="851" w:leader="none"/>
        </w:tabs>
        <w:suppressAutoHyphens w:val="false"/>
        <w:rPr>
          <w:rFonts w:cs="Arial"/>
          <w:sz w:val="24"/>
          <w:szCs w:val="24"/>
        </w:rPr>
      </w:pPr>
      <w:r>
        <w:rPr>
          <w:rFonts w:cs="Arial"/>
          <w:sz w:val="24"/>
          <w:szCs w:val="24"/>
        </w:rPr>
        <w:t>5.5.2.32.Поверхностные воды с селитебной территории водосборной площадью до 20 га, имеющие самостоятельный выпуск в водоем, допускается сбрасывать в водоем без очистки при условии наличия экологического обоснования и согласования со всеми контролирующими организациями. Эти требования не распространяются на самостоятельные выпуски в водоемы, являющиеся источниками питьевого водоснабжения и используемые для купания, спорта, в рекреационных целях.</w:t>
      </w:r>
    </w:p>
    <w:p>
      <w:pPr>
        <w:pStyle w:val="ConsPlusNormal2"/>
        <w:tabs>
          <w:tab w:val="left" w:pos="851" w:leader="none"/>
        </w:tabs>
        <w:suppressAutoHyphens w:val="false"/>
        <w:rPr>
          <w:rFonts w:cs="Arial"/>
          <w:sz w:val="24"/>
          <w:szCs w:val="24"/>
        </w:rPr>
      </w:pPr>
      <w:r>
        <w:rPr>
          <w:rFonts w:cs="Arial"/>
          <w:sz w:val="24"/>
          <w:szCs w:val="24"/>
        </w:rPr>
        <w:t>5.5.2.33.Поверхностный сток с территории промышленных предприятий, складских хозяйств, автохозяйств и других, а также с особо загрязненных участков, расположенных на селитебных территориях (загрязненных токсичными веществами органического и неорганического происхождения), должен подвергаться очистке на самостоятельных очистных сооружениях с преимущественным использованием очищенных вод на производственные нужды.</w:t>
      </w:r>
    </w:p>
    <w:p>
      <w:pPr>
        <w:pStyle w:val="ConsPlusNormal2"/>
        <w:ind w:left="0" w:right="0" w:firstLine="540"/>
        <w:rPr>
          <w:rFonts w:cs="Arial"/>
          <w:sz w:val="24"/>
          <w:szCs w:val="24"/>
        </w:rPr>
      </w:pPr>
      <w:r>
        <w:rPr>
          <w:rFonts w:cs="Arial"/>
          <w:sz w:val="24"/>
          <w:szCs w:val="24"/>
        </w:rPr>
        <w:t>Поверхностные сточные воды с территории промышленных предприятий допускается направлять в дождевую канализацию населенного пункта, если эти территории по составу и количеству накапливающихся примесей мало отличаются от селитебной.</w:t>
      </w:r>
    </w:p>
    <w:p>
      <w:pPr>
        <w:pStyle w:val="ConsPlusNormal2"/>
        <w:ind w:left="0" w:right="0" w:firstLine="540"/>
        <w:rPr>
          <w:rFonts w:cs="Arial"/>
          <w:sz w:val="24"/>
          <w:szCs w:val="24"/>
        </w:rPr>
      </w:pPr>
      <w:r>
        <w:rPr>
          <w:rFonts w:cs="Arial"/>
          <w:sz w:val="24"/>
          <w:szCs w:val="24"/>
        </w:rPr>
        <w:t>Система водоотвода поверхностных вод должна учитывать возможность приема дренажных вод из сопутствующих дренажей, теплосетей и общих коллекторов подземных коммуникаций. Поступление в дождеприемные колодцы незначительных по объему вод от полива замощенных территорий и зеленых насаждений в расчет можно не принимать. При технической возможности и согласовании с природоохранными органами возможно использовать эти воды для подпитки декоративных водоемов с подачей по отдельно прокладываемому трубопроводу.</w:t>
      </w:r>
    </w:p>
    <w:p>
      <w:pPr>
        <w:pStyle w:val="ConsPlusNormal2"/>
        <w:tabs>
          <w:tab w:val="left" w:pos="851" w:leader="none"/>
        </w:tabs>
        <w:suppressAutoHyphens w:val="false"/>
        <w:rPr>
          <w:rFonts w:cs="Arial"/>
          <w:sz w:val="24"/>
          <w:szCs w:val="24"/>
        </w:rPr>
      </w:pPr>
      <w:r>
        <w:rPr>
          <w:rFonts w:cs="Arial"/>
          <w:sz w:val="24"/>
          <w:szCs w:val="24"/>
        </w:rPr>
        <w:t>5.5.2.34.Очистку поверхностных вод с территории населенных пунктов следует осуществлять на локальных или групповых очистных сооружениях различного типа.</w:t>
      </w:r>
    </w:p>
    <w:p>
      <w:pPr>
        <w:pStyle w:val="ConsPlusNormal2"/>
        <w:tabs>
          <w:tab w:val="left" w:pos="851" w:leader="none"/>
        </w:tabs>
        <w:suppressAutoHyphens w:val="false"/>
        <w:rPr>
          <w:rFonts w:cs="Arial"/>
          <w:sz w:val="24"/>
          <w:szCs w:val="24"/>
        </w:rPr>
      </w:pPr>
      <w:r>
        <w:rPr>
          <w:rFonts w:cs="Arial"/>
          <w:sz w:val="24"/>
          <w:szCs w:val="24"/>
        </w:rPr>
        <w:t>5.5.2.35.Санитарно-защитную зону (СЗЗ) от очистных сооружений поверхностного стока до жилой застройки следует принимать 100 метров или по согласованию с органами санитарно-эпидемиологического надзора и природоохранными органами в зависимости от условий застройки и конструктивного использования сооружений, но не менее 50 метров (для закрытого типа - 50 метров). В водоемы, предназначенные для купания, возможен сброс поверхностных сточных вод только при условии их глубокой очистки.</w:t>
      </w:r>
    </w:p>
    <w:p>
      <w:pPr>
        <w:pStyle w:val="ConsPlusNormal2"/>
        <w:tabs>
          <w:tab w:val="left" w:pos="851" w:leader="none"/>
        </w:tabs>
        <w:suppressAutoHyphens w:val="false"/>
        <w:rPr>
          <w:rFonts w:cs="Arial"/>
          <w:sz w:val="24"/>
          <w:szCs w:val="24"/>
        </w:rPr>
      </w:pPr>
      <w:r>
        <w:rPr>
          <w:rFonts w:cs="Arial"/>
          <w:sz w:val="24"/>
          <w:szCs w:val="24"/>
        </w:rPr>
        <w:t>5.5.2.36.Для определения размеров отводящих труб и водосточных каналов необходимо учитывать расчетный максимальный расход дождевой воды, поступающей в сеть. Этот расход зависит от принятой расчетной интенсивности дождя, его продолжительности, коэффициента стока и площади водосбора. При этом минимальный диаметр водостоков принимается равным 400 мм.</w:t>
      </w:r>
    </w:p>
    <w:p>
      <w:pPr>
        <w:pStyle w:val="ConsPlusNormal2"/>
        <w:tabs>
          <w:tab w:val="left" w:pos="851" w:leader="none"/>
        </w:tabs>
        <w:suppressAutoHyphens w:val="false"/>
        <w:rPr>
          <w:rFonts w:cs="Arial"/>
          <w:sz w:val="24"/>
          <w:szCs w:val="24"/>
        </w:rPr>
      </w:pPr>
      <w:r>
        <w:rPr>
          <w:rFonts w:cs="Arial"/>
          <w:sz w:val="24"/>
          <w:szCs w:val="24"/>
        </w:rPr>
        <w:t>5.5.2.37. Расчет водосточной сети следует производить на дождевой сток по СП 32.13330.2012. При предельном периоде однократного превышения расчетной интенсивности коллектор дождевой канализации должен пропускать лишь часть расхода дождевого стока, остальная его часть временно затопляет проезжую часть улиц и при наличии уклона стекает по ее лоткам. Высота затопления улиц при этом должна быть меньше высоты затопления подвальных и полуподвальных помещений. Период однократного переполнения сети дождевой канализации принимается в зависимости от характера территории, площади территории и величины интенсивности дождя по СП 32.13330.2012</w:t>
      </w:r>
    </w:p>
    <w:p>
      <w:pPr>
        <w:pStyle w:val="ConsPlusNormal2"/>
        <w:tabs>
          <w:tab w:val="left" w:pos="851" w:leader="none"/>
        </w:tabs>
        <w:suppressAutoHyphens w:val="false"/>
        <w:rPr/>
      </w:pPr>
      <w:r>
        <w:rPr>
          <w:rFonts w:cs="Arial"/>
          <w:sz w:val="24"/>
          <w:szCs w:val="24"/>
        </w:rPr>
        <w:t xml:space="preserve">5.5.2.38.Качество очистки поверхностных сточных вод, сбрасываемых в водные объекты, должно отвечать требованиям Водного </w:t>
      </w:r>
      <w:hyperlink r:id="rId29">
        <w:r>
          <w:rPr>
            <w:rStyle w:val="Style9"/>
            <w:rFonts w:cs="Arial"/>
            <w:color w:val="00000A"/>
            <w:sz w:val="24"/>
            <w:szCs w:val="24"/>
          </w:rPr>
          <w:t>кодекса</w:t>
        </w:r>
      </w:hyperlink>
      <w:r>
        <w:rPr>
          <w:rFonts w:cs="Arial"/>
          <w:sz w:val="24"/>
          <w:szCs w:val="24"/>
        </w:rPr>
        <w:t xml:space="preserve"> Российской Федерации, </w:t>
      </w:r>
      <w:hyperlink r:id="rId30">
        <w:r>
          <w:rPr>
            <w:rStyle w:val="Style9"/>
            <w:rFonts w:cs="Arial"/>
            <w:color w:val="00000A"/>
            <w:sz w:val="24"/>
            <w:szCs w:val="24"/>
          </w:rPr>
          <w:t>СанПиН 2.1.5.980-00</w:t>
        </w:r>
      </w:hyperlink>
      <w:r>
        <w:rPr>
          <w:rFonts w:cs="Arial"/>
          <w:sz w:val="24"/>
          <w:szCs w:val="24"/>
        </w:rPr>
        <w:t xml:space="preserve"> в соответствии с категорией водопользования водоема.</w:t>
      </w:r>
    </w:p>
    <w:p>
      <w:pPr>
        <w:pStyle w:val="ConsPlusNormal2"/>
        <w:ind w:left="0" w:right="0" w:firstLine="540"/>
        <w:rPr>
          <w:rFonts w:cs="Arial"/>
          <w:sz w:val="24"/>
          <w:szCs w:val="24"/>
        </w:rPr>
      </w:pPr>
      <w:r>
        <w:rPr>
          <w:rFonts w:cs="Arial"/>
          <w:sz w:val="24"/>
          <w:szCs w:val="24"/>
        </w:rPr>
      </w:r>
    </w:p>
    <w:p>
      <w:pPr>
        <w:pStyle w:val="ConsPlusNormal2"/>
        <w:rPr/>
      </w:pPr>
      <w:r>
        <w:rPr>
          <w:rFonts w:cs="Arial"/>
          <w:sz w:val="24"/>
          <w:szCs w:val="24"/>
        </w:rPr>
        <w:t xml:space="preserve">            </w:t>
      </w:r>
      <w:r>
        <w:rPr>
          <w:rFonts w:cs="Arial"/>
          <w:sz w:val="24"/>
          <w:szCs w:val="24"/>
        </w:rPr>
        <w:t>5.5.3.</w:t>
        <w:tab/>
        <w:t>Теплоснабжение</w:t>
      </w:r>
    </w:p>
    <w:p>
      <w:pPr>
        <w:pStyle w:val="ConsPlusNormal2"/>
        <w:tabs>
          <w:tab w:val="left" w:pos="851" w:leader="none"/>
        </w:tabs>
        <w:suppressAutoHyphens w:val="false"/>
        <w:rPr>
          <w:rFonts w:cs="Arial"/>
          <w:sz w:val="24"/>
          <w:szCs w:val="24"/>
        </w:rPr>
      </w:pPr>
      <w:r>
        <w:rPr>
          <w:rFonts w:cs="Arial"/>
          <w:sz w:val="24"/>
          <w:szCs w:val="24"/>
        </w:rPr>
        <w:t>5.5.3.1.Теплоснабжение населенных пунктов следует предусматривать в соответствии с утвержденными схемами теплоснабжения.</w:t>
      </w:r>
    </w:p>
    <w:p>
      <w:pPr>
        <w:pStyle w:val="ConsPlusNormal2"/>
        <w:ind w:left="0" w:right="0" w:firstLine="540"/>
        <w:rPr>
          <w:rFonts w:cs="Arial"/>
          <w:sz w:val="24"/>
          <w:szCs w:val="24"/>
        </w:rPr>
      </w:pPr>
      <w:r>
        <w:rPr>
          <w:rFonts w:cs="Arial"/>
          <w:sz w:val="24"/>
          <w:szCs w:val="24"/>
        </w:rPr>
        <w:t>При отсутствии схемы теплоснабжения на территориях одно-, двухэтажной жилой застройки с плотностью населения 40 чел./га и выше в сельских населенных пунктах системы централизованного теплоснабжения допускается предусматривать от котельных на группу жилых и общественных зданий.</w:t>
      </w:r>
    </w:p>
    <w:p>
      <w:pPr>
        <w:pStyle w:val="ConsPlusNormal2"/>
        <w:tabs>
          <w:tab w:val="left" w:pos="851" w:leader="none"/>
        </w:tabs>
        <w:suppressAutoHyphens w:val="false"/>
        <w:rPr>
          <w:rFonts w:cs="Arial"/>
          <w:sz w:val="24"/>
          <w:szCs w:val="24"/>
        </w:rPr>
      </w:pPr>
      <w:r>
        <w:rPr>
          <w:rFonts w:cs="Arial"/>
          <w:sz w:val="24"/>
          <w:szCs w:val="24"/>
        </w:rPr>
        <w:t>5.5.3.2.Отдельно стоящие котельные используются для обслуживания группы зданий.</w:t>
      </w:r>
    </w:p>
    <w:p>
      <w:pPr>
        <w:pStyle w:val="ConsPlusNormal2"/>
        <w:ind w:left="0" w:right="0" w:firstLine="540"/>
        <w:rPr>
          <w:rFonts w:cs="Arial"/>
          <w:sz w:val="24"/>
          <w:szCs w:val="24"/>
        </w:rPr>
      </w:pPr>
      <w:r>
        <w:rPr>
          <w:rFonts w:cs="Arial"/>
          <w:sz w:val="24"/>
          <w:szCs w:val="24"/>
        </w:rPr>
        <w:t>Индивидуальные и крышные котельные используются для обслуживания одного здания или сооружения.</w:t>
      </w:r>
    </w:p>
    <w:p>
      <w:pPr>
        <w:pStyle w:val="ConsPlusNormal2"/>
        <w:ind w:left="0" w:right="0" w:firstLine="540"/>
        <w:rPr>
          <w:rFonts w:cs="Arial"/>
          <w:sz w:val="24"/>
          <w:szCs w:val="24"/>
        </w:rPr>
      </w:pPr>
      <w:r>
        <w:rPr>
          <w:rFonts w:cs="Arial"/>
          <w:sz w:val="24"/>
          <w:szCs w:val="24"/>
        </w:rPr>
        <w:t>Индивидуальные котельные могут быть отдельно стоящими, встроенными и пристроенными.</w:t>
      </w:r>
    </w:p>
    <w:p>
      <w:pPr>
        <w:pStyle w:val="ConsPlusNormal2"/>
        <w:tabs>
          <w:tab w:val="left" w:pos="851" w:leader="none"/>
        </w:tabs>
        <w:suppressAutoHyphens w:val="false"/>
        <w:rPr>
          <w:rFonts w:cs="Arial"/>
          <w:sz w:val="24"/>
          <w:szCs w:val="24"/>
        </w:rPr>
      </w:pPr>
      <w:r>
        <w:rPr>
          <w:rFonts w:cs="Arial"/>
          <w:sz w:val="24"/>
          <w:szCs w:val="24"/>
        </w:rPr>
        <w:t>5.5.3.3.Крышные, пристроенные и отдельно стоящие котельные на территории жилой застройки размещаются в соответствии с требованиями к санитарно-защитным зонам.</w:t>
      </w:r>
    </w:p>
    <w:p>
      <w:pPr>
        <w:pStyle w:val="ConsPlusNormal2"/>
        <w:ind w:left="0" w:right="0" w:firstLine="540"/>
        <w:rPr>
          <w:rFonts w:cs="Arial"/>
          <w:sz w:val="24"/>
          <w:szCs w:val="24"/>
        </w:rPr>
      </w:pPr>
      <w:r>
        <w:rPr>
          <w:rFonts w:cs="Arial"/>
          <w:sz w:val="24"/>
          <w:szCs w:val="24"/>
        </w:rPr>
        <w:t>Не допускается размещение:</w:t>
      </w:r>
    </w:p>
    <w:p>
      <w:pPr>
        <w:pStyle w:val="ConsPlusNormal2"/>
        <w:ind w:left="0" w:right="0" w:firstLine="540"/>
        <w:rPr>
          <w:rFonts w:cs="Arial"/>
          <w:sz w:val="24"/>
          <w:szCs w:val="24"/>
        </w:rPr>
      </w:pPr>
      <w:r>
        <w:rPr>
          <w:rFonts w:cs="Arial"/>
          <w:sz w:val="24"/>
          <w:szCs w:val="24"/>
        </w:rPr>
        <w:t>- котельных, встроенных в многоквартирные жилые здания;</w:t>
      </w:r>
    </w:p>
    <w:p>
      <w:pPr>
        <w:pStyle w:val="ConsPlusNormal2"/>
        <w:ind w:left="0" w:right="0" w:firstLine="540"/>
        <w:rPr>
          <w:rFonts w:cs="Arial"/>
          <w:sz w:val="24"/>
          <w:szCs w:val="24"/>
        </w:rPr>
      </w:pPr>
      <w:r>
        <w:rPr>
          <w:rFonts w:cs="Arial"/>
          <w:sz w:val="24"/>
          <w:szCs w:val="24"/>
        </w:rPr>
        <w:t>- пристроенных котельных, непосредственно примыкающих к жилым зданиям со стороны входных подъездов и участков стен с оконными проемами, где расстояние до ближайшего окна жилого помещения от внешней стены котельной по горизонтали менее 4 м, от перекрытия котельной по вертикали - менее 8 м;</w:t>
      </w:r>
    </w:p>
    <w:p>
      <w:pPr>
        <w:pStyle w:val="ConsPlusNormal2"/>
        <w:ind w:left="0" w:right="0" w:firstLine="540"/>
        <w:rPr>
          <w:rFonts w:cs="Arial"/>
          <w:sz w:val="24"/>
          <w:szCs w:val="24"/>
        </w:rPr>
      </w:pPr>
      <w:r>
        <w:rPr>
          <w:rFonts w:cs="Arial"/>
          <w:sz w:val="24"/>
          <w:szCs w:val="24"/>
        </w:rPr>
        <w:t>- крышных котельных непосредственно на перекрытиях жилых помещений (перекрытие жилого помещения не может служить основанием пола котельной), а также смежно с жилыми помещениями.</w:t>
      </w:r>
    </w:p>
    <w:p>
      <w:pPr>
        <w:pStyle w:val="ConsPlusNormal2"/>
        <w:tabs>
          <w:tab w:val="left" w:pos="851" w:leader="none"/>
        </w:tabs>
        <w:suppressAutoHyphens w:val="false"/>
        <w:rPr>
          <w:rFonts w:cs="Arial"/>
          <w:sz w:val="24"/>
          <w:szCs w:val="24"/>
        </w:rPr>
      </w:pPr>
      <w:r>
        <w:rPr>
          <w:rFonts w:cs="Arial"/>
          <w:sz w:val="24"/>
          <w:szCs w:val="24"/>
        </w:rPr>
        <w:t>5.5.3.4.Земельные участки для размещения котельных выбираются в соответствии со схемой теплоснабжения, проектами планировки, генеральными планами предприятий.</w:t>
      </w:r>
    </w:p>
    <w:p>
      <w:pPr>
        <w:pStyle w:val="ConsPlusNormal2"/>
        <w:ind w:left="0" w:right="0" w:firstLine="540"/>
        <w:rPr>
          <w:rFonts w:cs="Arial"/>
          <w:sz w:val="24"/>
          <w:szCs w:val="24"/>
        </w:rPr>
      </w:pPr>
      <w:r>
        <w:rPr>
          <w:rFonts w:cs="Arial"/>
          <w:sz w:val="24"/>
          <w:szCs w:val="24"/>
        </w:rPr>
        <w:t>Размеры земельных участков для отдельно стоящих котельных, размещаемых в районах жилой застройки, следует принимать в соответствии с таблицей 9.</w:t>
      </w:r>
    </w:p>
    <w:p>
      <w:pPr>
        <w:pStyle w:val="ConsPlusNormal2"/>
        <w:jc w:val="right"/>
        <w:rPr>
          <w:rFonts w:cs="Arial"/>
          <w:sz w:val="24"/>
          <w:szCs w:val="24"/>
        </w:rPr>
      </w:pPr>
      <w:r>
        <w:rPr>
          <w:rFonts w:cs="Arial"/>
          <w:sz w:val="24"/>
          <w:szCs w:val="24"/>
        </w:rPr>
        <w:t>Таблица 9</w:t>
      </w:r>
    </w:p>
    <w:tbl>
      <w:tblPr>
        <w:tblW w:w="9591"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3684"/>
        <w:gridCol w:w="2948"/>
        <w:gridCol w:w="2959"/>
      </w:tblGrid>
      <w:tr>
        <w:trPr/>
        <w:tc>
          <w:tcPr>
            <w:tcW w:w="3684"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Теплопроизводительность котельных, Гкал/ч (МВт)</w:t>
            </w:r>
          </w:p>
        </w:tc>
        <w:tc>
          <w:tcPr>
            <w:tcW w:w="590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Размер земельного участка (га) котельных, работающих</w:t>
            </w:r>
          </w:p>
        </w:tc>
      </w:tr>
      <w:tr>
        <w:trPr/>
        <w:tc>
          <w:tcPr>
            <w:tcW w:w="3684"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cs="Arial"/>
                <w:b/>
                <w:b/>
                <w:sz w:val="24"/>
                <w:szCs w:val="24"/>
                <w:lang w:eastAsia="ar-SA"/>
              </w:rPr>
            </w:pPr>
            <w:r>
              <w:rPr>
                <w:rFonts w:cs="Arial" w:ascii="Arial" w:hAnsi="Arial"/>
                <w:b/>
                <w:sz w:val="24"/>
                <w:szCs w:val="24"/>
                <w:lang w:eastAsia="ar-SA"/>
              </w:rPr>
            </w:r>
          </w:p>
        </w:tc>
        <w:tc>
          <w:tcPr>
            <w:tcW w:w="2948"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на твердом топливе</w:t>
            </w:r>
          </w:p>
        </w:tc>
        <w:tc>
          <w:tcPr>
            <w:tcW w:w="29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на газомазутном топливе</w:t>
            </w:r>
          </w:p>
        </w:tc>
      </w:tr>
      <w:tr>
        <w:trPr/>
        <w:tc>
          <w:tcPr>
            <w:tcW w:w="368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до 5</w:t>
            </w:r>
          </w:p>
        </w:tc>
        <w:tc>
          <w:tcPr>
            <w:tcW w:w="294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0,7</w:t>
            </w:r>
          </w:p>
        </w:tc>
        <w:tc>
          <w:tcPr>
            <w:tcW w:w="29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0,7</w:t>
            </w:r>
          </w:p>
        </w:tc>
      </w:tr>
      <w:tr>
        <w:trPr/>
        <w:tc>
          <w:tcPr>
            <w:tcW w:w="368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от 5 до 10 (от 6 до 12)</w:t>
            </w:r>
          </w:p>
        </w:tc>
        <w:tc>
          <w:tcPr>
            <w:tcW w:w="294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c>
          <w:tcPr>
            <w:tcW w:w="29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r>
      <w:tr>
        <w:trPr/>
        <w:tc>
          <w:tcPr>
            <w:tcW w:w="368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от 10 до 50 (от 12 до 58)</w:t>
            </w:r>
          </w:p>
        </w:tc>
        <w:tc>
          <w:tcPr>
            <w:tcW w:w="294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c>
          <w:tcPr>
            <w:tcW w:w="29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r>
    </w:tbl>
    <w:p>
      <w:pPr>
        <w:pStyle w:val="ConsPlusNormal2"/>
        <w:ind w:left="0" w:right="0" w:firstLine="540"/>
        <w:rPr>
          <w:rFonts w:cs="Arial"/>
          <w:sz w:val="24"/>
          <w:szCs w:val="24"/>
        </w:rPr>
      </w:pPr>
      <w:r>
        <w:rPr>
          <w:rFonts w:cs="Arial"/>
          <w:sz w:val="24"/>
          <w:szCs w:val="24"/>
        </w:rPr>
        <w:t>Примечания.</w:t>
      </w:r>
    </w:p>
    <w:p>
      <w:pPr>
        <w:pStyle w:val="ConsPlusNormal2"/>
        <w:ind w:left="0" w:right="0" w:firstLine="540"/>
        <w:rPr>
          <w:rFonts w:cs="Arial"/>
          <w:sz w:val="24"/>
          <w:szCs w:val="24"/>
        </w:rPr>
      </w:pPr>
      <w:r>
        <w:rPr>
          <w:rFonts w:cs="Arial"/>
          <w:sz w:val="24"/>
          <w:szCs w:val="24"/>
        </w:rPr>
        <w:t>1. Размеры земельных участков отопительных котельных, обеспечивающих потребителей горячей водой, с непосредственным водоразбором следует увеличивать на 20 процентов.</w:t>
      </w:r>
    </w:p>
    <w:p>
      <w:pPr>
        <w:pStyle w:val="ConsPlusNormal2"/>
        <w:tabs>
          <w:tab w:val="left" w:pos="851" w:leader="none"/>
        </w:tabs>
        <w:suppressAutoHyphens w:val="false"/>
        <w:rPr/>
      </w:pPr>
      <w:r>
        <w:rPr>
          <w:rFonts w:cs="Arial"/>
          <w:sz w:val="24"/>
          <w:szCs w:val="24"/>
        </w:rPr>
        <w:t xml:space="preserve">5.5.3.5.Трассы и способы прокладки тепловых сетей следует предусматривать в соответствии со </w:t>
      </w:r>
      <w:hyperlink r:id="rId31">
        <w:r>
          <w:rPr>
            <w:rStyle w:val="Style9"/>
            <w:rFonts w:cs="Arial"/>
            <w:color w:val="00000A"/>
            <w:sz w:val="24"/>
            <w:szCs w:val="24"/>
          </w:rPr>
          <w:t>СНиП II-89-80</w:t>
        </w:r>
      </w:hyperlink>
      <w:r>
        <w:rPr>
          <w:rFonts w:cs="Arial"/>
          <w:sz w:val="24"/>
          <w:szCs w:val="24"/>
        </w:rPr>
        <w:t xml:space="preserve">, </w:t>
      </w:r>
      <w:hyperlink r:id="rId32">
        <w:r>
          <w:rPr>
            <w:rStyle w:val="Style9"/>
            <w:rFonts w:cs="Arial"/>
            <w:color w:val="00000A"/>
            <w:sz w:val="24"/>
            <w:szCs w:val="24"/>
          </w:rPr>
          <w:t>СНиП 41-02-2003</w:t>
        </w:r>
      </w:hyperlink>
      <w:r>
        <w:rPr>
          <w:rFonts w:cs="Arial"/>
          <w:sz w:val="24"/>
          <w:szCs w:val="24"/>
        </w:rPr>
        <w:t xml:space="preserve">, </w:t>
      </w:r>
      <w:hyperlink r:id="rId33">
        <w:r>
          <w:rPr>
            <w:rStyle w:val="Style9"/>
            <w:rFonts w:cs="Arial"/>
            <w:color w:val="00000A"/>
            <w:sz w:val="24"/>
            <w:szCs w:val="24"/>
          </w:rPr>
          <w:t>СНиП 2.07.01-89*</w:t>
        </w:r>
      </w:hyperlink>
      <w:r>
        <w:rPr>
          <w:rFonts w:cs="Arial"/>
          <w:sz w:val="24"/>
          <w:szCs w:val="24"/>
        </w:rPr>
        <w:t xml:space="preserve">, </w:t>
      </w:r>
      <w:hyperlink r:id="rId34">
        <w:r>
          <w:rPr>
            <w:rStyle w:val="Style9"/>
            <w:rFonts w:cs="Arial"/>
            <w:color w:val="00000A"/>
            <w:sz w:val="24"/>
            <w:szCs w:val="24"/>
          </w:rPr>
          <w:t>ВСН 11-94</w:t>
        </w:r>
      </w:hyperlink>
      <w:r>
        <w:rPr>
          <w:rFonts w:cs="Arial"/>
          <w:sz w:val="24"/>
          <w:szCs w:val="24"/>
        </w:rPr>
        <w:t>.</w:t>
      </w:r>
    </w:p>
    <w:p>
      <w:pPr>
        <w:pStyle w:val="ConsPlusNormal2"/>
        <w:tabs>
          <w:tab w:val="left" w:pos="851" w:leader="none"/>
        </w:tabs>
        <w:suppressAutoHyphens w:val="false"/>
        <w:ind w:left="567" w:right="0" w:hanging="0"/>
        <w:rPr>
          <w:rFonts w:cs="Arial"/>
          <w:sz w:val="24"/>
          <w:szCs w:val="24"/>
        </w:rPr>
      </w:pPr>
      <w:r>
        <w:rPr>
          <w:rFonts w:cs="Arial"/>
          <w:sz w:val="24"/>
          <w:szCs w:val="24"/>
        </w:rPr>
      </w:r>
    </w:p>
    <w:p>
      <w:pPr>
        <w:pStyle w:val="ConsPlusNormal2"/>
        <w:rPr/>
      </w:pPr>
      <w:r>
        <w:rPr>
          <w:rFonts w:cs="Arial"/>
          <w:sz w:val="24"/>
          <w:szCs w:val="24"/>
        </w:rPr>
        <w:t xml:space="preserve">          </w:t>
      </w:r>
      <w:r>
        <w:rPr>
          <w:rFonts w:cs="Arial"/>
          <w:sz w:val="24"/>
          <w:szCs w:val="24"/>
        </w:rPr>
        <w:t>5.5.4.</w:t>
        <w:tab/>
        <w:t>Газоснабжение</w:t>
      </w:r>
    </w:p>
    <w:p>
      <w:pPr>
        <w:pStyle w:val="ConsPlusNormal2"/>
        <w:tabs>
          <w:tab w:val="left" w:pos="567" w:leader="none"/>
        </w:tabs>
        <w:suppressAutoHyphens w:val="false"/>
        <w:rPr>
          <w:rFonts w:cs="Arial"/>
          <w:sz w:val="24"/>
          <w:szCs w:val="24"/>
        </w:rPr>
      </w:pPr>
      <w:r>
        <w:rPr>
          <w:rFonts w:cs="Arial"/>
          <w:sz w:val="24"/>
          <w:szCs w:val="24"/>
        </w:rPr>
        <w:t>Проектирование и строительство новых газораспределительных систем, реконструкцию и развитие действующих газораспределительных систем следует осуществлять в соответствии со схемами газоснабжения, разработанными в составе программы газификации Нижегородской области, в целях обеспечения, предусматриваемого программой уровня газификации жилищно-коммунального хозяйства, промышленных и иных организаций.</w:t>
      </w:r>
    </w:p>
    <w:p>
      <w:pPr>
        <w:pStyle w:val="ConsPlusNormal2"/>
        <w:rPr>
          <w:rFonts w:cs="Arial"/>
          <w:sz w:val="24"/>
          <w:szCs w:val="24"/>
        </w:rPr>
      </w:pPr>
      <w:r>
        <w:rPr>
          <w:rFonts w:cs="Arial"/>
          <w:sz w:val="24"/>
          <w:szCs w:val="24"/>
        </w:rPr>
      </w:r>
    </w:p>
    <w:p>
      <w:pPr>
        <w:pStyle w:val="ConsPlusNormal2"/>
        <w:rPr/>
      </w:pPr>
      <w:r>
        <w:rPr>
          <w:rFonts w:cs="Arial"/>
          <w:sz w:val="24"/>
          <w:szCs w:val="24"/>
        </w:rPr>
        <w:t xml:space="preserve">        </w:t>
      </w:r>
      <w:r>
        <w:rPr>
          <w:rFonts w:cs="Arial"/>
          <w:sz w:val="24"/>
          <w:szCs w:val="24"/>
        </w:rPr>
        <w:t>5.5.5.Электроснабжение</w:t>
      </w:r>
    </w:p>
    <w:p>
      <w:pPr>
        <w:pStyle w:val="ConsPlusNormal2"/>
        <w:tabs>
          <w:tab w:val="left" w:pos="851" w:leader="none"/>
        </w:tabs>
        <w:suppressAutoHyphens w:val="false"/>
        <w:rPr/>
      </w:pPr>
      <w:r>
        <w:rPr>
          <w:rFonts w:cs="Arial"/>
          <w:sz w:val="24"/>
          <w:szCs w:val="24"/>
        </w:rPr>
        <w:t xml:space="preserve">         </w:t>
      </w:r>
      <w:r>
        <w:rPr>
          <w:rFonts w:cs="Arial"/>
          <w:sz w:val="24"/>
          <w:szCs w:val="24"/>
        </w:rPr>
        <w:t xml:space="preserve">5.5.5.1.Систему электроснабжения следует проектировать в соответствии с требованиями </w:t>
      </w:r>
      <w:hyperlink r:id="rId35">
        <w:r>
          <w:rPr>
            <w:rStyle w:val="Style9"/>
            <w:rFonts w:cs="Arial"/>
            <w:sz w:val="24"/>
            <w:szCs w:val="24"/>
          </w:rPr>
          <w:t>Инструкции</w:t>
        </w:r>
      </w:hyperlink>
      <w:r>
        <w:rPr>
          <w:rFonts w:cs="Arial"/>
          <w:sz w:val="24"/>
          <w:szCs w:val="24"/>
        </w:rPr>
        <w:t xml:space="preserve"> по проектированию городских электрических сетей, утвержденной Министерством топлива и энергетики Российской Федерации 7 июля 1994 года, Российским акционерным обществом энергетики и электрификации "ЕЭС России" 31 мая 1994 года (с изменениями, внесенными Нормативами, утвержденными приказом Минтопэнерго Российской Федерации от 29 июня 1999 года N 213).</w:t>
      </w:r>
    </w:p>
    <w:p>
      <w:pPr>
        <w:pStyle w:val="ConsPlusNormal2"/>
        <w:ind w:left="0" w:right="0" w:firstLine="540"/>
        <w:rPr>
          <w:rFonts w:cs="Arial"/>
          <w:sz w:val="24"/>
          <w:szCs w:val="24"/>
        </w:rPr>
      </w:pPr>
      <w:r>
        <w:rPr>
          <w:rFonts w:cs="Arial"/>
          <w:sz w:val="24"/>
          <w:szCs w:val="24"/>
        </w:rPr>
        <w:t>Система электроснабжения выполняется так, чтобы в нормальном режиме все элементы системы находились под нагрузкой с максимально возможным использованием их нагрузочной способности. При этом рекомендуется предусматривать совместное использование отдельных элементов системы электроснабжения для питания различных потребителей независимо от их ведомственной принадлежности.</w:t>
      </w:r>
    </w:p>
    <w:p>
      <w:pPr>
        <w:pStyle w:val="ConsPlusNormal2"/>
        <w:ind w:left="0" w:right="0" w:firstLine="540"/>
        <w:rPr>
          <w:rFonts w:cs="Arial"/>
          <w:sz w:val="24"/>
          <w:szCs w:val="24"/>
        </w:rPr>
      </w:pPr>
      <w:r>
        <w:rPr>
          <w:rFonts w:cs="Arial"/>
          <w:sz w:val="24"/>
          <w:szCs w:val="24"/>
        </w:rPr>
        <w:t>При реконструкции действующих сетей необходимо максимально использовать существующие электросетевые сооружения.</w:t>
      </w:r>
    </w:p>
    <w:p>
      <w:pPr>
        <w:pStyle w:val="ConsPlusNormal2"/>
        <w:ind w:left="0" w:right="0" w:firstLine="540"/>
        <w:rPr>
          <w:rFonts w:cs="Arial"/>
          <w:sz w:val="24"/>
          <w:szCs w:val="24"/>
        </w:rPr>
      </w:pPr>
      <w:r>
        <w:rPr>
          <w:rFonts w:cs="Arial"/>
          <w:sz w:val="24"/>
          <w:szCs w:val="24"/>
        </w:rPr>
        <w:t>Основные решения по электроснабжению потребителей разрабатываются в концепции развития и реконструкции населенных пунктов, генеральном плане, проекте планировки территории и схеме развития электрических сетей.</w:t>
      </w:r>
    </w:p>
    <w:p>
      <w:pPr>
        <w:pStyle w:val="ConsPlusNormal2"/>
        <w:ind w:left="0" w:right="0" w:firstLine="540"/>
        <w:rPr>
          <w:rFonts w:cs="Arial"/>
          <w:sz w:val="24"/>
          <w:szCs w:val="24"/>
        </w:rPr>
      </w:pPr>
      <w:r>
        <w:rPr>
          <w:rFonts w:cs="Arial"/>
          <w:sz w:val="24"/>
          <w:szCs w:val="24"/>
        </w:rPr>
        <w:t>В составе концепции развития муниципального образования рассматриваются основные вопросы перспективного развития системы электроснабжения на расчетный срок с выделением первой очереди, выполняются расчет электрических нагрузок и их баланс, распределение нагрузок по центрам питания, закрепление площадок для новых электростанций и подстанций, трасс воздушных и кабельных линий электропередачи 35 кВ и выше, размещение баз предприятий электрических сетей.</w:t>
      </w:r>
    </w:p>
    <w:p>
      <w:pPr>
        <w:pStyle w:val="ConsPlusNormal2"/>
        <w:ind w:left="0" w:right="0" w:firstLine="540"/>
        <w:rPr>
          <w:rFonts w:cs="Arial"/>
          <w:sz w:val="24"/>
          <w:szCs w:val="24"/>
        </w:rPr>
      </w:pPr>
      <w:r>
        <w:rPr>
          <w:rFonts w:cs="Arial"/>
          <w:sz w:val="24"/>
          <w:szCs w:val="24"/>
        </w:rPr>
        <w:t>Результаты расчета электрических нагрузок необходимо сопоставлять со среднегодовыми темпами роста нагрузок, полученными из анализа их изменения за последние 5 - 10 лет, и при необходимости корректировать.</w:t>
      </w:r>
    </w:p>
    <w:p>
      <w:pPr>
        <w:pStyle w:val="ConsPlusNormal2"/>
        <w:ind w:left="0" w:right="0" w:firstLine="540"/>
        <w:rPr>
          <w:rFonts w:cs="Arial"/>
          <w:sz w:val="24"/>
          <w:szCs w:val="24"/>
        </w:rPr>
      </w:pPr>
      <w:r>
        <w:rPr>
          <w:rFonts w:cs="Arial"/>
          <w:sz w:val="24"/>
          <w:szCs w:val="24"/>
        </w:rPr>
        <w:t>Электрические сети 10(6) кВ разрабатываются в проекте планировки территории с расчетом нагрузок всех потребителей и их районированием, определением количества и мощности трансформаторных подстанций и распределительных пунктов на основании технических условий энергоснабжающих организаций, выдаваемых на основании утвержденной в установленном порядке схемы развития электрических сетей муниципального района. В объем графического материала по этим сетям входят схемы электрических соединений и конфигурация сетей 10(6) кВ на плане муниципального района в масштабе 1:2000 с указанием основных параметров системы электроснабжения.</w:t>
      </w:r>
    </w:p>
    <w:p>
      <w:pPr>
        <w:pStyle w:val="ConsPlusNormal2"/>
        <w:ind w:left="0" w:right="0" w:firstLine="540"/>
        <w:rPr>
          <w:rFonts w:cs="Arial"/>
          <w:sz w:val="24"/>
          <w:szCs w:val="24"/>
        </w:rPr>
      </w:pPr>
      <w:r>
        <w:rPr>
          <w:rFonts w:cs="Arial"/>
          <w:sz w:val="24"/>
          <w:szCs w:val="24"/>
        </w:rPr>
        <w:t>Сети внешнего электроснабжения коммунальных, промышленных и прочих потребителей, расположенных в селитебной зоне, разрабатываются в составе проектов строительства или реконструкции указанных потребителей по техническим условиям энергоснабжающей организации, выдаваемым согласно утвержденной в установленном порядке схеме развития электрических сетей.</w:t>
      </w:r>
    </w:p>
    <w:p>
      <w:pPr>
        <w:pStyle w:val="ConsPlusNormal2"/>
        <w:tabs>
          <w:tab w:val="left" w:pos="851" w:leader="none"/>
        </w:tabs>
        <w:suppressAutoHyphens w:val="false"/>
        <w:rPr/>
      </w:pPr>
      <w:r>
        <w:rPr>
          <w:rFonts w:cs="Arial"/>
          <w:sz w:val="24"/>
          <w:szCs w:val="24"/>
        </w:rPr>
        <w:t xml:space="preserve">5.5.5.2.При проектировании электроснабжения населенных пунктов определение электрической нагрузки на электроисточники следует производить в соответствии с требованиями </w:t>
      </w:r>
      <w:hyperlink r:id="rId36">
        <w:r>
          <w:rPr>
            <w:rStyle w:val="Style9"/>
            <w:rFonts w:cs="Arial"/>
            <w:color w:val="00000A"/>
            <w:sz w:val="24"/>
            <w:szCs w:val="24"/>
          </w:rPr>
          <w:t>РД 34.20.185-94</w:t>
        </w:r>
      </w:hyperlink>
      <w:r>
        <w:rPr>
          <w:rFonts w:cs="Arial"/>
          <w:sz w:val="24"/>
          <w:szCs w:val="24"/>
        </w:rPr>
        <w:t xml:space="preserve"> (СО 153-34.20.185-94) и </w:t>
      </w:r>
      <w:hyperlink r:id="rId37">
        <w:r>
          <w:rPr>
            <w:rStyle w:val="Style9"/>
            <w:rFonts w:cs="Arial"/>
            <w:color w:val="00000A"/>
            <w:sz w:val="24"/>
            <w:szCs w:val="24"/>
          </w:rPr>
          <w:t>СП 31-110-2003</w:t>
        </w:r>
      </w:hyperlink>
      <w:r>
        <w:rPr>
          <w:rFonts w:cs="Arial"/>
          <w:sz w:val="24"/>
          <w:szCs w:val="24"/>
        </w:rPr>
        <w:t>.</w:t>
      </w:r>
    </w:p>
    <w:p>
      <w:pPr>
        <w:pStyle w:val="ConsPlusNormal2"/>
        <w:ind w:left="0" w:right="0" w:firstLine="540"/>
        <w:rPr>
          <w:rFonts w:cs="Arial"/>
          <w:sz w:val="24"/>
          <w:szCs w:val="24"/>
        </w:rPr>
      </w:pPr>
      <w:r>
        <w:rPr>
          <w:rFonts w:cs="Arial"/>
          <w:sz w:val="24"/>
          <w:szCs w:val="24"/>
        </w:rPr>
        <w:t>Укрупненные показатели электропотребления в сельских населенных пунктах допускается принимать в соответствии с таблицей 10.</w:t>
      </w:r>
    </w:p>
    <w:p>
      <w:pPr>
        <w:pStyle w:val="ConsPlusNormal2"/>
        <w:jc w:val="right"/>
        <w:rPr>
          <w:rFonts w:cs="Arial"/>
          <w:sz w:val="24"/>
          <w:szCs w:val="24"/>
        </w:rPr>
      </w:pPr>
      <w:bookmarkStart w:id="90" w:name="P1112"/>
      <w:bookmarkEnd w:id="90"/>
      <w:r>
        <w:rPr>
          <w:rFonts w:cs="Arial"/>
          <w:sz w:val="24"/>
          <w:szCs w:val="24"/>
        </w:rPr>
        <w:t>Таблица 10</w:t>
      </w:r>
    </w:p>
    <w:tbl>
      <w:tblPr>
        <w:tblW w:w="9638"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102" w:type="dxa"/>
          <w:left w:w="62" w:type="dxa"/>
          <w:bottom w:w="102" w:type="dxa"/>
          <w:right w:w="62" w:type="dxa"/>
        </w:tblCellMar>
      </w:tblPr>
      <w:tblGrid>
        <w:gridCol w:w="3627"/>
        <w:gridCol w:w="3000"/>
        <w:gridCol w:w="3011"/>
      </w:tblGrid>
      <w:tr>
        <w:trPr/>
        <w:tc>
          <w:tcPr>
            <w:tcW w:w="9638"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Укрупненные показатели электропотребления</w:t>
            </w:r>
          </w:p>
        </w:tc>
      </w:tr>
      <w:tr>
        <w:trPr/>
        <w:tc>
          <w:tcPr>
            <w:tcW w:w="3627"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napToGrid w:val="false"/>
              <w:rPr>
                <w:rFonts w:cs="Arial"/>
                <w:sz w:val="24"/>
                <w:szCs w:val="24"/>
              </w:rPr>
            </w:pPr>
            <w:r>
              <w:rPr>
                <w:rFonts w:cs="Arial"/>
                <w:sz w:val="24"/>
                <w:szCs w:val="24"/>
              </w:rPr>
            </w:r>
          </w:p>
        </w:tc>
        <w:tc>
          <w:tcPr>
            <w:tcW w:w="3000"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Электропотребление кВт. ч/год на 1 чел.</w:t>
            </w:r>
          </w:p>
        </w:tc>
        <w:tc>
          <w:tcPr>
            <w:tcW w:w="30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Использование максимума эл. нагрузки ч/год</w:t>
            </w:r>
          </w:p>
        </w:tc>
      </w:tr>
      <w:tr>
        <w:trPr/>
        <w:tc>
          <w:tcPr>
            <w:tcW w:w="362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Cell2"/>
              <w:jc w:val="both"/>
              <w:rPr>
                <w:rFonts w:ascii="Arial" w:hAnsi="Arial" w:cs="Arial"/>
                <w:sz w:val="24"/>
                <w:szCs w:val="24"/>
              </w:rPr>
            </w:pPr>
            <w:r>
              <w:rPr>
                <w:rFonts w:cs="Arial" w:ascii="Arial" w:hAnsi="Arial"/>
                <w:sz w:val="24"/>
                <w:szCs w:val="24"/>
              </w:rPr>
              <w:t xml:space="preserve">Сельские населенные пункты </w:t>
            </w:r>
          </w:p>
        </w:tc>
        <w:tc>
          <w:tcPr>
            <w:tcW w:w="30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950</w:t>
            </w:r>
          </w:p>
        </w:tc>
        <w:tc>
          <w:tcPr>
            <w:tcW w:w="30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4100</w:t>
            </w:r>
          </w:p>
        </w:tc>
      </w:tr>
    </w:tbl>
    <w:p>
      <w:pPr>
        <w:pStyle w:val="ConsPlusNormal2"/>
        <w:ind w:left="0" w:right="0" w:firstLine="540"/>
        <w:rPr>
          <w:rFonts w:cs="Arial"/>
          <w:sz w:val="24"/>
          <w:szCs w:val="24"/>
          <w:lang w:eastAsia="ar-SA"/>
        </w:rPr>
      </w:pPr>
      <w:r>
        <w:rPr>
          <w:rFonts w:cs="Arial"/>
          <w:sz w:val="24"/>
          <w:szCs w:val="24"/>
          <w:lang w:eastAsia="ar-SA"/>
        </w:rPr>
      </w:r>
    </w:p>
    <w:p>
      <w:pPr>
        <w:pStyle w:val="ConsPlusNormal2"/>
        <w:tabs>
          <w:tab w:val="left" w:pos="851" w:leader="none"/>
        </w:tabs>
        <w:suppressAutoHyphens w:val="false"/>
        <w:rPr>
          <w:rFonts w:cs="Arial"/>
          <w:sz w:val="24"/>
          <w:szCs w:val="24"/>
        </w:rPr>
      </w:pPr>
      <w:r>
        <w:rPr>
          <w:rFonts w:cs="Arial"/>
          <w:sz w:val="24"/>
          <w:szCs w:val="24"/>
        </w:rPr>
        <w:t>5.5.5.3.При проектировании электроснабжения населенных пунктов необходимо учитывать требования к обеспечению его надежности в соответствии с категорией проектируемых территорий.</w:t>
      </w:r>
    </w:p>
    <w:p>
      <w:pPr>
        <w:pStyle w:val="ConsPlusNormal2"/>
        <w:tabs>
          <w:tab w:val="left" w:pos="851" w:leader="none"/>
        </w:tabs>
        <w:suppressAutoHyphens w:val="false"/>
        <w:rPr/>
      </w:pPr>
      <w:r>
        <w:rPr>
          <w:rFonts w:cs="Arial"/>
          <w:sz w:val="24"/>
          <w:szCs w:val="24"/>
        </w:rPr>
        <w:t xml:space="preserve">5.5.5.4.Перечень основных электроприемников потребителей с их категорированием по надежности электроснабжения определяется в соответствии с требованиями </w:t>
      </w:r>
      <w:hyperlink r:id="rId38">
        <w:r>
          <w:rPr>
            <w:rStyle w:val="Style9"/>
            <w:rFonts w:cs="Arial"/>
            <w:color w:val="00000A"/>
            <w:sz w:val="24"/>
            <w:szCs w:val="24"/>
          </w:rPr>
          <w:t>РД 34.20.185-94</w:t>
        </w:r>
      </w:hyperlink>
      <w:r>
        <w:rPr>
          <w:rFonts w:cs="Arial"/>
          <w:sz w:val="24"/>
          <w:szCs w:val="24"/>
        </w:rPr>
        <w:t>.</w:t>
      </w:r>
    </w:p>
    <w:p>
      <w:pPr>
        <w:pStyle w:val="ConsPlusNormal2"/>
        <w:tabs>
          <w:tab w:val="left" w:pos="851" w:leader="none"/>
        </w:tabs>
        <w:suppressAutoHyphens w:val="false"/>
        <w:rPr>
          <w:rFonts w:cs="Arial"/>
          <w:sz w:val="24"/>
          <w:szCs w:val="24"/>
        </w:rPr>
      </w:pPr>
      <w:r>
        <w:rPr>
          <w:rFonts w:cs="Arial"/>
          <w:sz w:val="24"/>
          <w:szCs w:val="24"/>
        </w:rPr>
        <w:t>5.5.5.5.Проектирование электроснабжения по условиям обеспечения необходимой надежности выполняется применительно к основной массе электроприемников проектируемой территории. При наличии на них отдельных электроприемников более высокой категории или особой группы первой категории проектирование электроснабжения обеспечивается необходимыми мерами по созданию требуемой надежности электроснабжения этих электроприемников.</w:t>
      </w:r>
    </w:p>
    <w:p>
      <w:pPr>
        <w:pStyle w:val="ConsPlusNormal2"/>
        <w:tabs>
          <w:tab w:val="left" w:pos="851" w:leader="none"/>
        </w:tabs>
        <w:suppressAutoHyphens w:val="false"/>
        <w:rPr>
          <w:rFonts w:cs="Arial"/>
          <w:sz w:val="24"/>
          <w:szCs w:val="24"/>
        </w:rPr>
      </w:pPr>
      <w:r>
        <w:rPr>
          <w:rFonts w:cs="Arial"/>
          <w:sz w:val="24"/>
          <w:szCs w:val="24"/>
        </w:rPr>
        <w:t>5.5.5.6.Линии электропередачи, входящие в общие энергетические системы, не допускается размещать на территории производственных зон, а также производственных зон сельскохозяйственных предприятий.</w:t>
      </w:r>
    </w:p>
    <w:p>
      <w:pPr>
        <w:pStyle w:val="ConsPlusNormal2"/>
        <w:tabs>
          <w:tab w:val="left" w:pos="851" w:leader="none"/>
        </w:tabs>
        <w:suppressAutoHyphens w:val="false"/>
        <w:rPr>
          <w:rFonts w:cs="Arial"/>
          <w:sz w:val="24"/>
          <w:szCs w:val="24"/>
        </w:rPr>
      </w:pPr>
      <w:r>
        <w:rPr>
          <w:rFonts w:cs="Arial"/>
          <w:sz w:val="24"/>
          <w:szCs w:val="24"/>
        </w:rPr>
        <w:t>5.5.5.7.Существующие воздушные линии электропередачи напряжением 35 кВ и выше рекомендуется предусматривать к выносу за пределы жилой застройки или заменять воздушные линии кабельными.</w:t>
      </w:r>
    </w:p>
    <w:p>
      <w:pPr>
        <w:pStyle w:val="ConsPlusNormal2"/>
        <w:tabs>
          <w:tab w:val="left" w:pos="851" w:leader="none"/>
        </w:tabs>
        <w:suppressAutoHyphens w:val="false"/>
        <w:rPr>
          <w:rFonts w:cs="Arial"/>
          <w:sz w:val="24"/>
          <w:szCs w:val="24"/>
        </w:rPr>
      </w:pPr>
      <w:r>
        <w:rPr>
          <w:rFonts w:cs="Arial"/>
          <w:sz w:val="24"/>
          <w:szCs w:val="24"/>
        </w:rPr>
        <w:t>5.5.5.8.Линии электропередачи напряжением до 10 кВ на территории жилой зоны должны быть воздушными.</w:t>
      </w:r>
    </w:p>
    <w:p>
      <w:pPr>
        <w:pStyle w:val="ConsPlusNormal2"/>
        <w:tabs>
          <w:tab w:val="left" w:pos="851" w:leader="none"/>
        </w:tabs>
        <w:suppressAutoHyphens w:val="false"/>
        <w:rPr>
          <w:rFonts w:cs="Arial"/>
          <w:sz w:val="24"/>
          <w:szCs w:val="24"/>
        </w:rPr>
      </w:pPr>
      <w:r>
        <w:rPr>
          <w:rFonts w:cs="Arial"/>
          <w:sz w:val="24"/>
          <w:szCs w:val="24"/>
        </w:rPr>
        <w:t>5.5.5.9.Для проектируемых воздушных линий электропередачи (ЛЭП) напряжением 330 кВ и выше переменного тока промышленной частоты, а также зданий и сооружений допускается принимать границы санитарных разрывов вдоль трассы воздушной линии с горизонтальным расположением проводов и без средств снижения напряженности электрического поля по обе стороны от нее на следующих расстояниях от проекции на землю крайних фазных проводов в направлении, перпендикулярном к воздушной линии:</w:t>
      </w:r>
    </w:p>
    <w:p>
      <w:pPr>
        <w:pStyle w:val="ConsPlusNormal2"/>
        <w:ind w:left="0" w:right="0" w:firstLine="540"/>
        <w:rPr>
          <w:rFonts w:cs="Arial"/>
          <w:sz w:val="24"/>
          <w:szCs w:val="24"/>
        </w:rPr>
      </w:pPr>
      <w:r>
        <w:rPr>
          <w:rFonts w:cs="Arial"/>
          <w:sz w:val="24"/>
          <w:szCs w:val="24"/>
        </w:rPr>
        <w:t>- 20 м - для линий напряжением 330 кВ;</w:t>
      </w:r>
    </w:p>
    <w:p>
      <w:pPr>
        <w:pStyle w:val="ConsPlusNormal2"/>
        <w:ind w:left="0" w:right="0" w:firstLine="540"/>
        <w:rPr>
          <w:rFonts w:cs="Arial"/>
          <w:sz w:val="24"/>
          <w:szCs w:val="24"/>
        </w:rPr>
      </w:pPr>
      <w:r>
        <w:rPr>
          <w:rFonts w:cs="Arial"/>
          <w:sz w:val="24"/>
          <w:szCs w:val="24"/>
        </w:rPr>
        <w:t>- 30 м - для линий напряжением 500 кВ;</w:t>
      </w:r>
    </w:p>
    <w:p>
      <w:pPr>
        <w:pStyle w:val="ConsPlusNormal2"/>
        <w:ind w:left="0" w:right="0" w:firstLine="540"/>
        <w:rPr>
          <w:rFonts w:cs="Arial"/>
          <w:sz w:val="24"/>
          <w:szCs w:val="24"/>
        </w:rPr>
      </w:pPr>
      <w:r>
        <w:rPr>
          <w:rFonts w:cs="Arial"/>
          <w:sz w:val="24"/>
          <w:szCs w:val="24"/>
        </w:rPr>
        <w:t>- 40 м - для линий напряжением 750 кВ;</w:t>
      </w:r>
    </w:p>
    <w:p>
      <w:pPr>
        <w:pStyle w:val="ConsPlusNormal2"/>
        <w:ind w:left="0" w:right="0" w:firstLine="540"/>
        <w:rPr>
          <w:rFonts w:cs="Arial"/>
          <w:sz w:val="24"/>
          <w:szCs w:val="24"/>
        </w:rPr>
      </w:pPr>
      <w:r>
        <w:rPr>
          <w:rFonts w:cs="Arial"/>
          <w:sz w:val="24"/>
          <w:szCs w:val="24"/>
        </w:rPr>
        <w:t>- 55 м - для линий напряжением 1150 кВ.</w:t>
      </w:r>
    </w:p>
    <w:p>
      <w:pPr>
        <w:pStyle w:val="ConsPlusNormal2"/>
        <w:ind w:left="0" w:right="0" w:firstLine="540"/>
        <w:rPr>
          <w:rFonts w:cs="Arial"/>
          <w:sz w:val="24"/>
          <w:szCs w:val="24"/>
        </w:rPr>
      </w:pPr>
      <w:r>
        <w:rPr>
          <w:rFonts w:cs="Arial"/>
          <w:sz w:val="24"/>
          <w:szCs w:val="24"/>
        </w:rPr>
        <w:t>При вводе объекта в эксплуатацию и в процессе эксплуатации санитарный разрыв должен быть скорректирован по результатам инструментального обследования.</w:t>
      </w:r>
    </w:p>
    <w:p>
      <w:pPr>
        <w:pStyle w:val="ConsPlusNormal2"/>
        <w:tabs>
          <w:tab w:val="left" w:pos="851" w:leader="none"/>
        </w:tabs>
        <w:suppressAutoHyphens w:val="false"/>
        <w:rPr/>
      </w:pPr>
      <w:r>
        <w:rPr/>
        <w:t>5.5.5.10.</w:t>
      </w:r>
      <w:hyperlink r:id="rId39">
        <w:r>
          <w:rPr>
            <w:rStyle w:val="Style9"/>
            <w:rFonts w:cs="Arial"/>
            <w:color w:val="00000A"/>
            <w:sz w:val="24"/>
            <w:szCs w:val="24"/>
          </w:rPr>
          <w:t>Правила</w:t>
        </w:r>
      </w:hyperlink>
      <w:r>
        <w:rPr>
          <w:rFonts w:cs="Arial"/>
          <w:sz w:val="24"/>
          <w:szCs w:val="24"/>
        </w:rPr>
        <w:t xml:space="preserve"> определения размеров земельных участков для размещения воздушных линий электропередачи и опор линий связи, обслуживающих электрические сети, определены постановлением Правительства Российской Федерации от 11 августа 2003 года N 486.</w:t>
      </w:r>
    </w:p>
    <w:p>
      <w:pPr>
        <w:pStyle w:val="ConsPlusNormal2"/>
        <w:ind w:left="0" w:right="0" w:firstLine="540"/>
        <w:rPr>
          <w:rFonts w:cs="Arial"/>
          <w:sz w:val="24"/>
          <w:szCs w:val="24"/>
        </w:rPr>
      </w:pPr>
      <w:r>
        <w:rPr>
          <w:rFonts w:cs="Arial"/>
          <w:sz w:val="24"/>
          <w:szCs w:val="24"/>
        </w:rPr>
        <w:t>Воздушная линия электропередачи (линия связи, обслуживающая электрическую сеть) размещается на обособленных земельных участках, отнесенных в установленном порядке к землям промышленности и иного специального назначения или землям поселений и предназначенных для установки опор указанных линий.</w:t>
      </w:r>
    </w:p>
    <w:p>
      <w:pPr>
        <w:pStyle w:val="ConsPlusNormal2"/>
        <w:ind w:left="0" w:right="0" w:firstLine="540"/>
        <w:rPr>
          <w:rFonts w:cs="Arial"/>
          <w:sz w:val="24"/>
          <w:szCs w:val="24"/>
        </w:rPr>
      </w:pPr>
      <w:r>
        <w:rPr>
          <w:rFonts w:cs="Arial"/>
          <w:sz w:val="24"/>
          <w:szCs w:val="24"/>
        </w:rPr>
        <w:t>Обособленные земельные участки, отнесенные к одной категории земель и предназначенные (используемые) для установки опор одной воздушной линии электропередачи (линии связи, обслуживающей электрическую сеть), могут быть учтены в государственном земельном кадастре в качестве одного объекта недвижимого имущества (единого землепользования) с присвоением одного кадастрового номера.</w:t>
      </w:r>
    </w:p>
    <w:p>
      <w:pPr>
        <w:pStyle w:val="ConsPlusNormal2"/>
        <w:ind w:left="0" w:right="0" w:firstLine="540"/>
        <w:rPr>
          <w:rFonts w:cs="Arial"/>
          <w:sz w:val="24"/>
          <w:szCs w:val="24"/>
        </w:rPr>
      </w:pPr>
      <w:r>
        <w:rPr>
          <w:rFonts w:cs="Arial"/>
          <w:sz w:val="24"/>
          <w:szCs w:val="24"/>
        </w:rPr>
        <w:t>Минимальный размер земельного участка для установки опоры воздушной линии электропередачи напряжением до 10 кВ включительно (опоры линии связи, обслуживающей электрическую сеть) определяется как площадь контура, равного поперечному сечению опоры на уровне поверхности земли.</w:t>
      </w:r>
    </w:p>
    <w:p>
      <w:pPr>
        <w:pStyle w:val="ConsPlusNormal2"/>
        <w:ind w:left="0" w:right="0" w:firstLine="540"/>
        <w:rPr>
          <w:rFonts w:cs="Arial"/>
          <w:sz w:val="24"/>
          <w:szCs w:val="24"/>
        </w:rPr>
      </w:pPr>
      <w:r>
        <w:rPr>
          <w:rFonts w:cs="Arial"/>
          <w:sz w:val="24"/>
          <w:szCs w:val="24"/>
        </w:rPr>
        <w:t>Минимальный размер земельного участка для установки опоры воздушной линии электропередачи напряжением свыше 10 кВ определяется как:</w:t>
      </w:r>
    </w:p>
    <w:p>
      <w:pPr>
        <w:pStyle w:val="ConsPlusNormal2"/>
        <w:ind w:left="0" w:right="0" w:firstLine="540"/>
        <w:rPr>
          <w:rFonts w:cs="Arial"/>
          <w:sz w:val="24"/>
          <w:szCs w:val="24"/>
        </w:rPr>
      </w:pPr>
      <w:r>
        <w:rPr>
          <w:rFonts w:cs="Arial"/>
          <w:sz w:val="24"/>
          <w:szCs w:val="24"/>
        </w:rPr>
        <w:t>площадь контура, отстоящего на 1 метр от контура проекции опоры на поверхность земли (для опор на оттяжках - включая оттяжки), - для земельных участков, граничащих с земельными участками всех категорий земель, кроме предназначенных для установки опор с ригелями глубиной заложения не более 0,8 метра земельных участков, граничащих с земельными участками сельскохозяйственного назначения;</w:t>
      </w:r>
    </w:p>
    <w:p>
      <w:pPr>
        <w:pStyle w:val="ConsPlusNormal2"/>
        <w:ind w:left="0" w:right="0" w:firstLine="540"/>
        <w:rPr>
          <w:rFonts w:cs="Arial"/>
          <w:sz w:val="24"/>
          <w:szCs w:val="24"/>
        </w:rPr>
      </w:pPr>
      <w:r>
        <w:rPr>
          <w:rFonts w:cs="Arial"/>
          <w:sz w:val="24"/>
          <w:szCs w:val="24"/>
        </w:rPr>
        <w:t>площадь контура, отстоящего на 1,5 метра от контура проекции опоры на поверхность земли (для опор на оттяжках - включая оттяжки), - для предназначенных для установки опор с ригелями глубиной заложения не более 0,8 метра земельных участков, граничащих с земельными участками сельскохозяйственного назначения.</w:t>
      </w:r>
    </w:p>
    <w:p>
      <w:pPr>
        <w:pStyle w:val="ConsPlusNormal2"/>
        <w:ind w:left="0" w:right="0" w:firstLine="540"/>
        <w:rPr>
          <w:rFonts w:cs="Arial"/>
          <w:sz w:val="24"/>
          <w:szCs w:val="24"/>
        </w:rPr>
      </w:pPr>
      <w:r>
        <w:rPr>
          <w:rFonts w:cs="Arial"/>
          <w:sz w:val="24"/>
          <w:szCs w:val="24"/>
        </w:rPr>
        <w:t>Минимальные размеры обособленных земельных участков для установки опоры воздушной линии электропередачи напряжением 330 кВт и выше, в конструкции которой используются закрепленные в земле стойки (оттяжки), допускается определять как площади контуров, отстоящих на 1 метр от внешних контуров каждой стойки (оттяжки) на уровне поверхности земли - для земельных участков, граничащих с земельными участками всех категорий земель (кроме земель сельскохозяйственного назначения), и на 1,5 метра - для земельных участков, граничащих с земельными участками сельскохозяйственного назначения.</w:t>
      </w:r>
    </w:p>
    <w:p>
      <w:pPr>
        <w:pStyle w:val="ConsPlusNormal2"/>
        <w:ind w:left="0" w:right="0" w:firstLine="540"/>
        <w:rPr>
          <w:rFonts w:cs="Arial"/>
          <w:sz w:val="24"/>
          <w:szCs w:val="24"/>
        </w:rPr>
      </w:pPr>
      <w:r>
        <w:rPr>
          <w:rFonts w:cs="Arial"/>
          <w:sz w:val="24"/>
          <w:szCs w:val="24"/>
        </w:rPr>
        <w:t>Конкретные размеры земельных участков для установки опор воздушных линий электропередачи (опор линий связи, обслуживающих электрические сети) определяются исходя из необходимости закрепления опор в земле, размеров и типов опор, несущей способности грунтов и необходимости инженерного обустройства площадки опоры с целью обеспечения ее устойчивости и безопасной эксплуатации.</w:t>
      </w:r>
    </w:p>
    <w:p>
      <w:pPr>
        <w:pStyle w:val="ConsPlusNormal2"/>
        <w:ind w:left="0" w:right="0" w:firstLine="540"/>
        <w:rPr>
          <w:rFonts w:cs="Arial"/>
          <w:sz w:val="24"/>
          <w:szCs w:val="24"/>
        </w:rPr>
      </w:pPr>
      <w:r>
        <w:rPr>
          <w:rFonts w:cs="Arial"/>
          <w:sz w:val="24"/>
          <w:szCs w:val="24"/>
        </w:rPr>
        <w:t>Земельные участки (части земельных участков), используемые хозяйствующими субъектами в период строительства, реконструкции, технического перевооружения и ремонта воздушных линий электропередачи, представляют собой полосу земли по всей длине воздушной линии электропередачи, ширина которой превышает расстояние между осями крайних фаз на 2 метра с каждой стороны.</w:t>
      </w:r>
    </w:p>
    <w:p>
      <w:pPr>
        <w:pStyle w:val="ConsPlusNormal2"/>
        <w:ind w:left="0" w:right="0" w:firstLine="540"/>
        <w:rPr>
          <w:rFonts w:cs="Arial"/>
          <w:sz w:val="24"/>
          <w:szCs w:val="24"/>
        </w:rPr>
      </w:pPr>
      <w:r>
        <w:rPr>
          <w:rFonts w:cs="Arial"/>
          <w:sz w:val="24"/>
          <w:szCs w:val="24"/>
        </w:rPr>
        <w:t>Земельные участки (части земельных участков), используемые хозяйствующими субъектами при производстве указанных работ в отношении воздушных линий электропередачи напряжением 500, 750 и 1150 кВ с горизонтальным расположением фаз, представляют собой отдельные полосы земли шириной 5 метров для каждой фазы.</w:t>
      </w:r>
    </w:p>
    <w:p>
      <w:pPr>
        <w:pStyle w:val="ConsPlusNormal2"/>
        <w:tabs>
          <w:tab w:val="left" w:pos="851" w:leader="none"/>
        </w:tabs>
        <w:suppressAutoHyphens w:val="false"/>
        <w:rPr/>
      </w:pPr>
      <w:r>
        <w:rPr>
          <w:rFonts w:cs="Arial"/>
          <w:sz w:val="24"/>
          <w:szCs w:val="24"/>
        </w:rPr>
        <w:t xml:space="preserve">5.5.5.11.В соответствии с Земельным </w:t>
      </w:r>
      <w:hyperlink r:id="rId40">
        <w:r>
          <w:rPr>
            <w:rStyle w:val="Style9"/>
            <w:rFonts w:cs="Arial"/>
            <w:color w:val="00000A"/>
            <w:sz w:val="24"/>
            <w:szCs w:val="24"/>
          </w:rPr>
          <w:t>кодексом</w:t>
        </w:r>
      </w:hyperlink>
      <w:r>
        <w:rPr>
          <w:rFonts w:cs="Arial"/>
          <w:sz w:val="24"/>
          <w:szCs w:val="24"/>
        </w:rPr>
        <w:t xml:space="preserve"> Российской Федерации для обеспечения безопасного и безаварийного функционирования, безопасной эксплуатации объектов электросетевого хозяйства и иных определенных законодательством Российской Федерации об электроэнергетике объектов электроэнергетики устанавливаются охранные зоны с особыми условиями использования земельных участков независимо от категории земель, в состав которых входят эти земельные участки.</w:t>
      </w:r>
    </w:p>
    <w:p>
      <w:pPr>
        <w:pStyle w:val="ConsPlusNormal2"/>
        <w:ind w:left="0" w:right="0" w:firstLine="540"/>
        <w:rPr>
          <w:rFonts w:cs="Arial"/>
          <w:sz w:val="24"/>
          <w:szCs w:val="24"/>
        </w:rPr>
      </w:pPr>
      <w:r>
        <w:rPr>
          <w:rFonts w:cs="Arial"/>
          <w:sz w:val="24"/>
          <w:szCs w:val="24"/>
        </w:rPr>
        <w:t>Над подземными кабельными линиями в соответствии с действующими правилами охраны электрических сетей должны устанавливаться охранные зоны в размере площадки над кабелями:</w:t>
      </w:r>
    </w:p>
    <w:p>
      <w:pPr>
        <w:pStyle w:val="ConsPlusNormal2"/>
        <w:ind w:left="0" w:right="0" w:firstLine="540"/>
        <w:rPr>
          <w:rFonts w:cs="Arial"/>
          <w:sz w:val="24"/>
          <w:szCs w:val="24"/>
        </w:rPr>
      </w:pPr>
      <w:r>
        <w:rPr>
          <w:rFonts w:cs="Arial"/>
          <w:sz w:val="24"/>
          <w:szCs w:val="24"/>
        </w:rPr>
        <w:t>- для кабельных линий выше 1 кВ - по 1 м с каждой стороны от крайних кабелей;</w:t>
      </w:r>
    </w:p>
    <w:p>
      <w:pPr>
        <w:pStyle w:val="ConsPlusNormal2"/>
        <w:ind w:left="0" w:right="0" w:firstLine="540"/>
        <w:rPr>
          <w:rFonts w:cs="Arial"/>
          <w:sz w:val="24"/>
          <w:szCs w:val="24"/>
        </w:rPr>
      </w:pPr>
      <w:r>
        <w:rPr>
          <w:rFonts w:cs="Arial"/>
          <w:sz w:val="24"/>
          <w:szCs w:val="24"/>
        </w:rPr>
        <w:t>- для кабельных линий до 1 кВ - по 1 м с каждой стороны от крайних кабелей, а при прохождении кабельных линий под тротуарами - на 0,6 м в сторону зданий, сооружений и на 1 м в сторону проезжей части улицы.</w:t>
      </w:r>
    </w:p>
    <w:p>
      <w:pPr>
        <w:pStyle w:val="ConsPlusNormal2"/>
        <w:tabs>
          <w:tab w:val="left" w:pos="851" w:leader="none"/>
        </w:tabs>
        <w:suppressAutoHyphens w:val="false"/>
        <w:rPr>
          <w:rFonts w:cs="Arial"/>
          <w:sz w:val="24"/>
          <w:szCs w:val="24"/>
        </w:rPr>
      </w:pPr>
      <w:r>
        <w:rPr>
          <w:rFonts w:cs="Arial"/>
          <w:sz w:val="24"/>
          <w:szCs w:val="24"/>
        </w:rPr>
        <w:t>5.5.5.12.Охранные зоны кабельных линий используются с соблюдением требований правил охраны электрических сетей.</w:t>
      </w:r>
    </w:p>
    <w:p>
      <w:pPr>
        <w:pStyle w:val="ConsPlusNormal2"/>
        <w:ind w:left="0" w:right="0" w:firstLine="540"/>
        <w:rPr>
          <w:rFonts w:cs="Arial"/>
          <w:sz w:val="24"/>
          <w:szCs w:val="24"/>
        </w:rPr>
      </w:pPr>
      <w:r>
        <w:rPr>
          <w:rFonts w:cs="Arial"/>
          <w:sz w:val="24"/>
          <w:szCs w:val="24"/>
        </w:rPr>
        <w:t>Охранные зоны кабельных линий, проложенных в земле в незастроенной местности, должны быть обозначены информационными знаками. Информационные знаки следует устанавливать не реже чем через 500 м, а также в местах изменения направления кабельных линий.</w:t>
      </w:r>
    </w:p>
    <w:p>
      <w:pPr>
        <w:pStyle w:val="ConsPlusNormal2"/>
        <w:tabs>
          <w:tab w:val="left" w:pos="851" w:leader="none"/>
        </w:tabs>
        <w:suppressAutoHyphens w:val="false"/>
        <w:rPr>
          <w:rFonts w:cs="Arial"/>
          <w:sz w:val="24"/>
          <w:szCs w:val="24"/>
        </w:rPr>
      </w:pPr>
      <w:r>
        <w:rPr>
          <w:rFonts w:cs="Arial"/>
          <w:sz w:val="24"/>
          <w:szCs w:val="24"/>
        </w:rPr>
        <w:t>5.5.5.13.Распределительные и трансформаторные подстанции (РП и ТП) напряжением до 10 кВ следует предусматривать закрытого типа.</w:t>
      </w:r>
    </w:p>
    <w:p>
      <w:pPr>
        <w:pStyle w:val="ConsPlusNormal2"/>
        <w:tabs>
          <w:tab w:val="left" w:pos="851" w:leader="none"/>
        </w:tabs>
        <w:suppressAutoHyphens w:val="false"/>
        <w:rPr>
          <w:rFonts w:cs="Arial"/>
          <w:sz w:val="24"/>
          <w:szCs w:val="24"/>
        </w:rPr>
      </w:pPr>
      <w:r>
        <w:rPr>
          <w:rFonts w:cs="Arial"/>
          <w:sz w:val="24"/>
          <w:szCs w:val="24"/>
        </w:rPr>
        <w:t>5.5.5.14.В спальных корпусах различных учреждений, в школьных и других учебных заведениях и т.п. сооружение встроенных и пристроенных подстанций не допускается.</w:t>
      </w:r>
    </w:p>
    <w:p>
      <w:pPr>
        <w:pStyle w:val="ConsPlusNormal2"/>
        <w:ind w:left="0" w:right="0" w:firstLine="540"/>
        <w:rPr>
          <w:rFonts w:cs="Arial"/>
          <w:sz w:val="24"/>
          <w:szCs w:val="24"/>
        </w:rPr>
      </w:pPr>
      <w:r>
        <w:rPr>
          <w:rFonts w:cs="Arial"/>
          <w:sz w:val="24"/>
          <w:szCs w:val="24"/>
        </w:rPr>
        <w:t>В жилых зданиях в исключительных случаях допускается размещение встроенных и пристроенных подстанций с использованием сухих трансформаторов по согласованию с органами государственного надзора, при этом в полном объеме должны быть выполнены требования по ограничению уровня шума, вибрации и электромагнитного излучения в соответствии с действующими нормами.</w:t>
      </w:r>
    </w:p>
    <w:p>
      <w:pPr>
        <w:pStyle w:val="ConsPlusNormal2"/>
        <w:ind w:left="0" w:right="0" w:firstLine="540"/>
        <w:rPr>
          <w:rFonts w:cs="Arial"/>
          <w:sz w:val="24"/>
          <w:szCs w:val="24"/>
        </w:rPr>
      </w:pPr>
      <w:r>
        <w:rPr>
          <w:rFonts w:cs="Arial"/>
          <w:sz w:val="24"/>
          <w:szCs w:val="24"/>
        </w:rPr>
        <w:t>Устройство и размещение встроенных, пристроенных и отдельно стоящих подстанций должно выполняться в соответствии с требованиями глав раздела 4 ПУЭ.</w:t>
      </w:r>
    </w:p>
    <w:p>
      <w:pPr>
        <w:pStyle w:val="ConsPlusNormal2"/>
        <w:tabs>
          <w:tab w:val="left" w:pos="851" w:leader="none"/>
        </w:tabs>
        <w:suppressAutoHyphens w:val="false"/>
        <w:rPr>
          <w:rFonts w:cs="Arial"/>
          <w:sz w:val="24"/>
          <w:szCs w:val="24"/>
        </w:rPr>
      </w:pPr>
      <w:r>
        <w:rPr>
          <w:rFonts w:cs="Arial"/>
          <w:sz w:val="24"/>
          <w:szCs w:val="24"/>
        </w:rPr>
        <w:t>5.5.5.15.На подходах к подстанции и распределительным пунктам следует предусматривать технические полосы для ввода и вывода кабельных и воздушных линий. Размеры земельных участков для пунктов перехода воздушных линий в кабельные следует принимать не более 0,1 га.</w:t>
      </w:r>
    </w:p>
    <w:p>
      <w:pPr>
        <w:pStyle w:val="ConsPlusNormal2"/>
        <w:tabs>
          <w:tab w:val="left" w:pos="851" w:leader="none"/>
        </w:tabs>
        <w:suppressAutoHyphens w:val="false"/>
        <w:rPr>
          <w:rFonts w:cs="Arial"/>
          <w:sz w:val="24"/>
          <w:szCs w:val="24"/>
        </w:rPr>
      </w:pPr>
      <w:r>
        <w:rPr>
          <w:rFonts w:cs="Arial"/>
          <w:sz w:val="24"/>
          <w:szCs w:val="24"/>
        </w:rPr>
        <w:t>5.5.5.16.Размеры земельных участков, отводимых для закрытых понизительных подстанций, включая распределительные и комплектные устройства напряжением 110 - 220 кВ, устанавливаются в соответствии с требованиями СН 465-74.</w:t>
      </w:r>
    </w:p>
    <w:p>
      <w:pPr>
        <w:pStyle w:val="ConsPlusNormal2"/>
        <w:ind w:left="0" w:right="0" w:firstLine="540"/>
        <w:rPr>
          <w:rFonts w:cs="Arial"/>
          <w:sz w:val="24"/>
          <w:szCs w:val="24"/>
        </w:rPr>
      </w:pPr>
      <w:r>
        <w:rPr>
          <w:rFonts w:cs="Arial"/>
          <w:sz w:val="24"/>
          <w:szCs w:val="24"/>
        </w:rPr>
        <w:t>Территория электроподстанции должна быть ограждена внешним забором. Заборы могут не предусматриваться для закрытых подстанций при условии установки отбойных тумб в местах возможного наезда транспорта.</w:t>
      </w:r>
    </w:p>
    <w:p>
      <w:pPr>
        <w:pStyle w:val="ConsPlusNormal2"/>
        <w:tabs>
          <w:tab w:val="left" w:pos="851" w:leader="none"/>
        </w:tabs>
        <w:suppressAutoHyphens w:val="false"/>
        <w:rPr/>
      </w:pPr>
      <w:r>
        <w:rPr>
          <w:rFonts w:cs="Arial"/>
          <w:sz w:val="24"/>
          <w:szCs w:val="24"/>
        </w:rPr>
        <w:t xml:space="preserve">5.5.5.17.Расстояния от электроподстанций и распределительных пунктов до жилых, общественных и производственных зданий и сооружений следует принимать в соответствии со </w:t>
      </w:r>
      <w:hyperlink r:id="rId41">
        <w:r>
          <w:rPr>
            <w:rStyle w:val="Style9"/>
            <w:rFonts w:cs="Arial"/>
            <w:color w:val="00000A"/>
            <w:sz w:val="24"/>
            <w:szCs w:val="24"/>
          </w:rPr>
          <w:t>СНиП II-89-80*</w:t>
        </w:r>
      </w:hyperlink>
      <w:r>
        <w:rPr>
          <w:rFonts w:cs="Arial"/>
          <w:sz w:val="24"/>
          <w:szCs w:val="24"/>
        </w:rPr>
        <w:t xml:space="preserve"> и СП 42.13330.2011 на основании результатов акустического расчета.</w:t>
      </w:r>
    </w:p>
    <w:p>
      <w:pPr>
        <w:pStyle w:val="ConsPlusNormal2"/>
        <w:suppressAutoHyphens w:val="false"/>
        <w:rPr>
          <w:rFonts w:eastAsia="Times New Roman" w:cs="Arial"/>
          <w:sz w:val="24"/>
          <w:szCs w:val="24"/>
        </w:rPr>
      </w:pPr>
      <w:r>
        <w:rPr>
          <w:rFonts w:eastAsia="Times New Roman" w:cs="Arial"/>
          <w:sz w:val="24"/>
          <w:szCs w:val="24"/>
        </w:rPr>
      </w:r>
    </w:p>
    <w:p>
      <w:pPr>
        <w:pStyle w:val="ConsPlusNormal2"/>
        <w:rPr/>
      </w:pPr>
      <w:r>
        <w:rPr>
          <w:rFonts w:cs="Arial"/>
          <w:sz w:val="24"/>
          <w:szCs w:val="24"/>
        </w:rPr>
        <w:t xml:space="preserve">          </w:t>
      </w:r>
      <w:r>
        <w:rPr>
          <w:rFonts w:cs="Arial"/>
          <w:sz w:val="24"/>
          <w:szCs w:val="24"/>
        </w:rPr>
        <w:t>5.5.6.Объекты связи</w:t>
      </w:r>
    </w:p>
    <w:p>
      <w:pPr>
        <w:pStyle w:val="ConsPlusNormal2"/>
        <w:tabs>
          <w:tab w:val="left" w:pos="851" w:leader="none"/>
        </w:tabs>
        <w:suppressAutoHyphens w:val="false"/>
        <w:rPr/>
      </w:pPr>
      <w:r>
        <w:rPr>
          <w:rFonts w:cs="Arial"/>
          <w:sz w:val="24"/>
          <w:szCs w:val="24"/>
        </w:rPr>
        <w:t xml:space="preserve">          </w:t>
      </w:r>
      <w:r>
        <w:rPr>
          <w:rFonts w:cs="Arial"/>
          <w:sz w:val="24"/>
          <w:szCs w:val="24"/>
        </w:rPr>
        <w:t xml:space="preserve">5.5.6.1.Размещение предприятий, зданий и сооружений связи, радиовещания и телевидения, пожарной и охранной сигнализации, диспетчеризации систем инженерного оборудования следует осуществлять в соответствии с требованиями </w:t>
      </w:r>
      <w:hyperlink r:id="rId42">
        <w:r>
          <w:rPr>
            <w:rStyle w:val="Style9"/>
            <w:rFonts w:cs="Arial"/>
            <w:sz w:val="24"/>
            <w:szCs w:val="24"/>
          </w:rPr>
          <w:t>СН 461-74</w:t>
        </w:r>
      </w:hyperlink>
      <w:r>
        <w:rPr>
          <w:rFonts w:cs="Arial"/>
          <w:sz w:val="24"/>
          <w:szCs w:val="24"/>
        </w:rPr>
        <w:t xml:space="preserve">, </w:t>
      </w:r>
      <w:hyperlink r:id="rId43">
        <w:r>
          <w:rPr>
            <w:rStyle w:val="Style9"/>
            <w:rFonts w:cs="Arial"/>
            <w:sz w:val="24"/>
            <w:szCs w:val="24"/>
          </w:rPr>
          <w:t>ВСН 60-89</w:t>
        </w:r>
      </w:hyperlink>
      <w:r>
        <w:rPr>
          <w:rFonts w:cs="Arial"/>
          <w:sz w:val="24"/>
          <w:szCs w:val="24"/>
        </w:rPr>
        <w:t xml:space="preserve"> и настоящих Нормативов.</w:t>
      </w:r>
    </w:p>
    <w:p>
      <w:pPr>
        <w:pStyle w:val="ConsPlusNormal2"/>
        <w:ind w:left="0" w:right="0" w:firstLine="540"/>
        <w:rPr>
          <w:rFonts w:cs="Arial"/>
          <w:sz w:val="24"/>
          <w:szCs w:val="24"/>
        </w:rPr>
      </w:pPr>
      <w:r>
        <w:rPr>
          <w:rFonts w:cs="Arial"/>
          <w:sz w:val="24"/>
          <w:szCs w:val="24"/>
        </w:rPr>
        <w:t>При проектировании устройств связи, сигнализации, диспетчеризации инженерного оборудования следует предусматривать возможность управления системой оповещения населения по сигналам гражданской обороны и по сигналам чрезвычайных ситуаций.</w:t>
      </w:r>
    </w:p>
    <w:p>
      <w:pPr>
        <w:pStyle w:val="ConsPlusNormal2"/>
        <w:tabs>
          <w:tab w:val="left" w:pos="851" w:leader="none"/>
        </w:tabs>
        <w:suppressAutoHyphens w:val="false"/>
        <w:rPr>
          <w:rFonts w:cs="Arial"/>
          <w:sz w:val="24"/>
          <w:szCs w:val="24"/>
        </w:rPr>
      </w:pPr>
      <w:r>
        <w:rPr>
          <w:rFonts w:cs="Arial"/>
          <w:sz w:val="24"/>
          <w:szCs w:val="24"/>
        </w:rPr>
        <w:t>5.5.6.2.Проектирование линейно-кабельных сооружений должно осуществляться с учетом перспективного развития первичных сетей связи.</w:t>
      </w:r>
    </w:p>
    <w:p>
      <w:pPr>
        <w:pStyle w:val="ConsPlusNormal2"/>
        <w:ind w:left="0" w:right="0" w:firstLine="540"/>
        <w:rPr/>
      </w:pPr>
      <w:r>
        <w:rPr>
          <w:rFonts w:cs="Arial"/>
          <w:sz w:val="24"/>
          <w:szCs w:val="24"/>
        </w:rPr>
        <w:t xml:space="preserve">Размещение трасс (площадок) для линий связи (кабельных, воздушных и других) следует осуществлять в соответствии с Земельным </w:t>
      </w:r>
      <w:hyperlink r:id="rId44">
        <w:r>
          <w:rPr>
            <w:rStyle w:val="Style9"/>
            <w:rFonts w:cs="Arial"/>
            <w:sz w:val="24"/>
            <w:szCs w:val="24"/>
          </w:rPr>
          <w:t>кодексом</w:t>
        </w:r>
      </w:hyperlink>
      <w:r>
        <w:rPr>
          <w:rFonts w:cs="Arial"/>
          <w:sz w:val="24"/>
          <w:szCs w:val="24"/>
        </w:rPr>
        <w:t xml:space="preserve"> Российской Федерации на землях промышленности, энергетики, транспорта, связи, радиовещания, телевидения, информатики, землях для обеспечения космической деятельности, землях обороны, безопасности и землях иного специального назначения:</w:t>
      </w:r>
    </w:p>
    <w:p>
      <w:pPr>
        <w:pStyle w:val="ConsPlusNormal2"/>
        <w:ind w:left="0" w:right="0" w:firstLine="540"/>
        <w:rPr>
          <w:rFonts w:cs="Arial"/>
          <w:sz w:val="24"/>
          <w:szCs w:val="24"/>
        </w:rPr>
      </w:pPr>
      <w:r>
        <w:rPr>
          <w:rFonts w:cs="Arial"/>
          <w:sz w:val="24"/>
          <w:szCs w:val="24"/>
        </w:rPr>
        <w:t>- вне населенных пунктов - главным образом вдоль дорог, существующих трасс и границ полей севооборотов;</w:t>
      </w:r>
    </w:p>
    <w:p>
      <w:pPr>
        <w:pStyle w:val="ConsPlusNormal2"/>
        <w:ind w:left="0" w:right="0" w:firstLine="540"/>
        <w:rPr>
          <w:rFonts w:cs="Arial"/>
          <w:sz w:val="24"/>
          <w:szCs w:val="24"/>
        </w:rPr>
      </w:pPr>
      <w:r>
        <w:rPr>
          <w:rFonts w:cs="Arial"/>
          <w:sz w:val="24"/>
          <w:szCs w:val="24"/>
        </w:rPr>
        <w:t>- в сельских населенных пунктах - преимущественно на пешеходной части улиц (под тротуарами) и в полосе между красной линией и линией застройки.</w:t>
      </w:r>
    </w:p>
    <w:p>
      <w:pPr>
        <w:pStyle w:val="ConsPlusNormal2"/>
        <w:tabs>
          <w:tab w:val="left" w:pos="851" w:leader="none"/>
        </w:tabs>
        <w:suppressAutoHyphens w:val="false"/>
        <w:rPr>
          <w:rFonts w:cs="Arial"/>
          <w:sz w:val="24"/>
          <w:szCs w:val="24"/>
        </w:rPr>
      </w:pPr>
      <w:r>
        <w:rPr>
          <w:rFonts w:cs="Arial"/>
          <w:sz w:val="24"/>
          <w:szCs w:val="24"/>
        </w:rPr>
        <w:t>5.5.6.3.Кабельные линии связи размещаются вдоль автомобильных дорог при выполнении следующих требований:</w:t>
      </w:r>
    </w:p>
    <w:p>
      <w:pPr>
        <w:pStyle w:val="ConsPlusNormal2"/>
        <w:ind w:left="0" w:right="0" w:firstLine="540"/>
        <w:rPr>
          <w:rFonts w:cs="Arial"/>
          <w:sz w:val="24"/>
          <w:szCs w:val="24"/>
        </w:rPr>
      </w:pPr>
      <w:r>
        <w:rPr>
          <w:rFonts w:cs="Arial"/>
          <w:sz w:val="24"/>
          <w:szCs w:val="24"/>
        </w:rPr>
        <w:t>- в придорожных полосах существующих автомобильных дорог, вблизи их границ полос отвода и с учетом того, чтобы вновь строящиеся линии связи не препятствовали реконструкции автомобильных дорог;</w:t>
      </w:r>
    </w:p>
    <w:p>
      <w:pPr>
        <w:pStyle w:val="ConsPlusNormal2"/>
        <w:ind w:left="0" w:right="0" w:firstLine="540"/>
        <w:rPr>
          <w:rFonts w:cs="Arial"/>
          <w:sz w:val="24"/>
          <w:szCs w:val="24"/>
        </w:rPr>
      </w:pPr>
      <w:r>
        <w:rPr>
          <w:rFonts w:cs="Arial"/>
          <w:sz w:val="24"/>
          <w:szCs w:val="24"/>
        </w:rPr>
        <w:t>- на землях, наименее пригодных для сельского хозяйства, - по показателям загрязнения выбросами автомобильного транспорта;</w:t>
      </w:r>
    </w:p>
    <w:p>
      <w:pPr>
        <w:pStyle w:val="ConsPlusNormal2"/>
        <w:ind w:left="0" w:right="0" w:firstLine="540"/>
        <w:rPr>
          <w:rFonts w:cs="Arial"/>
          <w:sz w:val="24"/>
          <w:szCs w:val="24"/>
        </w:rPr>
      </w:pPr>
      <w:r>
        <w:rPr>
          <w:rFonts w:cs="Arial"/>
          <w:sz w:val="24"/>
          <w:szCs w:val="24"/>
        </w:rPr>
        <w:t>- соблюдение допустимых расстояний приближения полосы земель связи к границе полосы отвода автомобильных дорог.</w:t>
      </w:r>
    </w:p>
    <w:p>
      <w:pPr>
        <w:pStyle w:val="ConsPlusNormal2"/>
        <w:ind w:left="0" w:right="0" w:firstLine="540"/>
        <w:rPr>
          <w:rFonts w:cs="Arial"/>
          <w:sz w:val="24"/>
          <w:szCs w:val="24"/>
        </w:rPr>
      </w:pPr>
      <w:r>
        <w:rPr>
          <w:rFonts w:cs="Arial"/>
          <w:sz w:val="24"/>
          <w:szCs w:val="24"/>
        </w:rPr>
        <w:t>В отдельных случаях на небольших участках допускается отклонение трассы кабельной линии связи от автомобильной дороги в целях ее выпрямления для сокращения длины трассы.</w:t>
      </w:r>
    </w:p>
    <w:p>
      <w:pPr>
        <w:pStyle w:val="ConsPlusNormal2"/>
        <w:ind w:left="0" w:right="0" w:firstLine="540"/>
        <w:rPr>
          <w:rFonts w:cs="Arial"/>
          <w:sz w:val="24"/>
          <w:szCs w:val="24"/>
        </w:rPr>
      </w:pPr>
      <w:r>
        <w:rPr>
          <w:rFonts w:cs="Arial"/>
          <w:sz w:val="24"/>
          <w:szCs w:val="24"/>
        </w:rPr>
        <w:t>Отклонение трасс кабельных линий от автомобильных дорог допускается также при вынужденных обходах зон возможных затоплений, обвалов.</w:t>
      </w:r>
    </w:p>
    <w:p>
      <w:pPr>
        <w:pStyle w:val="ConsPlusNormal2"/>
        <w:tabs>
          <w:tab w:val="left" w:pos="851" w:leader="none"/>
        </w:tabs>
        <w:suppressAutoHyphens w:val="false"/>
        <w:rPr>
          <w:rFonts w:cs="Arial"/>
          <w:sz w:val="24"/>
          <w:szCs w:val="24"/>
        </w:rPr>
      </w:pPr>
      <w:r>
        <w:rPr>
          <w:rFonts w:cs="Arial"/>
          <w:sz w:val="24"/>
          <w:szCs w:val="24"/>
        </w:rPr>
        <w:t>5.5.6.4.Трассу кабельной линии вне населенных пунктов следует выбирать в зависимости от конкретных условий на всех земельных участках, в том числе в полосах отвода автомобильных и железных дорог, охранных и запретных зонах, а также на автодорожных мостах, в коллекторах и тоннелях автомобильных дорог.</w:t>
      </w:r>
    </w:p>
    <w:p>
      <w:pPr>
        <w:pStyle w:val="ConsPlusNormal2"/>
        <w:tabs>
          <w:tab w:val="left" w:pos="851" w:leader="none"/>
        </w:tabs>
        <w:suppressAutoHyphens w:val="false"/>
        <w:rPr>
          <w:rFonts w:cs="Arial"/>
          <w:sz w:val="24"/>
          <w:szCs w:val="24"/>
        </w:rPr>
      </w:pPr>
      <w:r>
        <w:rPr>
          <w:rFonts w:cs="Arial"/>
          <w:sz w:val="24"/>
          <w:szCs w:val="24"/>
        </w:rPr>
        <w:t>5.5.6.5.Трассы кабельных линий связи вне населенных пунктов при отсутствии автомобильных дорог могут размещаться вдоль продуктопроводов.</w:t>
      </w:r>
    </w:p>
    <w:p>
      <w:pPr>
        <w:pStyle w:val="ConsPlusNormal2"/>
        <w:tabs>
          <w:tab w:val="left" w:pos="851" w:leader="none"/>
        </w:tabs>
        <w:suppressAutoHyphens w:val="false"/>
        <w:rPr>
          <w:rFonts w:cs="Arial"/>
          <w:sz w:val="24"/>
          <w:szCs w:val="24"/>
        </w:rPr>
      </w:pPr>
      <w:r>
        <w:rPr>
          <w:rFonts w:cs="Arial"/>
          <w:sz w:val="24"/>
          <w:szCs w:val="24"/>
        </w:rPr>
        <w:t>5.5.6.6.При отсутствии дорог трассы кабельных линий связи следует по возможности размещать на землях несельскохозяйственного назначения или непригодных для сельского хозяйства либо сельскохозяйственных угодьях худшего качества по кадастровой оценке.</w:t>
      </w:r>
    </w:p>
    <w:p>
      <w:pPr>
        <w:pStyle w:val="ConsPlusNormal2"/>
        <w:tabs>
          <w:tab w:val="left" w:pos="851" w:leader="none"/>
        </w:tabs>
        <w:suppressAutoHyphens w:val="false"/>
        <w:rPr>
          <w:rFonts w:cs="Arial"/>
          <w:sz w:val="24"/>
          <w:szCs w:val="24"/>
        </w:rPr>
      </w:pPr>
      <w:r>
        <w:rPr>
          <w:rFonts w:cs="Arial"/>
          <w:sz w:val="24"/>
          <w:szCs w:val="24"/>
        </w:rPr>
        <w:t>5.5.6.7.Необслуживаемые усилительные и регенерационные пункты следует располагать вдоль трассы кабельной линии, по возможности - в непосредственной близости от оси прокладки кабеля в не затапливаемых паводковыми водами местах. При невозможности выполнения этих требований проектом должны быть предусмотрены нормальные условия их эксплуатации (устройство подходов и другие).</w:t>
      </w:r>
    </w:p>
    <w:p>
      <w:pPr>
        <w:pStyle w:val="ConsPlusNormal2"/>
        <w:tabs>
          <w:tab w:val="left" w:pos="851" w:leader="none"/>
        </w:tabs>
        <w:suppressAutoHyphens w:val="false"/>
        <w:rPr/>
      </w:pPr>
      <w:r>
        <w:rPr>
          <w:rFonts w:cs="Arial"/>
          <w:sz w:val="24"/>
          <w:szCs w:val="24"/>
        </w:rPr>
        <w:t xml:space="preserve">           </w:t>
      </w:r>
      <w:r>
        <w:rPr>
          <w:rFonts w:cs="Arial"/>
          <w:sz w:val="24"/>
          <w:szCs w:val="24"/>
        </w:rPr>
        <w:t>5.5.6.8.Смотровые устройства (колодцы) кабельной канализации должны устанавливаться:</w:t>
      </w:r>
    </w:p>
    <w:p>
      <w:pPr>
        <w:pStyle w:val="ConsPlusNormal2"/>
        <w:ind w:left="0" w:right="0" w:firstLine="540"/>
        <w:rPr>
          <w:rFonts w:cs="Arial"/>
          <w:sz w:val="24"/>
          <w:szCs w:val="24"/>
        </w:rPr>
      </w:pPr>
      <w:r>
        <w:rPr>
          <w:rFonts w:cs="Arial"/>
          <w:sz w:val="24"/>
          <w:szCs w:val="24"/>
        </w:rPr>
        <w:t>- проходные - на прямолинейных участках трасс, в местах поворота трассы не более чем на 15 градусов, а также при изменении глубины заложения трубопровода;</w:t>
      </w:r>
    </w:p>
    <w:p>
      <w:pPr>
        <w:pStyle w:val="ConsPlusNormal2"/>
        <w:ind w:left="0" w:right="0" w:firstLine="540"/>
        <w:rPr>
          <w:rFonts w:cs="Arial"/>
          <w:sz w:val="24"/>
          <w:szCs w:val="24"/>
        </w:rPr>
      </w:pPr>
      <w:r>
        <w:rPr>
          <w:rFonts w:cs="Arial"/>
          <w:sz w:val="24"/>
          <w:szCs w:val="24"/>
        </w:rPr>
        <w:t>- угловые - в местах поворота трассы более чем на 15 градусов;</w:t>
      </w:r>
    </w:p>
    <w:p>
      <w:pPr>
        <w:pStyle w:val="ConsPlusNormal2"/>
        <w:ind w:left="0" w:right="0" w:firstLine="540"/>
        <w:rPr>
          <w:rFonts w:cs="Arial"/>
          <w:sz w:val="24"/>
          <w:szCs w:val="24"/>
        </w:rPr>
      </w:pPr>
      <w:r>
        <w:rPr>
          <w:rFonts w:cs="Arial"/>
          <w:sz w:val="24"/>
          <w:szCs w:val="24"/>
        </w:rPr>
        <w:t>- разветвительные - в местах разветвления трассы на два (три) направления;</w:t>
      </w:r>
    </w:p>
    <w:p>
      <w:pPr>
        <w:pStyle w:val="ConsPlusNormal2"/>
        <w:ind w:left="0" w:right="0" w:firstLine="540"/>
        <w:rPr>
          <w:rFonts w:cs="Arial"/>
          <w:sz w:val="24"/>
          <w:szCs w:val="24"/>
        </w:rPr>
      </w:pPr>
      <w:r>
        <w:rPr>
          <w:rFonts w:cs="Arial"/>
          <w:sz w:val="24"/>
          <w:szCs w:val="24"/>
        </w:rPr>
        <w:t>- станционные - в местах ввода кабелей в здания телефонных станций.</w:t>
      </w:r>
    </w:p>
    <w:p>
      <w:pPr>
        <w:pStyle w:val="ConsPlusNormal2"/>
        <w:ind w:left="0" w:right="0" w:firstLine="540"/>
        <w:rPr>
          <w:rFonts w:cs="Arial"/>
          <w:sz w:val="24"/>
          <w:szCs w:val="24"/>
        </w:rPr>
      </w:pPr>
      <w:r>
        <w:rPr>
          <w:rFonts w:cs="Arial"/>
          <w:sz w:val="24"/>
          <w:szCs w:val="24"/>
        </w:rPr>
        <w:t>Расстояния между колодцами кабельной канализации не должны превышать 150 м, а при прокладке кабелей с количеством пар 1400 и выше - 120 м.</w:t>
      </w:r>
    </w:p>
    <w:p>
      <w:pPr>
        <w:pStyle w:val="ConsPlusNormal2"/>
        <w:tabs>
          <w:tab w:val="left" w:pos="851" w:leader="none"/>
        </w:tabs>
        <w:suppressAutoHyphens w:val="false"/>
        <w:rPr>
          <w:rFonts w:cs="Arial"/>
          <w:sz w:val="24"/>
          <w:szCs w:val="24"/>
        </w:rPr>
      </w:pPr>
      <w:r>
        <w:rPr>
          <w:rFonts w:cs="Arial"/>
          <w:sz w:val="24"/>
          <w:szCs w:val="24"/>
        </w:rPr>
        <w:t>5.5.6.9.Подвеску кабелей связи на опорах воздушных линий допускается предусматривать на распределительных участках абонентских городских телефонных сетей при телефонизации районов индивидуальной застройки, на абонентских и межстанционных линиях сельских телефонных сетей, а также на внутризоновых сетях (в районах, где подземная прокладка кабелей затруднена, на переходе кабельных линий через глубокие овраги, реки и другие препятствия).</w:t>
      </w:r>
    </w:p>
    <w:p>
      <w:pPr>
        <w:pStyle w:val="ConsPlusNormal2"/>
        <w:ind w:left="0" w:right="0" w:firstLine="540"/>
        <w:rPr>
          <w:rFonts w:cs="Arial"/>
          <w:sz w:val="24"/>
          <w:szCs w:val="24"/>
        </w:rPr>
      </w:pPr>
      <w:r>
        <w:rPr>
          <w:rFonts w:cs="Arial"/>
          <w:sz w:val="24"/>
          <w:szCs w:val="24"/>
        </w:rPr>
        <w:t>Подвеску кабелей сельских телефонных сетей следует предусматривать на опорах существующих воздушных линий связи. Проектирование новых опор для этих целей допускается при соответствующем обосновании.</w:t>
      </w:r>
    </w:p>
    <w:p>
      <w:pPr>
        <w:pStyle w:val="ConsPlusNormal2"/>
        <w:ind w:left="0" w:right="0" w:firstLine="540"/>
        <w:rPr>
          <w:rFonts w:cs="Arial"/>
          <w:sz w:val="24"/>
          <w:szCs w:val="24"/>
        </w:rPr>
      </w:pPr>
      <w:r>
        <w:rPr>
          <w:rFonts w:cs="Arial"/>
          <w:sz w:val="24"/>
          <w:szCs w:val="24"/>
        </w:rPr>
        <w:t>На территории населенных пунктов могут быть использованы стоечные опоры, устанавливаемые на крышах зданий.</w:t>
      </w:r>
    </w:p>
    <w:p>
      <w:pPr>
        <w:pStyle w:val="ConsPlusNormal2"/>
        <w:tabs>
          <w:tab w:val="left" w:pos="851" w:leader="none"/>
        </w:tabs>
        <w:suppressAutoHyphens w:val="false"/>
        <w:rPr>
          <w:rFonts w:cs="Arial"/>
          <w:sz w:val="24"/>
          <w:szCs w:val="24"/>
        </w:rPr>
      </w:pPr>
      <w:r>
        <w:rPr>
          <w:rFonts w:cs="Arial"/>
          <w:sz w:val="24"/>
          <w:szCs w:val="24"/>
        </w:rPr>
        <w:t>5.5.6.10.Размещение воздушных линий связи в пределах придорожных полос возможно при соблюдении требований:</w:t>
      </w:r>
    </w:p>
    <w:p>
      <w:pPr>
        <w:pStyle w:val="ConsPlusNormal2"/>
        <w:ind w:left="0" w:right="0" w:firstLine="540"/>
        <w:rPr>
          <w:rFonts w:cs="Arial"/>
          <w:sz w:val="24"/>
          <w:szCs w:val="24"/>
        </w:rPr>
      </w:pPr>
      <w:r>
        <w:rPr>
          <w:rFonts w:cs="Arial"/>
          <w:sz w:val="24"/>
          <w:szCs w:val="24"/>
        </w:rPr>
        <w:t>- для участков федеральных автомобильных дорог, построенных в обход населенных пунктов, расстояние от границы полосы отвода федеральной автомобильной дороги до основания опор воздушных линий связи должно составлять не менее 50 м;</w:t>
      </w:r>
    </w:p>
    <w:p>
      <w:pPr>
        <w:pStyle w:val="ConsPlusNormal2"/>
        <w:ind w:left="0" w:right="0" w:firstLine="540"/>
        <w:rPr>
          <w:rFonts w:cs="Arial"/>
          <w:sz w:val="24"/>
          <w:szCs w:val="24"/>
        </w:rPr>
      </w:pPr>
      <w:r>
        <w:rPr>
          <w:rFonts w:cs="Arial"/>
          <w:sz w:val="24"/>
          <w:szCs w:val="24"/>
        </w:rPr>
        <w:t>- для автомобильных дорог I - IV категорий, а также в границах населенных пунктов до границ застройки расстояние от границы полосы отвода федеральной автомобильной дороги до основания опор воздушных линий связи должно</w:t>
      </w:r>
    </w:p>
    <w:p>
      <w:pPr>
        <w:pStyle w:val="ConsPlusNormal2"/>
        <w:ind w:left="0" w:right="0" w:firstLine="540"/>
        <w:rPr>
          <w:rFonts w:cs="Arial"/>
          <w:sz w:val="24"/>
          <w:szCs w:val="24"/>
        </w:rPr>
      </w:pPr>
      <w:r>
        <w:rPr>
          <w:rFonts w:cs="Arial"/>
          <w:sz w:val="24"/>
          <w:szCs w:val="24"/>
        </w:rPr>
        <w:t>составлять не менее 25 м.</w:t>
      </w:r>
    </w:p>
    <w:p>
      <w:pPr>
        <w:pStyle w:val="ConsPlusNormal2"/>
        <w:ind w:left="0" w:right="0" w:firstLine="540"/>
        <w:rPr>
          <w:rFonts w:cs="Arial"/>
          <w:sz w:val="24"/>
          <w:szCs w:val="24"/>
        </w:rPr>
      </w:pPr>
      <w:r>
        <w:rPr>
          <w:rFonts w:cs="Arial"/>
          <w:sz w:val="24"/>
          <w:szCs w:val="24"/>
        </w:rPr>
        <w:t>В местах пересечения автомобильных федеральных дорог воздушными линиями связи расстояние от основания каждой из опор линии до бровки земляного полотна автомобильной дороги должно быть не менее высоты опоры плюс 5 м, но во всех случаях - не менее 25 м.</w:t>
      </w:r>
    </w:p>
    <w:p>
      <w:pPr>
        <w:pStyle w:val="ConsPlusNormal2"/>
        <w:tabs>
          <w:tab w:val="left" w:pos="851" w:leader="none"/>
        </w:tabs>
        <w:suppressAutoHyphens w:val="false"/>
        <w:rPr>
          <w:rFonts w:cs="Arial"/>
          <w:sz w:val="24"/>
          <w:szCs w:val="24"/>
        </w:rPr>
      </w:pPr>
      <w:r>
        <w:rPr>
          <w:rFonts w:cs="Arial"/>
          <w:sz w:val="24"/>
          <w:szCs w:val="24"/>
        </w:rPr>
        <w:t>5.5.6.11.Кабельные переходы через водные преграды в зависимости от назначения линий и местных условий могут выполняться:</w:t>
      </w:r>
    </w:p>
    <w:p>
      <w:pPr>
        <w:pStyle w:val="ConsPlusNormal2"/>
        <w:ind w:left="0" w:right="0" w:firstLine="540"/>
        <w:rPr>
          <w:rFonts w:cs="Arial"/>
          <w:sz w:val="24"/>
          <w:szCs w:val="24"/>
        </w:rPr>
      </w:pPr>
      <w:r>
        <w:rPr>
          <w:rFonts w:cs="Arial"/>
          <w:sz w:val="24"/>
          <w:szCs w:val="24"/>
        </w:rPr>
        <w:t>- кабелями, прокладываемыми под водой;</w:t>
      </w:r>
    </w:p>
    <w:p>
      <w:pPr>
        <w:pStyle w:val="ConsPlusNormal2"/>
        <w:ind w:left="0" w:right="0" w:firstLine="540"/>
        <w:rPr>
          <w:rFonts w:cs="Arial"/>
          <w:sz w:val="24"/>
          <w:szCs w:val="24"/>
        </w:rPr>
      </w:pPr>
      <w:r>
        <w:rPr>
          <w:rFonts w:cs="Arial"/>
          <w:sz w:val="24"/>
          <w:szCs w:val="24"/>
        </w:rPr>
        <w:t>- кабелями, прокладываемыми по мостам;</w:t>
      </w:r>
    </w:p>
    <w:p>
      <w:pPr>
        <w:pStyle w:val="ConsPlusNormal2"/>
        <w:ind w:left="0" w:right="0" w:firstLine="540"/>
        <w:rPr>
          <w:rFonts w:cs="Arial"/>
          <w:sz w:val="24"/>
          <w:szCs w:val="24"/>
        </w:rPr>
      </w:pPr>
      <w:r>
        <w:rPr>
          <w:rFonts w:cs="Arial"/>
          <w:sz w:val="24"/>
          <w:szCs w:val="24"/>
        </w:rPr>
        <w:t>- подвесными кабелями на опорах.</w:t>
      </w:r>
    </w:p>
    <w:p>
      <w:pPr>
        <w:pStyle w:val="ConsPlusNormal2"/>
        <w:ind w:left="0" w:right="0" w:firstLine="540"/>
        <w:rPr>
          <w:rFonts w:cs="Arial"/>
          <w:sz w:val="24"/>
          <w:szCs w:val="24"/>
        </w:rPr>
      </w:pPr>
      <w:r>
        <w:rPr>
          <w:rFonts w:cs="Arial"/>
          <w:sz w:val="24"/>
          <w:szCs w:val="24"/>
        </w:rPr>
        <w:t>Кабельные переходы через водные преграды размещаются в соответствии с требованиями к проектированию линейно-кабельных сооружений.</w:t>
      </w:r>
    </w:p>
    <w:p>
      <w:pPr>
        <w:pStyle w:val="ConsPlusNormal2"/>
        <w:tabs>
          <w:tab w:val="left" w:pos="851" w:leader="none"/>
        </w:tabs>
        <w:suppressAutoHyphens w:val="false"/>
        <w:rPr/>
      </w:pPr>
      <w:r>
        <w:rPr>
          <w:rFonts w:cs="Arial"/>
          <w:sz w:val="24"/>
          <w:szCs w:val="24"/>
        </w:rPr>
        <w:t xml:space="preserve">5.5.6.12.Минимальные расстояния от кабелей связи, проводного вещания или трубопровода кабельной канализации до других подземных и наземных сооружений устанавливаются в соответствии с требованиями </w:t>
      </w:r>
      <w:r>
        <w:fldChar w:fldCharType="begin"/>
      </w:r>
      <w:r>
        <w:instrText> HYPERLINK "file:///D:/! Вадим/! www.sharanga.nnov.ru/Sel'skie poseleniya/Kushnur/2017/Re//C:/Users/Специалист/Desktop/Мои документы/декабрь 2017/MNGP2.docx" \l "P1624"</w:instrText>
      </w:r>
      <w:r>
        <w:fldChar w:fldCharType="separate"/>
      </w:r>
      <w:r>
        <w:rPr>
          <w:rStyle w:val="Style9"/>
          <w:rFonts w:cs="Arial"/>
          <w:color w:val="00000A"/>
          <w:sz w:val="24"/>
          <w:szCs w:val="24"/>
        </w:rPr>
        <w:t>подраздела 5.5.7</w:t>
      </w:r>
      <w:r>
        <w:fldChar w:fldCharType="end"/>
      </w:r>
      <w:r>
        <w:rPr>
          <w:rFonts w:cs="Arial"/>
          <w:sz w:val="24"/>
          <w:szCs w:val="24"/>
        </w:rPr>
        <w:t xml:space="preserve"> "Размещение инженерных сетей" настоящего раздела.</w:t>
      </w:r>
    </w:p>
    <w:p>
      <w:pPr>
        <w:pStyle w:val="ConsPlusNormal2"/>
        <w:tabs>
          <w:tab w:val="left" w:pos="851" w:leader="none"/>
        </w:tabs>
        <w:suppressAutoHyphens w:val="false"/>
        <w:rPr>
          <w:rFonts w:cs="Arial"/>
          <w:sz w:val="24"/>
          <w:szCs w:val="24"/>
        </w:rPr>
      </w:pPr>
      <w:r>
        <w:rPr>
          <w:rFonts w:cs="Arial"/>
          <w:sz w:val="24"/>
          <w:szCs w:val="24"/>
        </w:rPr>
        <w:t>5.5.6.13.При размещении передающих радиотехнических объектов должны соблюдаться требования санитарных правил и норм, в том числе устанавливается охранная зона:</w:t>
      </w:r>
    </w:p>
    <w:p>
      <w:pPr>
        <w:pStyle w:val="ConsPlusNormal2"/>
        <w:ind w:left="0" w:right="0" w:firstLine="540"/>
        <w:rPr>
          <w:rFonts w:cs="Arial"/>
          <w:sz w:val="24"/>
          <w:szCs w:val="24"/>
        </w:rPr>
      </w:pPr>
      <w:r>
        <w:rPr>
          <w:rFonts w:cs="Arial"/>
          <w:sz w:val="24"/>
          <w:szCs w:val="24"/>
        </w:rPr>
        <w:t>- при эффективной излучаемой мощности от 100 Вт до 1000 Вт включительно должна быть обеспечена невозможность доступа людей в зону установки антенны на расстояние не менее 10 м от любой ее точки. При установке на здании антенна должна быть смонтирована на высоте не менее 1,5 м над крышей при обеспечении расстояния от любой ее точки до соседних строений не менее 10 м для любого типа антенны и любого направления излучения;</w:t>
      </w:r>
    </w:p>
    <w:p>
      <w:pPr>
        <w:pStyle w:val="ConsPlusNormal2"/>
        <w:ind w:left="0" w:right="0" w:firstLine="540"/>
        <w:rPr>
          <w:rFonts w:cs="Arial"/>
          <w:sz w:val="24"/>
          <w:szCs w:val="24"/>
        </w:rPr>
      </w:pPr>
      <w:r>
        <w:rPr>
          <w:rFonts w:cs="Arial"/>
          <w:sz w:val="24"/>
          <w:szCs w:val="24"/>
        </w:rPr>
        <w:t>- при эффективной излучаемой мощности от 1000 до 5000 Вт должны быть обеспечены невозможность доступа людей и отсутствие строений на расстоянии не менее 25 м от любой точки антенны независимо от ее типа и направления излучения. При установке на крыше здания антенна должна монтироваться на высоте не менее 5 м над крышей.</w:t>
      </w:r>
    </w:p>
    <w:p>
      <w:pPr>
        <w:pStyle w:val="ConsPlusNormal2"/>
        <w:ind w:left="0" w:right="0" w:firstLine="540"/>
        <w:rPr>
          <w:rFonts w:cs="Arial"/>
          <w:sz w:val="24"/>
          <w:szCs w:val="24"/>
        </w:rPr>
      </w:pPr>
      <w:r>
        <w:rPr>
          <w:rFonts w:cs="Arial"/>
          <w:sz w:val="24"/>
          <w:szCs w:val="24"/>
        </w:rPr>
        <w:t>Рекомендуется размещение антенн на отдельно стоящих опорах и мачтах.</w:t>
      </w:r>
    </w:p>
    <w:p>
      <w:pPr>
        <w:pStyle w:val="ConsPlusNormal2"/>
        <w:tabs>
          <w:tab w:val="left" w:pos="851" w:leader="none"/>
        </w:tabs>
        <w:suppressAutoHyphens w:val="false"/>
        <w:rPr/>
      </w:pPr>
      <w:r>
        <w:rPr>
          <w:rFonts w:cs="Arial"/>
          <w:sz w:val="24"/>
          <w:szCs w:val="24"/>
        </w:rPr>
        <w:t xml:space="preserve">5.5.6.14.Уровни электромагнитных излучений не должны превышать предельно допустимые уровни (ПДУ) согласно </w:t>
      </w:r>
      <w:hyperlink r:id="rId45">
        <w:r>
          <w:rPr>
            <w:rStyle w:val="Style9"/>
            <w:rFonts w:cs="Arial"/>
            <w:color w:val="00000A"/>
            <w:sz w:val="24"/>
            <w:szCs w:val="24"/>
          </w:rPr>
          <w:t>приложению 1</w:t>
        </w:r>
      </w:hyperlink>
      <w:r>
        <w:rPr>
          <w:rFonts w:cs="Arial"/>
          <w:sz w:val="24"/>
          <w:szCs w:val="24"/>
        </w:rPr>
        <w:t xml:space="preserve"> к СанПиН 2.1.8/2.2.4.1383-03.</w:t>
      </w:r>
    </w:p>
    <w:p>
      <w:pPr>
        <w:pStyle w:val="ConsPlusNormal2"/>
        <w:ind w:left="0" w:right="0" w:firstLine="540"/>
        <w:rPr>
          <w:rFonts w:cs="Arial"/>
          <w:sz w:val="24"/>
          <w:szCs w:val="24"/>
        </w:rPr>
      </w:pPr>
      <w:r>
        <w:rPr>
          <w:rFonts w:cs="Arial"/>
          <w:sz w:val="24"/>
          <w:szCs w:val="24"/>
        </w:rPr>
        <w:t>В целях защиты населения от воздействия электромагнитных полей, создаваемых передающими радиотехническими объектами, устанавливаются санитарно-защитные зоны и зоны ограничения с учетом перспективного развития передающих радиотехнических объектов и населенного пункта.</w:t>
      </w:r>
    </w:p>
    <w:p>
      <w:pPr>
        <w:pStyle w:val="ConsPlusNormal2"/>
        <w:ind w:left="0" w:right="0" w:firstLine="540"/>
        <w:rPr>
          <w:rFonts w:cs="Arial"/>
          <w:sz w:val="24"/>
          <w:szCs w:val="24"/>
        </w:rPr>
      </w:pPr>
      <w:r>
        <w:rPr>
          <w:rFonts w:cs="Arial"/>
          <w:sz w:val="24"/>
          <w:szCs w:val="24"/>
        </w:rPr>
        <w:t>Границы санитарно-защитных зон определяются на высоте 2 м от поверхности земли по ПДУ.</w:t>
      </w:r>
    </w:p>
    <w:p>
      <w:pPr>
        <w:pStyle w:val="ConsPlusNormal2"/>
        <w:ind w:left="0" w:right="0" w:firstLine="540"/>
        <w:rPr>
          <w:rFonts w:cs="Arial"/>
          <w:sz w:val="24"/>
          <w:szCs w:val="24"/>
        </w:rPr>
      </w:pPr>
      <w:r>
        <w:rPr>
          <w:rFonts w:cs="Arial"/>
          <w:sz w:val="24"/>
          <w:szCs w:val="24"/>
        </w:rPr>
        <w:t>Зона ограничения представляет собой территорию, на внешних границах которой на высоте от поверхности земли более 2 м уровни электромагнитных полей превышают ПДУ. Внешняя граница зоны ограничения определяется по максимальной высоте зданий перспективной застройки, на высоте верхнего этажа которых уровень электромагнитного поля не превышает ПДУ.</w:t>
      </w:r>
    </w:p>
    <w:p>
      <w:pPr>
        <w:pStyle w:val="ConsPlusNormal2"/>
        <w:rPr>
          <w:rFonts w:cs="Arial"/>
          <w:sz w:val="24"/>
          <w:szCs w:val="24"/>
        </w:rPr>
      </w:pPr>
      <w:r>
        <w:rPr>
          <w:rFonts w:cs="Arial"/>
          <w:sz w:val="24"/>
          <w:szCs w:val="24"/>
        </w:rPr>
      </w:r>
    </w:p>
    <w:p>
      <w:pPr>
        <w:pStyle w:val="ConsPlusNormal2"/>
        <w:rPr/>
      </w:pPr>
      <w:r>
        <w:rPr>
          <w:rFonts w:cs="Arial"/>
          <w:sz w:val="24"/>
          <w:szCs w:val="24"/>
        </w:rPr>
        <w:t xml:space="preserve">          </w:t>
      </w:r>
      <w:r>
        <w:rPr>
          <w:rFonts w:cs="Arial"/>
          <w:sz w:val="24"/>
          <w:szCs w:val="24"/>
        </w:rPr>
        <w:t>5.5.7.Размещение инженерных сетей</w:t>
      </w:r>
    </w:p>
    <w:p>
      <w:pPr>
        <w:pStyle w:val="ConsPlusNormal2"/>
        <w:tabs>
          <w:tab w:val="left" w:pos="851" w:leader="none"/>
        </w:tabs>
        <w:suppressAutoHyphens w:val="false"/>
        <w:rPr>
          <w:rFonts w:cs="Arial"/>
          <w:sz w:val="24"/>
          <w:szCs w:val="24"/>
        </w:rPr>
      </w:pPr>
      <w:r>
        <w:rPr>
          <w:rFonts w:cs="Arial"/>
          <w:sz w:val="24"/>
          <w:szCs w:val="24"/>
        </w:rPr>
        <w:t>5.5.7.1.Инженерные сети должны размещаться вдоль улиц, дорог и проездов и только вне пределов проезжей части в полосе озеленения.</w:t>
      </w:r>
    </w:p>
    <w:p>
      <w:pPr>
        <w:pStyle w:val="ConsPlusNormal2"/>
        <w:ind w:left="0" w:right="0" w:firstLine="540"/>
        <w:rPr>
          <w:rFonts w:cs="Arial"/>
          <w:sz w:val="24"/>
          <w:szCs w:val="24"/>
        </w:rPr>
      </w:pPr>
      <w:r>
        <w:rPr>
          <w:rFonts w:cs="Arial"/>
          <w:sz w:val="24"/>
          <w:szCs w:val="24"/>
        </w:rPr>
        <w:t>На полосе между красной линией и линией застройки следует размещать газовые низкого давления и кабельные сети (силовые, связи, сигнализации и диспетчеризации).</w:t>
      </w:r>
    </w:p>
    <w:p>
      <w:pPr>
        <w:pStyle w:val="ConsPlusNormal2"/>
        <w:ind w:left="0" w:right="0" w:firstLine="540"/>
        <w:rPr>
          <w:rFonts w:cs="Arial"/>
          <w:sz w:val="24"/>
          <w:szCs w:val="24"/>
        </w:rPr>
      </w:pPr>
      <w:r>
        <w:rPr>
          <w:rFonts w:cs="Arial"/>
          <w:sz w:val="24"/>
          <w:szCs w:val="24"/>
        </w:rPr>
        <w:t>На территории населенных пунктов не допускается:</w:t>
      </w:r>
    </w:p>
    <w:p>
      <w:pPr>
        <w:pStyle w:val="ConsPlusNormal2"/>
        <w:ind w:left="0" w:right="0" w:firstLine="540"/>
        <w:rPr>
          <w:rFonts w:cs="Arial"/>
          <w:sz w:val="24"/>
          <w:szCs w:val="24"/>
        </w:rPr>
      </w:pPr>
      <w:r>
        <w:rPr>
          <w:rFonts w:cs="Arial"/>
          <w:sz w:val="24"/>
          <w:szCs w:val="24"/>
        </w:rPr>
        <w:t>надземная и наземная прокладка канализационных сетей;</w:t>
      </w:r>
    </w:p>
    <w:p>
      <w:pPr>
        <w:pStyle w:val="ConsPlusNormal2"/>
        <w:ind w:left="0" w:right="0" w:firstLine="540"/>
        <w:rPr>
          <w:rFonts w:cs="Arial"/>
          <w:sz w:val="24"/>
          <w:szCs w:val="24"/>
        </w:rPr>
      </w:pPr>
      <w:r>
        <w:rPr>
          <w:rFonts w:cs="Arial"/>
          <w:sz w:val="24"/>
          <w:szCs w:val="24"/>
        </w:rPr>
        <w:t>прокладка трубопроводов с легковоспламеняющимися и горючими жидкостями, а также со сжиженными газами для снабжения промышленных предприятий и складов;</w:t>
      </w:r>
    </w:p>
    <w:p>
      <w:pPr>
        <w:pStyle w:val="ConsPlusNormal2"/>
        <w:ind w:left="0" w:right="0" w:firstLine="540"/>
        <w:rPr>
          <w:rFonts w:cs="Arial"/>
          <w:sz w:val="24"/>
          <w:szCs w:val="24"/>
        </w:rPr>
      </w:pPr>
      <w:r>
        <w:rPr>
          <w:rFonts w:cs="Arial"/>
          <w:sz w:val="24"/>
          <w:szCs w:val="24"/>
        </w:rPr>
        <w:t>прокладка магистральных трубопроводов.</w:t>
      </w:r>
    </w:p>
    <w:p>
      <w:pPr>
        <w:pStyle w:val="ConsPlusNormal2"/>
        <w:tabs>
          <w:tab w:val="left" w:pos="851" w:leader="none"/>
        </w:tabs>
        <w:suppressAutoHyphens w:val="false"/>
        <w:rPr>
          <w:rFonts w:cs="Arial"/>
          <w:sz w:val="24"/>
          <w:szCs w:val="24"/>
        </w:rPr>
      </w:pPr>
      <w:r>
        <w:rPr>
          <w:rFonts w:cs="Arial"/>
          <w:sz w:val="24"/>
          <w:szCs w:val="24"/>
        </w:rPr>
        <w:t>5.5.7.2.Сети водопровода следует размещать по обеим сторонам улицы при ширине:</w:t>
      </w:r>
    </w:p>
    <w:p>
      <w:pPr>
        <w:pStyle w:val="ConsPlusNormal2"/>
        <w:ind w:left="0" w:right="0" w:firstLine="540"/>
        <w:rPr>
          <w:rFonts w:cs="Arial"/>
          <w:sz w:val="24"/>
          <w:szCs w:val="24"/>
        </w:rPr>
      </w:pPr>
      <w:r>
        <w:rPr>
          <w:rFonts w:cs="Arial"/>
          <w:sz w:val="24"/>
          <w:szCs w:val="24"/>
        </w:rPr>
        <w:t>- проезжей части более 22 м;</w:t>
      </w:r>
    </w:p>
    <w:p>
      <w:pPr>
        <w:pStyle w:val="ConsPlusNormal2"/>
        <w:ind w:left="0" w:right="0" w:firstLine="540"/>
        <w:rPr>
          <w:rFonts w:cs="Arial"/>
          <w:sz w:val="24"/>
          <w:szCs w:val="24"/>
        </w:rPr>
      </w:pPr>
      <w:r>
        <w:rPr>
          <w:rFonts w:cs="Arial"/>
          <w:sz w:val="24"/>
          <w:szCs w:val="24"/>
        </w:rPr>
        <w:t>- улиц в пределах красных линий 60 м и более.</w:t>
      </w:r>
    </w:p>
    <w:p>
      <w:pPr>
        <w:pStyle w:val="ConsPlusNormal2"/>
        <w:tabs>
          <w:tab w:val="left" w:pos="851" w:leader="none"/>
        </w:tabs>
        <w:suppressAutoHyphens w:val="false"/>
        <w:rPr>
          <w:rFonts w:cs="Arial"/>
          <w:sz w:val="24"/>
          <w:szCs w:val="24"/>
        </w:rPr>
      </w:pPr>
      <w:r>
        <w:rPr>
          <w:rFonts w:cs="Arial"/>
          <w:sz w:val="24"/>
          <w:szCs w:val="24"/>
        </w:rPr>
        <w:t>5.5.7.3.При реконструкции проезжих частей улиц и дорог с устройством дорожных капитальных покрытий, под которыми расположены подземные инженерные сети, следует предусматривать вынос этих сетей на разделительные полосы и под тротуары. При соответствующем обосновании допускается под проезжими частями улиц сохранение существующих сетей, а также прокладка в каналах и тоннелях новых сетей.</w:t>
      </w:r>
    </w:p>
    <w:p>
      <w:pPr>
        <w:pStyle w:val="ConsPlusNormal2"/>
        <w:ind w:left="0" w:right="0" w:firstLine="540"/>
        <w:rPr>
          <w:rFonts w:cs="Arial"/>
          <w:sz w:val="24"/>
          <w:szCs w:val="24"/>
        </w:rPr>
      </w:pPr>
      <w:r>
        <w:rPr>
          <w:rFonts w:cs="Arial"/>
          <w:sz w:val="24"/>
          <w:szCs w:val="24"/>
        </w:rPr>
        <w:t>На существующих улицах, не имеющих разделительных полос, допускается размещение новых инженерных сетей под проезжей частью при условии размещения их в тоннелях или каналах. При технической необходимости под проезжими частями улиц допускается прокладка газопровода.</w:t>
      </w:r>
    </w:p>
    <w:p>
      <w:pPr>
        <w:pStyle w:val="ConsPlusNormal2"/>
        <w:tabs>
          <w:tab w:val="left" w:pos="851" w:leader="none"/>
        </w:tabs>
        <w:suppressAutoHyphens w:val="false"/>
        <w:rPr>
          <w:rFonts w:cs="Arial"/>
          <w:sz w:val="24"/>
          <w:szCs w:val="24"/>
        </w:rPr>
      </w:pPr>
      <w:r>
        <w:rPr>
          <w:rFonts w:cs="Arial"/>
          <w:sz w:val="24"/>
          <w:szCs w:val="24"/>
        </w:rPr>
        <w:t>5.5.7.4.Пересечение инженерными сетями рек, автомобильных дорог, а также зданий и сооружений следует предусматривать под прямым углом. Допускается при обосновании пересечение под меньшим углом, но не менее 45 градусов.</w:t>
      </w:r>
    </w:p>
    <w:p>
      <w:pPr>
        <w:pStyle w:val="ConsPlusNormal2"/>
        <w:ind w:left="0" w:right="0" w:firstLine="540"/>
        <w:rPr>
          <w:rFonts w:cs="Arial"/>
          <w:sz w:val="24"/>
          <w:szCs w:val="24"/>
        </w:rPr>
      </w:pPr>
      <w:r>
        <w:rPr>
          <w:rFonts w:cs="Arial"/>
          <w:sz w:val="24"/>
          <w:szCs w:val="24"/>
        </w:rPr>
        <w:t>Выбор места пересечения инженерными сетями рек, автомобильных дорог, а также сооружений на них должен осуществляться в соответствии с требованиями действующих нормативных документов по согласованию с органами государственного надзора.</w:t>
      </w:r>
    </w:p>
    <w:p>
      <w:pPr>
        <w:pStyle w:val="ConsPlusNormal2"/>
        <w:tabs>
          <w:tab w:val="left" w:pos="851" w:leader="none"/>
        </w:tabs>
        <w:suppressAutoHyphens w:val="false"/>
        <w:ind w:left="567" w:right="0" w:hanging="0"/>
        <w:rPr>
          <w:rFonts w:cs="Arial"/>
          <w:sz w:val="24"/>
          <w:szCs w:val="24"/>
        </w:rPr>
      </w:pPr>
      <w:r>
        <w:rPr>
          <w:rFonts w:cs="Arial"/>
          <w:sz w:val="24"/>
          <w:szCs w:val="24"/>
        </w:rPr>
        <w:t>5.5.7.5.По пешеходным и автомобильным мостам прокладка газопроводов:</w:t>
      </w:r>
    </w:p>
    <w:p>
      <w:pPr>
        <w:pStyle w:val="ConsPlusNormal2"/>
        <w:ind w:left="0" w:right="0" w:firstLine="540"/>
        <w:rPr>
          <w:rFonts w:cs="Arial"/>
          <w:sz w:val="24"/>
          <w:szCs w:val="24"/>
        </w:rPr>
      </w:pPr>
      <w:r>
        <w:rPr>
          <w:rFonts w:cs="Arial"/>
          <w:sz w:val="24"/>
          <w:szCs w:val="24"/>
        </w:rPr>
        <w:t>- допускается давлением до 0,6 МПа из бесшовных или электросварных труб, прошедших стопроцентный контроль заводских сварных соединений физическими методами, если мост построен из негорючих материалов;</w:t>
      </w:r>
    </w:p>
    <w:p>
      <w:pPr>
        <w:pStyle w:val="ConsPlusNormal2"/>
        <w:ind w:left="0" w:right="0" w:firstLine="540"/>
        <w:rPr>
          <w:rFonts w:cs="Arial"/>
          <w:sz w:val="24"/>
          <w:szCs w:val="24"/>
        </w:rPr>
      </w:pPr>
      <w:r>
        <w:rPr>
          <w:rFonts w:cs="Arial"/>
          <w:sz w:val="24"/>
          <w:szCs w:val="24"/>
        </w:rPr>
        <w:t>- не допускается, если мост построен из горючих материалов.</w:t>
      </w:r>
    </w:p>
    <w:p>
      <w:pPr>
        <w:pStyle w:val="ConsPlusNormal2"/>
        <w:tabs>
          <w:tab w:val="left" w:pos="851" w:leader="none"/>
        </w:tabs>
        <w:suppressAutoHyphens w:val="false"/>
        <w:rPr>
          <w:rFonts w:cs="Arial"/>
          <w:sz w:val="24"/>
          <w:szCs w:val="24"/>
        </w:rPr>
      </w:pPr>
      <w:r>
        <w:rPr>
          <w:rFonts w:cs="Arial"/>
          <w:sz w:val="24"/>
          <w:szCs w:val="24"/>
        </w:rPr>
        <w:t>5.5.7.6.Высоту от уровня земли до низа труб или поверхности изоляции труб, прокладываемых на высоких опорах, следует принимать:</w:t>
      </w:r>
    </w:p>
    <w:p>
      <w:pPr>
        <w:pStyle w:val="ConsPlusNormal2"/>
        <w:ind w:left="0" w:right="0" w:firstLine="540"/>
        <w:rPr>
          <w:rFonts w:cs="Arial"/>
          <w:sz w:val="24"/>
          <w:szCs w:val="24"/>
        </w:rPr>
      </w:pPr>
      <w:r>
        <w:rPr>
          <w:rFonts w:cs="Arial"/>
          <w:sz w:val="24"/>
          <w:szCs w:val="24"/>
        </w:rPr>
        <w:t>- в непроезжей части территории, в местах прохода людей - 2,2 м;</w:t>
      </w:r>
    </w:p>
    <w:p>
      <w:pPr>
        <w:pStyle w:val="ConsPlusNormal2"/>
        <w:ind w:left="0" w:right="0" w:firstLine="540"/>
        <w:rPr>
          <w:rFonts w:cs="Arial"/>
          <w:sz w:val="24"/>
          <w:szCs w:val="24"/>
        </w:rPr>
      </w:pPr>
      <w:r>
        <w:rPr>
          <w:rFonts w:cs="Arial"/>
          <w:sz w:val="24"/>
          <w:szCs w:val="24"/>
        </w:rPr>
        <w:t>- в местах пересечения с автодорогами (от верха покрытия проезжей части) - 5 м.</w:t>
      </w:r>
    </w:p>
    <w:p>
      <w:pPr>
        <w:pStyle w:val="ConsPlusNormal2"/>
        <w:tabs>
          <w:tab w:val="left" w:pos="851" w:leader="none"/>
        </w:tabs>
        <w:suppressAutoHyphens w:val="false"/>
        <w:rPr/>
      </w:pPr>
      <w:r>
        <w:rPr>
          <w:rFonts w:cs="Arial"/>
          <w:sz w:val="24"/>
          <w:szCs w:val="24"/>
        </w:rPr>
        <w:t xml:space="preserve">5.5.7.7.Расстояния по горизонтали (в свету) от ближайших подземных инженерных сетей до зданий и сооружений следует принимать согласно </w:t>
      </w:r>
      <w:r>
        <w:fldChar w:fldCharType="begin"/>
      </w:r>
      <w:r>
        <w:instrText> HYPERLINK "file:///D:/! Вадим/! www.sharanga.nnov.ru/Sel'skie poseleniya/Kushnur/2017/Re//C:/Users/Специалист/Desktop/Мои документы/декабрь 2017/MNGP2.docx" \l "P1240"</w:instrText>
      </w:r>
      <w:r>
        <w:fldChar w:fldCharType="separate"/>
      </w:r>
      <w:r>
        <w:rPr>
          <w:rStyle w:val="Style9"/>
          <w:rFonts w:cs="Arial"/>
          <w:color w:val="00000A"/>
          <w:sz w:val="24"/>
          <w:szCs w:val="24"/>
        </w:rPr>
        <w:t>таблице 11</w:t>
      </w:r>
      <w:r>
        <w:fldChar w:fldCharType="end"/>
      </w:r>
      <w:r>
        <w:rPr>
          <w:rFonts w:cs="Arial"/>
          <w:sz w:val="24"/>
          <w:szCs w:val="24"/>
        </w:rPr>
        <w:t>.</w:t>
      </w:r>
    </w:p>
    <w:p>
      <w:pPr>
        <w:pStyle w:val="ConsPlusNormal2"/>
        <w:ind w:left="0" w:right="0" w:firstLine="540"/>
        <w:rPr/>
      </w:pPr>
      <w:r>
        <w:rPr>
          <w:rFonts w:cs="Arial"/>
          <w:sz w:val="24"/>
          <w:szCs w:val="24"/>
        </w:rPr>
        <w:t xml:space="preserve">Расстояния по горизонтали (в свету) между соседними инженерными подземными сетями при их параллельном размещении следует принимать согласно </w:t>
      </w:r>
      <w:r>
        <w:fldChar w:fldCharType="begin"/>
      </w:r>
      <w:r>
        <w:instrText> HYPERLINK "file:///D:/! Вадим/! www.sharanga.nnov.ru/Sel'skie poseleniya/Kushnur/2017/Re//C:/Users/Специалист/Desktop/Мои документы/декабрь 2017/MNGP2.docx" \l "Р12222"</w:instrText>
      </w:r>
      <w:r>
        <w:fldChar w:fldCharType="separate"/>
      </w:r>
      <w:r>
        <w:rPr>
          <w:rStyle w:val="Style9"/>
          <w:rFonts w:cs="Arial"/>
          <w:color w:val="00000A"/>
          <w:sz w:val="24"/>
          <w:szCs w:val="24"/>
        </w:rPr>
        <w:t>таблице 12</w:t>
      </w:r>
      <w:r>
        <w:fldChar w:fldCharType="end"/>
      </w:r>
      <w:r>
        <w:rPr>
          <w:rFonts w:cs="Arial"/>
          <w:sz w:val="24"/>
          <w:szCs w:val="24"/>
        </w:rPr>
        <w:t>, а на вводах инженерных сетей в зданиях сельских населенных пунктов - не менее 0,5 м.</w:t>
      </w:r>
    </w:p>
    <w:p>
      <w:pPr>
        <w:pStyle w:val="ConsPlusNormal2"/>
        <w:ind w:left="0" w:right="0" w:firstLine="540"/>
        <w:rPr/>
      </w:pPr>
      <w:r>
        <w:rPr>
          <w:rFonts w:cs="Arial"/>
          <w:sz w:val="24"/>
          <w:szCs w:val="24"/>
        </w:rPr>
        <w:t xml:space="preserve">При разнице в глубине заложения смежных трубопроводов свыше 0,4 м расстояния, указанные в </w:t>
      </w:r>
      <w:r>
        <w:fldChar w:fldCharType="begin"/>
      </w:r>
      <w:r>
        <w:instrText> HYPERLINK "file:///D:/! Вадим/! www.sharanga.nnov.ru/Sel'skie poseleniya/Kushnur/2017/Re//C:/Users/Специалист/Desktop/Мои документы/декабрь 2017/MNGP2.docx" \l "Р12222"</w:instrText>
      </w:r>
      <w:r>
        <w:fldChar w:fldCharType="separate"/>
      </w:r>
      <w:r>
        <w:rPr>
          <w:rStyle w:val="Style9"/>
          <w:rFonts w:cs="Arial"/>
          <w:color w:val="00000A"/>
          <w:sz w:val="24"/>
          <w:szCs w:val="24"/>
        </w:rPr>
        <w:t>таблице 12</w:t>
      </w:r>
      <w:r>
        <w:fldChar w:fldCharType="end"/>
      </w:r>
      <w:r>
        <w:rPr>
          <w:rFonts w:cs="Arial"/>
          <w:sz w:val="24"/>
          <w:szCs w:val="24"/>
        </w:rPr>
        <w:t>, следует увеличивать с учетом крутизны откосов траншей, но не менее глубины траншеи до подошвы насыпи и бровки выемки.</w:t>
      </w:r>
    </w:p>
    <w:p>
      <w:pPr>
        <w:pStyle w:val="ConsPlusNormal2"/>
        <w:ind w:left="0" w:right="0" w:firstLine="540"/>
        <w:rPr/>
      </w:pPr>
      <w:r>
        <w:rPr>
          <w:rFonts w:cs="Arial"/>
          <w:sz w:val="24"/>
          <w:szCs w:val="24"/>
        </w:rPr>
        <w:t xml:space="preserve">Указанные в </w:t>
      </w:r>
      <w:r>
        <w:fldChar w:fldCharType="begin"/>
      </w:r>
      <w:r>
        <w:instrText> HYPERLINK "file:///D:/! Вадим/! www.sharanga.nnov.ru/Sel'skie poseleniya/Kushnur/2017/Re//C:/Users/Специалист/Desktop/Мои документы/декабрь 2017/MNGP2.docx" \l "P1240"</w:instrText>
      </w:r>
      <w:r>
        <w:fldChar w:fldCharType="separate"/>
      </w:r>
      <w:r>
        <w:rPr>
          <w:rStyle w:val="Style9"/>
          <w:rFonts w:cs="Arial"/>
          <w:color w:val="00000A"/>
          <w:sz w:val="24"/>
          <w:szCs w:val="24"/>
        </w:rPr>
        <w:t>таблицах 11</w:t>
      </w:r>
      <w:r>
        <w:fldChar w:fldCharType="end"/>
      </w:r>
      <w:r>
        <w:rPr>
          <w:rFonts w:cs="Arial"/>
          <w:sz w:val="24"/>
          <w:szCs w:val="24"/>
        </w:rPr>
        <w:t xml:space="preserve"> и </w:t>
      </w:r>
      <w:r>
        <w:fldChar w:fldCharType="begin"/>
      </w:r>
      <w:r>
        <w:instrText> HYPERLINK "file:///D:/! Вадим/! www.sharanga.nnov.ru/Sel'skie poseleniya/Kushnur/2017/Re//C:/Users/Специалист/Desktop/Мои документы/декабрь 2017/MNGP2.docx" \l "Р12222"</w:instrText>
      </w:r>
      <w:r>
        <w:fldChar w:fldCharType="separate"/>
      </w:r>
      <w:r>
        <w:rPr>
          <w:rStyle w:val="Style9"/>
          <w:rFonts w:cs="Arial"/>
          <w:color w:val="00000A"/>
          <w:sz w:val="24"/>
          <w:szCs w:val="24"/>
        </w:rPr>
        <w:t>12</w:t>
      </w:r>
      <w:r>
        <w:fldChar w:fldCharType="end"/>
      </w:r>
      <w:r>
        <w:rPr>
          <w:rFonts w:cs="Arial"/>
          <w:sz w:val="24"/>
          <w:szCs w:val="24"/>
        </w:rPr>
        <w:t xml:space="preserve"> расстояния допускается уменьшать при выполнении соответствующих технических мероприятий, обеспечивающих требования безопасности и надежности.</w:t>
      </w:r>
    </w:p>
    <w:p>
      <w:pPr>
        <w:pStyle w:val="ConsPlusNormal2"/>
        <w:tabs>
          <w:tab w:val="left" w:pos="851" w:leader="none"/>
        </w:tabs>
        <w:suppressAutoHyphens w:val="false"/>
        <w:rPr/>
      </w:pPr>
      <w:r>
        <w:rPr>
          <w:rFonts w:cs="Arial"/>
          <w:sz w:val="24"/>
          <w:szCs w:val="24"/>
        </w:rPr>
        <w:t xml:space="preserve">5.5.7.8.При прокладке подземных газопроводов давлением до 0,6 МПа в стесненных условиях (когда расстояния, регламентированные нормативными документами, выполнить не представляется возможным) на отдельных участках трассы, между зданиями и под арками зданий, а также газопроводов давлением свыше 0,6 МПа при сближении их с отдельно стоящими подсобными строениями (зданиями без постоянного присутствия людей) расстояния, указанные в </w:t>
      </w:r>
      <w:r>
        <w:fldChar w:fldCharType="begin"/>
      </w:r>
      <w:r>
        <w:instrText> HYPERLINK "file:///D:/! Вадим/! www.sharanga.nnov.ru/Sel'skie poseleniya/Kushnur/2017/Re//C:/Users/Специалист/Desktop/Мои документы/декабрь 2017/MNGP2.docx" \l "P1240"</w:instrText>
      </w:r>
      <w:r>
        <w:fldChar w:fldCharType="separate"/>
      </w:r>
      <w:r>
        <w:rPr>
          <w:rStyle w:val="Style9"/>
          <w:rFonts w:cs="Arial"/>
          <w:color w:val="00000A"/>
          <w:sz w:val="24"/>
          <w:szCs w:val="24"/>
        </w:rPr>
        <w:t>таблицах 11</w:t>
      </w:r>
      <w:r>
        <w:fldChar w:fldCharType="end"/>
      </w:r>
      <w:r>
        <w:rPr>
          <w:rFonts w:cs="Arial"/>
          <w:sz w:val="24"/>
          <w:szCs w:val="24"/>
        </w:rPr>
        <w:t xml:space="preserve"> и </w:t>
      </w:r>
      <w:r>
        <w:fldChar w:fldCharType="begin"/>
      </w:r>
      <w:r>
        <w:instrText> HYPERLINK "file:///D:/! Вадим/! www.sharanga.nnov.ru/Sel'skie poseleniya/Kushnur/2017/Re//C:/Users/Специалист/Desktop/Мои документы/декабрь 2017/MNGP2.docx" \l "Р12222"</w:instrText>
      </w:r>
      <w:r>
        <w:fldChar w:fldCharType="separate"/>
      </w:r>
      <w:r>
        <w:rPr>
          <w:rStyle w:val="Style9"/>
          <w:rFonts w:cs="Arial"/>
          <w:color w:val="00000A"/>
          <w:sz w:val="24"/>
          <w:szCs w:val="24"/>
        </w:rPr>
        <w:t>12</w:t>
      </w:r>
      <w:r>
        <w:fldChar w:fldCharType="end"/>
      </w:r>
      <w:r>
        <w:rPr>
          <w:rFonts w:cs="Arial"/>
          <w:sz w:val="24"/>
          <w:szCs w:val="24"/>
        </w:rPr>
        <w:t>, разрешается сокращать до 50 процентов.</w:t>
      </w:r>
    </w:p>
    <w:p>
      <w:pPr>
        <w:pStyle w:val="ConsPlusNormal2"/>
        <w:suppressAutoHyphens w:val="false"/>
        <w:ind w:left="7788" w:right="0" w:hanging="0"/>
        <w:rPr>
          <w:rFonts w:eastAsia="Times New Roman" w:cs="Arial"/>
          <w:sz w:val="24"/>
          <w:szCs w:val="24"/>
        </w:rPr>
      </w:pPr>
      <w:r>
        <w:rPr>
          <w:rFonts w:eastAsia="Times New Roman" w:cs="Arial"/>
          <w:sz w:val="24"/>
          <w:szCs w:val="24"/>
        </w:rPr>
        <w:t>Таблица 11</w:t>
      </w:r>
    </w:p>
    <w:tbl>
      <w:tblPr>
        <w:tblW w:w="10389"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2471"/>
        <w:gridCol w:w="1558"/>
        <w:gridCol w:w="1700"/>
        <w:gridCol w:w="1304"/>
        <w:gridCol w:w="1361"/>
        <w:gridCol w:w="992"/>
        <w:gridCol w:w="1003"/>
      </w:tblGrid>
      <w:tr>
        <w:trPr/>
        <w:tc>
          <w:tcPr>
            <w:tcW w:w="2471"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Инженерные сети</w:t>
            </w:r>
          </w:p>
        </w:tc>
        <w:tc>
          <w:tcPr>
            <w:tcW w:w="7918" w:type="dxa"/>
            <w:gridSpan w:val="6"/>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Расстояние, м, по горизонтали (в свету) от подземных сетей до:</w:t>
            </w:r>
          </w:p>
        </w:tc>
      </w:tr>
      <w:tr>
        <w:trPr/>
        <w:tc>
          <w:tcPr>
            <w:tcW w:w="24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1558"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Фундаментов зданий и сооружений</w:t>
            </w:r>
          </w:p>
        </w:tc>
        <w:tc>
          <w:tcPr>
            <w:tcW w:w="1700"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Фундаментов ограждений предприятий, эстакад, опор контактной сети и связи, железных дорог</w:t>
            </w:r>
          </w:p>
        </w:tc>
        <w:tc>
          <w:tcPr>
            <w:tcW w:w="1304"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Наружной бровки кювета или подошвы насыпи дороги</w:t>
            </w:r>
          </w:p>
        </w:tc>
        <w:tc>
          <w:tcPr>
            <w:tcW w:w="3356"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фундаментов опор воздушных линий электропередачи напряжением</w:t>
            </w:r>
          </w:p>
        </w:tc>
      </w:tr>
      <w:tr>
        <w:trPr/>
        <w:tc>
          <w:tcPr>
            <w:tcW w:w="24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1558"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1700"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1304"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1361"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до 1 кВ наружного освещения</w:t>
            </w:r>
          </w:p>
        </w:tc>
        <w:tc>
          <w:tcPr>
            <w:tcW w:w="992"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свыше 1 до 35 кВ</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свыше 35 до 110 кВ</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3</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7</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8</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9</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10</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Водопровод и напорная канализация</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5</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3</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3</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Самотечная канализация (бытовая и дождевая)</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3</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1,5</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3</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Дренаж</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3</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3</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Сопутствующий дренаж</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0,4</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0,4</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Газопроводы горючих газов давления, МПа</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низкого - до 0,005</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5</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10</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среднего - свыше 0,005 до 0,3</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4</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5</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10</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высокого</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свыше 0,3 до 0,6</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7</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5</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10</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свыше 0,6 до 1,2</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10</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5</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10</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Тепловые сети</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snapToGrid w:val="false"/>
              <w:jc w:val="center"/>
              <w:rPr>
                <w:rFonts w:eastAsia="Times New Roman" w:cs="Arial"/>
                <w:sz w:val="24"/>
                <w:szCs w:val="24"/>
              </w:rPr>
            </w:pPr>
            <w:r>
              <w:rPr>
                <w:rFonts w:eastAsia="Times New Roman" w:cs="Arial"/>
                <w:sz w:val="24"/>
                <w:szCs w:val="24"/>
              </w:rPr>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от наружной стенки канала, тоннеля</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1,5</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3</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от оболочки бесканальной прокладки</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5 (смотри примечание 2)</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1,5</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3</w:t>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Кабели силовые всех напряжений и кабели связи</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0,6</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0,5</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 xml:space="preserve">0,5 </w:t>
            </w:r>
            <w:r>
              <w:fldChar w:fldCharType="begin"/>
            </w:r>
            <w:r>
              <w:instrText> HYPERLINK "file:///D:/! Вадим/! www.sharanga.nnov.ru/Sel'skie poseleniya/Kushnur/2017/Re//C:/Users/Специалист/Desktop/Мои документы/декабрь 2017/MNGP2.docx" \l "P1365"</w:instrText>
            </w:r>
            <w:r>
              <w:fldChar w:fldCharType="separate"/>
            </w:r>
            <w:r>
              <w:rPr>
                <w:rStyle w:val="Style9"/>
                <w:rFonts w:eastAsia="Times New Roman" w:cs="Arial"/>
                <w:color w:val="00000A"/>
                <w:sz w:val="24"/>
                <w:szCs w:val="24"/>
              </w:rPr>
              <w:t>&lt;*&gt;</w:t>
            </w:r>
            <w:r>
              <w:fldChar w:fldCharType="end"/>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 xml:space="preserve">5 </w:t>
            </w:r>
            <w:r>
              <w:fldChar w:fldCharType="begin"/>
            </w:r>
            <w:r>
              <w:instrText> HYPERLINK "file:///D:/! Вадим/! www.sharanga.nnov.ru/Sel'skie poseleniya/Kushnur/2017/Re//C:/Users/Специалист/Desktop/Мои документы/декабрь 2017/MNGP2.docx" \l "P1365"</w:instrText>
            </w:r>
            <w:r>
              <w:fldChar w:fldCharType="separate"/>
            </w:r>
            <w:r>
              <w:rPr>
                <w:rStyle w:val="Style9"/>
                <w:rFonts w:eastAsia="Times New Roman" w:cs="Arial"/>
                <w:color w:val="00000A"/>
                <w:sz w:val="24"/>
                <w:szCs w:val="24"/>
              </w:rPr>
              <w:t>&lt;*&gt;</w:t>
            </w:r>
            <w:r>
              <w:fldChar w:fldCharType="end"/>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 xml:space="preserve">10 </w:t>
            </w:r>
            <w:r>
              <w:fldChar w:fldCharType="begin"/>
            </w:r>
            <w:r>
              <w:instrText> HYPERLINK "file:///D:/! Вадим/! www.sharanga.nnov.ru/Sel'skie poseleniya/Kushnur/2017/Re//C:/Users/Специалист/Desktop/Мои документы/декабрь 2017/MNGP2.docx" \l "P1365"</w:instrText>
            </w:r>
            <w:r>
              <w:fldChar w:fldCharType="separate"/>
            </w:r>
            <w:r>
              <w:rPr>
                <w:rStyle w:val="Style9"/>
                <w:rFonts w:eastAsia="Times New Roman" w:cs="Arial"/>
                <w:color w:val="00000A"/>
                <w:sz w:val="24"/>
                <w:szCs w:val="24"/>
              </w:rPr>
              <w:t>&lt;*&gt;</w:t>
            </w:r>
            <w:r>
              <w:fldChar w:fldCharType="end"/>
            </w:r>
          </w:p>
        </w:tc>
      </w:tr>
      <w:tr>
        <w:trPr/>
        <w:tc>
          <w:tcPr>
            <w:tcW w:w="2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Каналы, коммуникационные тоннели</w:t>
            </w:r>
          </w:p>
        </w:tc>
        <w:tc>
          <w:tcPr>
            <w:tcW w:w="15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70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1,5</w:t>
            </w:r>
          </w:p>
        </w:tc>
        <w:tc>
          <w:tcPr>
            <w:tcW w:w="130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136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992"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10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 xml:space="preserve">3 </w:t>
            </w:r>
            <w:r>
              <w:fldChar w:fldCharType="begin"/>
            </w:r>
            <w:r>
              <w:instrText> HYPERLINK "file:///D:/! Вадим/! www.sharanga.nnov.ru/Sel'skie poseleniya/Kushnur/2017/Re//C:/Users/Специалист/Desktop/Мои документы/декабрь 2017/MNGP2.docx" \l "P1365"</w:instrText>
            </w:r>
            <w:r>
              <w:fldChar w:fldCharType="separate"/>
            </w:r>
            <w:r>
              <w:rPr>
                <w:rStyle w:val="Style9"/>
                <w:rFonts w:eastAsia="Times New Roman" w:cs="Arial"/>
                <w:color w:val="00000A"/>
                <w:sz w:val="24"/>
                <w:szCs w:val="24"/>
              </w:rPr>
              <w:t>&lt;*&gt;</w:t>
            </w:r>
            <w:r>
              <w:fldChar w:fldCharType="end"/>
            </w:r>
          </w:p>
        </w:tc>
      </w:tr>
    </w:tbl>
    <w:p>
      <w:pPr>
        <w:pStyle w:val="ConsPlusNormal2"/>
        <w:suppressAutoHyphens w:val="false"/>
        <w:ind w:left="0" w:right="0" w:firstLine="540"/>
        <w:rPr>
          <w:rFonts w:eastAsia="Times New Roman" w:cs="Arial"/>
          <w:sz w:val="24"/>
          <w:szCs w:val="24"/>
        </w:rPr>
      </w:pPr>
      <w:r>
        <w:rPr>
          <w:rFonts w:eastAsia="Times New Roman" w:cs="Arial"/>
          <w:sz w:val="24"/>
          <w:szCs w:val="24"/>
        </w:rPr>
        <w:t>--------------------------------</w:t>
      </w:r>
    </w:p>
    <w:p>
      <w:pPr>
        <w:pStyle w:val="ConsPlusNormal2"/>
        <w:suppressAutoHyphens w:val="false"/>
        <w:ind w:left="0" w:right="0" w:firstLine="540"/>
        <w:rPr>
          <w:rFonts w:eastAsia="Times New Roman" w:cs="Arial"/>
          <w:sz w:val="24"/>
          <w:szCs w:val="24"/>
        </w:rPr>
      </w:pPr>
      <w:bookmarkStart w:id="91" w:name="P1365"/>
      <w:bookmarkEnd w:id="91"/>
      <w:r>
        <w:rPr>
          <w:rFonts w:eastAsia="Times New Roman" w:cs="Arial"/>
          <w:sz w:val="24"/>
          <w:szCs w:val="24"/>
        </w:rPr>
        <w:t>&lt;*&gt; Относится только к расстояниям от силовых кабелей.</w:t>
      </w:r>
    </w:p>
    <w:p>
      <w:pPr>
        <w:pStyle w:val="ConsPlusNormal2"/>
        <w:suppressAutoHyphens w:val="false"/>
        <w:ind w:left="0" w:right="0" w:firstLine="540"/>
        <w:rPr>
          <w:rFonts w:eastAsia="Times New Roman" w:cs="Arial"/>
          <w:sz w:val="24"/>
          <w:szCs w:val="24"/>
        </w:rPr>
      </w:pPr>
      <w:r>
        <w:rPr>
          <w:rFonts w:eastAsia="Times New Roman" w:cs="Arial"/>
          <w:sz w:val="24"/>
          <w:szCs w:val="24"/>
        </w:rPr>
      </w:r>
    </w:p>
    <w:p>
      <w:pPr>
        <w:pStyle w:val="ConsPlusNormal2"/>
        <w:suppressAutoHyphens w:val="false"/>
        <w:ind w:left="0" w:right="0" w:firstLine="540"/>
        <w:rPr>
          <w:rFonts w:eastAsia="Times New Roman" w:cs="Arial"/>
          <w:sz w:val="24"/>
          <w:szCs w:val="24"/>
        </w:rPr>
      </w:pPr>
      <w:r>
        <w:rPr>
          <w:rFonts w:eastAsia="Times New Roman" w:cs="Arial"/>
          <w:sz w:val="24"/>
          <w:szCs w:val="24"/>
        </w:rPr>
        <w:t>Примечания.</w:t>
      </w:r>
    </w:p>
    <w:p>
      <w:pPr>
        <w:pStyle w:val="ConsPlusNormal2"/>
        <w:suppressAutoHyphens w:val="false"/>
        <w:ind w:left="0" w:right="0" w:firstLine="540"/>
        <w:rPr>
          <w:rFonts w:eastAsia="Times New Roman" w:cs="Arial"/>
          <w:sz w:val="24"/>
          <w:szCs w:val="24"/>
        </w:rPr>
      </w:pPr>
      <w:r>
        <w:rPr>
          <w:rFonts w:eastAsia="Times New Roman" w:cs="Arial"/>
          <w:sz w:val="24"/>
          <w:szCs w:val="24"/>
        </w:rPr>
        <w:t>1. Допускается предусматривать прокладку подземных инженерных сетей в пределах фундаментов опор и эстакад трубопроводов, контактной сети при условии выполнения мер, исключающих возможность повреждения сетей в случае осадки фундаментов, а также повреждения фундаментов при аварии на этих сетях. При размещении инженерных сетей, подлежащих прокладке с применением строительного водопонижения, расстояние их до зданий и сооружений следует устанавливать с учетом зоны возможного нарушения прочности грунтов оснований.</w:t>
      </w:r>
    </w:p>
    <w:p>
      <w:pPr>
        <w:pStyle w:val="ConsPlusNormal2"/>
        <w:suppressAutoHyphens w:val="false"/>
        <w:ind w:left="0" w:right="0" w:firstLine="540"/>
        <w:rPr/>
      </w:pPr>
      <w:r>
        <w:rPr>
          <w:rFonts w:eastAsia="Times New Roman" w:cs="Arial"/>
          <w:sz w:val="24"/>
          <w:szCs w:val="24"/>
        </w:rPr>
        <w:t xml:space="preserve">2. Расстояния от тепловых сетей при бесканальной прокладке до зданий и сооружений следует принимать по таблице Б.З </w:t>
      </w:r>
      <w:hyperlink r:id="rId46">
        <w:r>
          <w:rPr>
            <w:rStyle w:val="Style9"/>
            <w:rFonts w:eastAsia="Times New Roman" w:cs="Arial"/>
            <w:color w:val="00000A"/>
            <w:sz w:val="24"/>
            <w:szCs w:val="24"/>
          </w:rPr>
          <w:t>СНиП 41-02-2003</w:t>
        </w:r>
      </w:hyperlink>
      <w:r>
        <w:rPr>
          <w:rFonts w:eastAsia="Times New Roman" w:cs="Arial"/>
          <w:sz w:val="24"/>
          <w:szCs w:val="24"/>
        </w:rPr>
        <w:t>.</w:t>
      </w:r>
    </w:p>
    <w:p>
      <w:pPr>
        <w:pStyle w:val="ConsPlusNormal2"/>
        <w:suppressAutoHyphens w:val="false"/>
        <w:ind w:left="0" w:right="0" w:firstLine="540"/>
        <w:jc w:val="right"/>
        <w:rPr>
          <w:rFonts w:eastAsia="Times New Roman" w:cs="Arial"/>
          <w:sz w:val="24"/>
          <w:szCs w:val="24"/>
        </w:rPr>
      </w:pPr>
      <w:r>
        <w:rPr>
          <w:rFonts w:eastAsia="Times New Roman" w:cs="Arial"/>
          <w:sz w:val="24"/>
          <w:szCs w:val="24"/>
        </w:rPr>
        <w:t>Таблица 12</w:t>
      </w:r>
    </w:p>
    <w:tbl>
      <w:tblPr>
        <w:tblW w:w="10254" w:type="dxa"/>
        <w:jc w:val="center"/>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1471"/>
        <w:gridCol w:w="877"/>
        <w:gridCol w:w="658"/>
        <w:gridCol w:w="771"/>
        <w:gridCol w:w="570"/>
        <w:gridCol w:w="660"/>
        <w:gridCol w:w="720"/>
        <w:gridCol w:w="665"/>
        <w:gridCol w:w="879"/>
        <w:gridCol w:w="660"/>
        <w:gridCol w:w="771"/>
        <w:gridCol w:w="761"/>
        <w:gridCol w:w="1"/>
        <w:gridCol w:w="790"/>
        <w:gridCol w:w="1"/>
      </w:tblGrid>
      <w:tr>
        <w:trPr/>
        <w:tc>
          <w:tcPr>
            <w:tcW w:w="1471"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Инженерные сети</w:t>
            </w:r>
          </w:p>
        </w:tc>
        <w:tc>
          <w:tcPr>
            <w:tcW w:w="8783" w:type="dxa"/>
            <w:gridSpan w:val="1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Расстояние (м) по горизонтали (в свету) до:</w:t>
            </w:r>
          </w:p>
        </w:tc>
      </w:tr>
      <w:tr>
        <w:trPr/>
        <w:tc>
          <w:tcPr>
            <w:tcW w:w="14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877"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водопровода</w:t>
            </w:r>
          </w:p>
        </w:tc>
        <w:tc>
          <w:tcPr>
            <w:tcW w:w="658"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канализации бытовой</w:t>
            </w:r>
          </w:p>
        </w:tc>
        <w:tc>
          <w:tcPr>
            <w:tcW w:w="771"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дренажа и дождевой канализации</w:t>
            </w:r>
          </w:p>
        </w:tc>
        <w:tc>
          <w:tcPr>
            <w:tcW w:w="2615" w:type="dxa"/>
            <w:gridSpan w:val="4"/>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газопроводов давления, МПа (кгс/кв. см)</w:t>
            </w:r>
          </w:p>
        </w:tc>
        <w:tc>
          <w:tcPr>
            <w:tcW w:w="879"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кабелей силовых всех напряжений</w:t>
            </w:r>
          </w:p>
        </w:tc>
        <w:tc>
          <w:tcPr>
            <w:tcW w:w="660"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кабелей связи</w:t>
            </w:r>
          </w:p>
        </w:tc>
        <w:tc>
          <w:tcPr>
            <w:tcW w:w="1532" w:type="dxa"/>
            <w:gridSpan w:val="2"/>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тепловых сетей</w:t>
            </w:r>
          </w:p>
        </w:tc>
        <w:tc>
          <w:tcPr>
            <w:tcW w:w="791" w:type="dxa"/>
            <w:gridSpan w:val="2"/>
            <w:vMerge w:val="restart"/>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каналов, тоннелей</w:t>
            </w:r>
          </w:p>
        </w:tc>
      </w:tr>
      <w:tr>
        <w:trPr>
          <w:trHeight w:val="517" w:hRule="atLeast"/>
        </w:trPr>
        <w:tc>
          <w:tcPr>
            <w:tcW w:w="14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877"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658"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2615" w:type="dxa"/>
            <w:gridSpan w:val="4"/>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879"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660"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71"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наружная стенка канала, тоннеля</w:t>
            </w:r>
          </w:p>
        </w:tc>
        <w:tc>
          <w:tcPr>
            <w:tcW w:w="762" w:type="dxa"/>
            <w:gridSpan w:val="2"/>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оболочка бесканальной прокладки</w:t>
            </w:r>
          </w:p>
        </w:tc>
        <w:tc>
          <w:tcPr>
            <w:tcW w:w="791" w:type="dxa"/>
            <w:vMerge w:val="continue"/>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r>
      <w:tr>
        <w:trPr/>
        <w:tc>
          <w:tcPr>
            <w:tcW w:w="14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877"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658"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570"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низкого до 0,005</w:t>
            </w:r>
          </w:p>
        </w:tc>
        <w:tc>
          <w:tcPr>
            <w:tcW w:w="660"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среднего св. 0,005 до 0,3</w:t>
            </w:r>
          </w:p>
        </w:tc>
        <w:tc>
          <w:tcPr>
            <w:tcW w:w="1385" w:type="dxa"/>
            <w:gridSpan w:val="2"/>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suppressAutoHyphens w:val="false"/>
              <w:jc w:val="center"/>
              <w:rPr>
                <w:rFonts w:eastAsia="Times New Roman" w:cs="Arial"/>
                <w:b/>
                <w:b/>
                <w:sz w:val="24"/>
                <w:szCs w:val="24"/>
              </w:rPr>
            </w:pPr>
            <w:r>
              <w:rPr>
                <w:rFonts w:eastAsia="Times New Roman" w:cs="Arial"/>
                <w:b/>
                <w:sz w:val="24"/>
                <w:szCs w:val="24"/>
              </w:rPr>
              <w:t>высокого</w:t>
            </w:r>
          </w:p>
        </w:tc>
        <w:tc>
          <w:tcPr>
            <w:tcW w:w="879"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660"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62" w:type="dxa"/>
            <w:gridSpan w:val="2"/>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91" w:type="dxa"/>
            <w:vMerge w:val="continue"/>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r>
      <w:tr>
        <w:trPr>
          <w:trHeight w:val="1496" w:hRule="exact"/>
          <w:cantSplit w:val="true"/>
        </w:trPr>
        <w:tc>
          <w:tcPr>
            <w:tcW w:w="14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877"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658"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570"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660"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20" w:type="dxa"/>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св. 0,3 до 0,6</w:t>
            </w:r>
          </w:p>
        </w:tc>
        <w:tc>
          <w:tcPr>
            <w:tcW w:w="665" w:type="dxa"/>
            <w:tcBorders>
              <w:top w:val="single" w:sz="4" w:space="0" w:color="00000A"/>
              <w:left w:val="single" w:sz="4" w:space="0" w:color="00000A"/>
              <w:bottom w:val="single" w:sz="4" w:space="0" w:color="00000A"/>
              <w:insideH w:val="single" w:sz="4" w:space="0" w:color="00000A"/>
            </w:tcBorders>
            <w:shd w:fill="EEECE1" w:val="clear"/>
            <w:tcMar>
              <w:left w:w="62" w:type="dxa"/>
            </w:tcMar>
            <w:textDirection w:val="btLr"/>
            <w:vAlign w:val="center"/>
          </w:tcPr>
          <w:p>
            <w:pPr>
              <w:pStyle w:val="ConsPlusNormal2"/>
              <w:suppressAutoHyphens w:val="false"/>
              <w:ind w:left="0" w:right="113" w:hanging="0"/>
              <w:jc w:val="center"/>
              <w:rPr>
                <w:rFonts w:eastAsia="Times New Roman" w:cs="Arial"/>
                <w:b/>
                <w:b/>
                <w:sz w:val="24"/>
                <w:szCs w:val="24"/>
              </w:rPr>
            </w:pPr>
            <w:r>
              <w:rPr>
                <w:rFonts w:eastAsia="Times New Roman" w:cs="Arial"/>
                <w:b/>
                <w:sz w:val="24"/>
                <w:szCs w:val="24"/>
              </w:rPr>
              <w:t>св. 0,6 до 1,2</w:t>
            </w:r>
          </w:p>
        </w:tc>
        <w:tc>
          <w:tcPr>
            <w:tcW w:w="879"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660"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71"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62" w:type="dxa"/>
            <w:gridSpan w:val="2"/>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c>
          <w:tcPr>
            <w:tcW w:w="791" w:type="dxa"/>
            <w:vMerge w:val="continue"/>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vAlign w:val="center"/>
          </w:tcPr>
          <w:p>
            <w:pPr>
              <w:pStyle w:val="Normal"/>
              <w:snapToGrid w:val="false"/>
              <w:spacing w:lineRule="auto" w:line="240" w:before="0" w:after="0"/>
              <w:rPr>
                <w:rFonts w:ascii="Arial" w:hAnsi="Arial" w:eastAsia="Times New Roman" w:cs="Arial"/>
                <w:b/>
                <w:b/>
                <w:sz w:val="24"/>
                <w:szCs w:val="24"/>
                <w:lang w:eastAsia="ru-RU"/>
              </w:rPr>
            </w:pPr>
            <w:r>
              <w:rPr>
                <w:rFonts w:eastAsia="Times New Roman" w:cs="Arial" w:ascii="Arial" w:hAnsi="Arial"/>
                <w:b/>
                <w:sz w:val="24"/>
                <w:szCs w:val="24"/>
                <w:lang w:eastAsia="ru-RU"/>
              </w:rPr>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2</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3</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4</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5</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6</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7</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8</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9</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10</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11</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12</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jc w:val="center"/>
              <w:rPr>
                <w:rFonts w:eastAsia="Times New Roman" w:cs="Arial"/>
                <w:sz w:val="24"/>
                <w:szCs w:val="24"/>
              </w:rPr>
            </w:pPr>
            <w:r>
              <w:rPr>
                <w:rFonts w:eastAsia="Times New Roman" w:cs="Arial"/>
                <w:sz w:val="24"/>
                <w:szCs w:val="24"/>
              </w:rPr>
              <w:t>13</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Водопровод</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См.примечание 1</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см. примечание 2</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 &lt;*&gt;</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Канализация бытовая</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см. прим. 1</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0,4</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0,4</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5</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 &lt;*&gt;</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Дождевая канализация</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0,4</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0,4</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5</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 &lt;*&gt;</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Газопроводы давления, МПа</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низкого до 0,005</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среднего свыше 0,005 до 0,3</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высокого</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свыше 0,3 до 0,6</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свыше 0,6 до 1,2</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5</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5</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4</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4</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Кабели силовые всех напряжений</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 xml:space="preserve">1 </w:t>
            </w:r>
            <w:r>
              <w:fldChar w:fldCharType="begin"/>
            </w:r>
            <w:r>
              <w:instrText> HYPERLINK "file:///D:/! Вадим/! www.sharanga.nnov.ru/Sel'skie poseleniya/Kushnur/2017/Re//C:/Users/Специалист/Desktop/Мои документы/декабрь 2017/MNGP2.docx" \l "P1600"</w:instrText>
            </w:r>
            <w:r>
              <w:fldChar w:fldCharType="separate"/>
            </w:r>
            <w:r>
              <w:rPr>
                <w:rStyle w:val="Style9"/>
                <w:rFonts w:eastAsia="Times New Roman" w:cs="Arial"/>
                <w:color w:val="00000A"/>
                <w:sz w:val="24"/>
                <w:szCs w:val="24"/>
              </w:rPr>
              <w:t>&lt;*&gt;</w:t>
            </w:r>
            <w:r>
              <w:fldChar w:fldCharType="end"/>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 xml:space="preserve">1 </w:t>
            </w:r>
            <w:r>
              <w:fldChar w:fldCharType="begin"/>
            </w:r>
            <w:r>
              <w:instrText> HYPERLINK "file:///D:/! Вадим/! www.sharanga.nnov.ru/Sel'skie poseleniya/Kushnur/2017/Re//C:/Users/Специалист/Desktop/Мои документы/декабрь 2017/MNGP2.docx" \l "P1600"</w:instrText>
            </w:r>
            <w:r>
              <w:fldChar w:fldCharType="separate"/>
            </w:r>
            <w:r>
              <w:rPr>
                <w:rStyle w:val="Style9"/>
                <w:rFonts w:eastAsia="Times New Roman" w:cs="Arial"/>
                <w:color w:val="00000A"/>
                <w:sz w:val="24"/>
                <w:szCs w:val="24"/>
              </w:rPr>
              <w:t>&lt;*&gt;</w:t>
            </w:r>
            <w:r>
              <w:fldChar w:fldCharType="end"/>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 xml:space="preserve">1 </w:t>
            </w:r>
            <w:r>
              <w:fldChar w:fldCharType="begin"/>
            </w:r>
            <w:r>
              <w:instrText> HYPERLINK "file:///D:/! Вадим/! www.sharanga.nnov.ru/Sel'skie poseleniya/Kushnur/2017/Re//C:/Users/Специалист/Desktop/Мои документы/декабрь 2017/MNGP2.docx" \l "P1600"</w:instrText>
            </w:r>
            <w:r>
              <w:fldChar w:fldCharType="separate"/>
            </w:r>
            <w:r>
              <w:rPr>
                <w:rStyle w:val="Style9"/>
                <w:rFonts w:eastAsia="Times New Roman" w:cs="Arial"/>
                <w:color w:val="00000A"/>
                <w:sz w:val="24"/>
                <w:szCs w:val="24"/>
              </w:rPr>
              <w:t>&lt;*&gt;</w:t>
            </w:r>
            <w:r>
              <w:fldChar w:fldCharType="end"/>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0,1 - 0,5</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Кабели связи</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0,5</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Тепловые сети</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от наружной стенки канала, тоннеля</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4</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от оболочки бесканальной прокладки</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snapToGrid w:val="false"/>
              <w:rPr>
                <w:rFonts w:eastAsia="Times New Roman" w:cs="Arial"/>
                <w:sz w:val="24"/>
                <w:szCs w:val="24"/>
              </w:rPr>
            </w:pPr>
            <w:r>
              <w:rPr>
                <w:rFonts w:eastAsia="Times New Roman" w:cs="Arial"/>
                <w:sz w:val="24"/>
                <w:szCs w:val="24"/>
              </w:rPr>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r>
      <w:tr>
        <w:trPr/>
        <w:tc>
          <w:tcPr>
            <w:tcW w:w="14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Каналы, тоннели</w:t>
            </w:r>
          </w:p>
        </w:tc>
        <w:tc>
          <w:tcPr>
            <w:tcW w:w="87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1,5</w:t>
            </w:r>
          </w:p>
        </w:tc>
        <w:tc>
          <w:tcPr>
            <w:tcW w:w="658"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57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2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65"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4</w:t>
            </w:r>
          </w:p>
        </w:tc>
        <w:tc>
          <w:tcPr>
            <w:tcW w:w="879"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66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1</w:t>
            </w:r>
          </w:p>
        </w:tc>
        <w:tc>
          <w:tcPr>
            <w:tcW w:w="771"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62" w:type="dxa"/>
            <w:gridSpan w:val="2"/>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uppressAutoHyphens w:val="false"/>
              <w:rPr>
                <w:rFonts w:eastAsia="Times New Roman" w:cs="Arial"/>
                <w:sz w:val="24"/>
                <w:szCs w:val="24"/>
              </w:rPr>
            </w:pPr>
            <w:r>
              <w:rPr>
                <w:rFonts w:eastAsia="Times New Roman" w:cs="Arial"/>
                <w:sz w:val="24"/>
                <w:szCs w:val="24"/>
              </w:rPr>
              <w:t>2</w:t>
            </w:r>
          </w:p>
        </w:tc>
        <w:tc>
          <w:tcPr>
            <w:tcW w:w="79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uppressAutoHyphens w:val="false"/>
              <w:rPr>
                <w:rFonts w:eastAsia="Times New Roman" w:cs="Arial"/>
                <w:sz w:val="24"/>
                <w:szCs w:val="24"/>
              </w:rPr>
            </w:pPr>
            <w:bookmarkStart w:id="92" w:name="%D0%A012222"/>
            <w:bookmarkEnd w:id="92"/>
            <w:r>
              <w:rPr>
                <w:rFonts w:eastAsia="Times New Roman" w:cs="Arial"/>
                <w:sz w:val="24"/>
                <w:szCs w:val="24"/>
              </w:rPr>
              <w:t>-</w:t>
            </w:r>
          </w:p>
        </w:tc>
      </w:tr>
    </w:tbl>
    <w:p>
      <w:pPr>
        <w:pStyle w:val="ConsPlusNormal2"/>
        <w:ind w:left="0" w:right="0" w:firstLine="540"/>
        <w:rPr>
          <w:rFonts w:cs="Arial"/>
          <w:sz w:val="24"/>
          <w:szCs w:val="24"/>
        </w:rPr>
      </w:pPr>
      <w:r>
        <w:rPr>
          <w:rFonts w:cs="Arial"/>
          <w:sz w:val="24"/>
          <w:szCs w:val="24"/>
        </w:rPr>
        <w:t>--------------------------------</w:t>
      </w:r>
    </w:p>
    <w:p>
      <w:pPr>
        <w:pStyle w:val="ConsPlusNormal2"/>
        <w:ind w:left="0" w:right="0" w:firstLine="540"/>
        <w:rPr>
          <w:rFonts w:cs="Arial"/>
          <w:sz w:val="24"/>
          <w:szCs w:val="24"/>
        </w:rPr>
      </w:pPr>
      <w:bookmarkStart w:id="93" w:name="P1600"/>
      <w:bookmarkEnd w:id="93"/>
      <w:r>
        <w:rPr>
          <w:rFonts w:cs="Arial"/>
          <w:sz w:val="24"/>
          <w:szCs w:val="24"/>
        </w:rPr>
        <w:t>&lt;*&gt; Допускается уменьшать указанные расстояния до 0,5 м при соблюдении требований раздела 2.3 ПУЭ.</w:t>
      </w:r>
    </w:p>
    <w:p>
      <w:pPr>
        <w:pStyle w:val="ConsPlusNormal2"/>
        <w:ind w:left="0" w:right="0" w:firstLine="540"/>
        <w:rPr>
          <w:rFonts w:cs="Arial"/>
          <w:sz w:val="24"/>
          <w:szCs w:val="24"/>
        </w:rPr>
      </w:pPr>
      <w:r>
        <w:rPr>
          <w:rFonts w:cs="Arial"/>
          <w:sz w:val="24"/>
          <w:szCs w:val="24"/>
        </w:rPr>
      </w:r>
    </w:p>
    <w:p>
      <w:pPr>
        <w:pStyle w:val="ConsPlusNormal2"/>
        <w:ind w:left="0" w:right="0" w:firstLine="540"/>
        <w:rPr>
          <w:rFonts w:cs="Arial"/>
          <w:sz w:val="24"/>
          <w:szCs w:val="24"/>
        </w:rPr>
      </w:pPr>
      <w:r>
        <w:rPr>
          <w:rFonts w:cs="Arial"/>
          <w:sz w:val="24"/>
          <w:szCs w:val="24"/>
        </w:rPr>
        <w:t>Примечание.</w:t>
      </w:r>
    </w:p>
    <w:p>
      <w:pPr>
        <w:pStyle w:val="ConsPlusNormal2"/>
        <w:numPr>
          <w:ilvl w:val="0"/>
          <w:numId w:val="13"/>
        </w:numPr>
        <w:suppressAutoHyphens w:val="false"/>
        <w:ind w:left="330" w:right="0" w:hanging="330"/>
        <w:jc w:val="both"/>
        <w:rPr>
          <w:rFonts w:eastAsia="Times New Roman" w:cs="Arial"/>
          <w:sz w:val="24"/>
          <w:szCs w:val="24"/>
        </w:rPr>
      </w:pPr>
      <w:r>
        <w:rPr>
          <w:rFonts w:eastAsia="Times New Roman" w:cs="Arial"/>
          <w:sz w:val="24"/>
          <w:szCs w:val="24"/>
        </w:rPr>
        <w:t>При параллельной прокладке нескольких линий водопровода  расстояние между ними  следует  принимать  в  зависимости  от  технических  и инженерно-геологических условий в соответствии с СП 31.13330.2012</w:t>
      </w:r>
    </w:p>
    <w:p>
      <w:pPr>
        <w:pStyle w:val="ConsPlusNormal2"/>
        <w:numPr>
          <w:ilvl w:val="0"/>
          <w:numId w:val="13"/>
        </w:numPr>
        <w:suppressAutoHyphens w:val="false"/>
        <w:ind w:left="330" w:right="0" w:hanging="330"/>
        <w:jc w:val="both"/>
        <w:rPr>
          <w:rFonts w:cs="Arial"/>
          <w:sz w:val="24"/>
          <w:szCs w:val="24"/>
        </w:rPr>
      </w:pPr>
      <w:r>
        <w:rPr>
          <w:rFonts w:cs="Arial"/>
          <w:sz w:val="24"/>
          <w:szCs w:val="24"/>
        </w:rPr>
        <w:t xml:space="preserve">Расстояние от бытовой канализации до хозяйственно-питьевого водопровода следует принимать: </w:t>
      </w:r>
    </w:p>
    <w:p>
      <w:pPr>
        <w:pStyle w:val="ConsPlusNormal2"/>
        <w:suppressAutoHyphens w:val="false"/>
        <w:ind w:left="330" w:right="0" w:hanging="0"/>
        <w:rPr/>
      </w:pPr>
      <w:r>
        <w:rPr>
          <w:rFonts w:cs="Arial"/>
          <w:sz w:val="24"/>
          <w:szCs w:val="24"/>
        </w:rPr>
        <w:t xml:space="preserve">   </w:t>
      </w:r>
      <w:r>
        <w:rPr>
          <w:rFonts w:cs="Arial"/>
          <w:sz w:val="24"/>
          <w:szCs w:val="24"/>
        </w:rPr>
        <w:t>-до водопровода из железобетонных и асбестоцементных труб - 5 м;</w:t>
      </w:r>
    </w:p>
    <w:p>
      <w:pPr>
        <w:pStyle w:val="ConsPlusNormal2"/>
        <w:suppressAutoHyphens w:val="false"/>
        <w:ind w:left="330" w:right="0" w:hanging="0"/>
        <w:rPr/>
      </w:pPr>
      <w:r>
        <w:rPr>
          <w:rFonts w:cs="Arial"/>
          <w:sz w:val="24"/>
          <w:szCs w:val="24"/>
        </w:rPr>
        <w:t xml:space="preserve">   </w:t>
      </w:r>
      <w:r>
        <w:rPr>
          <w:rFonts w:cs="Arial"/>
          <w:sz w:val="24"/>
          <w:szCs w:val="24"/>
        </w:rPr>
        <w:t xml:space="preserve">-до водопровода  из  чугунных  труб диаметром   до  200 мм  -  1,5м,  диаметром   свыше 200 мм  -  3м;   </w:t>
      </w:r>
    </w:p>
    <w:p>
      <w:pPr>
        <w:pStyle w:val="ConsPlusNormal2"/>
        <w:ind w:left="0" w:right="0" w:firstLine="540"/>
        <w:rPr>
          <w:rFonts w:cs="Arial"/>
          <w:sz w:val="24"/>
          <w:szCs w:val="24"/>
        </w:rPr>
      </w:pPr>
      <w:r>
        <w:rPr>
          <w:rFonts w:cs="Arial"/>
          <w:sz w:val="24"/>
          <w:szCs w:val="24"/>
        </w:rPr>
        <w:t>- до водопровода из пластмассовых труб - 1,5 м.</w:t>
      </w:r>
    </w:p>
    <w:p>
      <w:pPr>
        <w:pStyle w:val="ConsPlusNormal2"/>
        <w:ind w:left="0" w:right="0" w:firstLine="540"/>
        <w:rPr>
          <w:rFonts w:cs="Arial"/>
          <w:sz w:val="24"/>
          <w:szCs w:val="24"/>
        </w:rPr>
      </w:pPr>
      <w:r>
        <w:rPr>
          <w:rFonts w:cs="Arial"/>
          <w:sz w:val="24"/>
          <w:szCs w:val="24"/>
        </w:rPr>
        <w:t>Расстояние между сетями канализации и производственным водопроводом в зависимости от материала и диаметра труб, а также от номенклатуры и характеристики грунтов должно быть 1,5 м.</w:t>
      </w:r>
    </w:p>
    <w:p>
      <w:pPr>
        <w:pStyle w:val="ConsPlusNormal2"/>
        <w:ind w:left="0" w:right="0" w:firstLine="540"/>
        <w:rPr>
          <w:rFonts w:cs="Arial"/>
          <w:sz w:val="24"/>
          <w:szCs w:val="24"/>
        </w:rPr>
      </w:pPr>
      <w:r>
        <w:rPr>
          <w:rFonts w:cs="Arial"/>
          <w:sz w:val="24"/>
          <w:szCs w:val="24"/>
        </w:rPr>
        <w:t>2. При параллельной прокладке газопроводов для труб диаметром до 300 мм расстояние между ними (в свету) допускается принимать 0,4 м и труб диаметром более 300 мм - 0,5 м при совместном размещении в одной траншее двух и более газопроводов.</w:t>
      </w:r>
    </w:p>
    <w:p>
      <w:pPr>
        <w:pStyle w:val="ConsPlusNormal2"/>
        <w:ind w:left="0" w:right="0" w:firstLine="540"/>
        <w:rPr/>
      </w:pPr>
      <w:r>
        <w:rPr>
          <w:rFonts w:cs="Arial"/>
          <w:sz w:val="24"/>
          <w:szCs w:val="24"/>
        </w:rPr>
        <w:t xml:space="preserve">3. В таблице указаны расстояния до стальных газопроводов. Размещение газопроводов из неметаллических труб следует предусматривать согласно </w:t>
      </w:r>
      <w:hyperlink r:id="rId47">
        <w:r>
          <w:rPr>
            <w:rStyle w:val="Style9"/>
            <w:rFonts w:cs="Arial"/>
            <w:sz w:val="24"/>
            <w:szCs w:val="24"/>
          </w:rPr>
          <w:t>СНиП 42-01-02</w:t>
        </w:r>
      </w:hyperlink>
      <w:r>
        <w:rPr>
          <w:rFonts w:cs="Arial"/>
          <w:sz w:val="24"/>
          <w:szCs w:val="24"/>
        </w:rPr>
        <w:t>.</w:t>
      </w:r>
    </w:p>
    <w:p>
      <w:pPr>
        <w:pStyle w:val="ConsPlusNormal2"/>
        <w:ind w:left="0" w:right="0" w:firstLine="540"/>
        <w:rPr>
          <w:rFonts w:cs="Arial"/>
          <w:sz w:val="24"/>
          <w:szCs w:val="24"/>
        </w:rPr>
      </w:pPr>
      <w:r>
        <w:rPr>
          <w:rFonts w:cs="Arial"/>
          <w:sz w:val="24"/>
          <w:szCs w:val="24"/>
        </w:rPr>
      </w:r>
    </w:p>
    <w:p>
      <w:pPr>
        <w:pStyle w:val="ConsPlusNormal2"/>
        <w:tabs>
          <w:tab w:val="left" w:pos="851" w:leader="none"/>
        </w:tabs>
        <w:suppressAutoHyphens w:val="false"/>
        <w:rPr>
          <w:rFonts w:cs="Arial"/>
          <w:sz w:val="24"/>
          <w:szCs w:val="24"/>
        </w:rPr>
      </w:pPr>
      <w:r>
        <w:rPr>
          <w:rFonts w:cs="Arial"/>
          <w:sz w:val="24"/>
          <w:szCs w:val="24"/>
        </w:rPr>
        <w:t>5.5.7.9.Выбор проектных инженерных решений для территории малоэтажной жилой застройки должен производиться в соответствии с техническими условиями на инженерное обеспечение территории, выдаваемыми соответствующими органами, ответственными за эксплуатацию местных инженерных сетей.</w:t>
      </w:r>
    </w:p>
    <w:p>
      <w:pPr>
        <w:pStyle w:val="ConsPlusNormal2"/>
        <w:tabs>
          <w:tab w:val="left" w:pos="851" w:leader="none"/>
        </w:tabs>
        <w:suppressAutoHyphens w:val="false"/>
        <w:rPr>
          <w:rFonts w:cs="Arial"/>
          <w:sz w:val="24"/>
          <w:szCs w:val="24"/>
        </w:rPr>
      </w:pPr>
      <w:r>
        <w:rPr>
          <w:rFonts w:cs="Arial"/>
          <w:sz w:val="24"/>
          <w:szCs w:val="24"/>
        </w:rPr>
        <w:t>5.5.7.10.Тепловые и газовые сети, трубопроводы водопровода и канализации должны прокладываться за пределами проезжей части дорог. В отдельных случаях допускается их прокладка по территории приусадебных земельных участков при согласии их владельцев.</w:t>
      </w:r>
    </w:p>
    <w:p>
      <w:pPr>
        <w:pStyle w:val="ConsPlusNormal2"/>
        <w:ind w:left="0" w:right="0" w:firstLine="540"/>
        <w:rPr>
          <w:rFonts w:cs="Arial"/>
          <w:sz w:val="24"/>
          <w:szCs w:val="24"/>
        </w:rPr>
      </w:pPr>
      <w:r>
        <w:rPr>
          <w:rFonts w:cs="Arial"/>
          <w:sz w:val="24"/>
          <w:szCs w:val="24"/>
        </w:rPr>
        <w:t>Прокладка газовых сетей высокого давления по территории малоэтажной застройки не допускается.</w:t>
      </w:r>
    </w:p>
    <w:p>
      <w:pPr>
        <w:pStyle w:val="ConsPlusNormal2"/>
        <w:tabs>
          <w:tab w:val="left" w:pos="851" w:leader="none"/>
        </w:tabs>
        <w:suppressAutoHyphens w:val="false"/>
        <w:rPr>
          <w:rFonts w:cs="Arial"/>
          <w:sz w:val="24"/>
          <w:szCs w:val="24"/>
        </w:rPr>
      </w:pPr>
      <w:r>
        <w:rPr>
          <w:rFonts w:cs="Arial"/>
          <w:sz w:val="24"/>
          <w:szCs w:val="24"/>
        </w:rPr>
        <w:t>5.5.7.11.Теплогазоснабжение малоэтажной жилой застройки допускается предусматривать как децентрализованным - от поквартирных генераторов автономного типа, так и централизованным - от существующих или вновь проектируемых котельных, газораспределительных пунктов (далее - ГРП) с соответствующими инженерными коммуникациями.</w:t>
      </w:r>
    </w:p>
    <w:p>
      <w:pPr>
        <w:pStyle w:val="ConsPlusNormal2"/>
        <w:tabs>
          <w:tab w:val="left" w:pos="851" w:leader="none"/>
        </w:tabs>
        <w:suppressAutoHyphens w:val="false"/>
        <w:rPr>
          <w:rFonts w:cs="Arial"/>
          <w:sz w:val="24"/>
          <w:szCs w:val="24"/>
        </w:rPr>
      </w:pPr>
      <w:r>
        <w:rPr>
          <w:rFonts w:cs="Arial"/>
          <w:sz w:val="24"/>
          <w:szCs w:val="24"/>
        </w:rPr>
        <w:t>5.5.7.12.Водоснабжение малоэтажной застройки следует производить от централизованных систем для многоквартирных домов в соответствии с требованиями подраздела 5.5 "Зоны инженерной инфраструктуры" настоящего раздела, также допускается устраивать автономное водоснабжение для одно-, двухквартирных домов от шахтных и мелкотрубчатых колодцев, каптажей, родников в соответствии с проектом.</w:t>
      </w:r>
    </w:p>
    <w:p>
      <w:pPr>
        <w:pStyle w:val="ConsPlusNormal2"/>
        <w:tabs>
          <w:tab w:val="left" w:pos="851" w:leader="none"/>
        </w:tabs>
        <w:suppressAutoHyphens w:val="false"/>
        <w:rPr>
          <w:rFonts w:cs="Arial"/>
          <w:sz w:val="24"/>
          <w:szCs w:val="24"/>
        </w:rPr>
      </w:pPr>
      <w:r>
        <w:rPr>
          <w:rFonts w:cs="Arial"/>
          <w:sz w:val="24"/>
          <w:szCs w:val="24"/>
        </w:rPr>
        <w:t>5.5.7.13.Ввод водопровода в одно-, двухквартирные дома допускается при наличии подключения к централизованной системе канализации или при наличии местной канализации.</w:t>
      </w:r>
    </w:p>
    <w:p>
      <w:pPr>
        <w:pStyle w:val="ConsPlusNormal2"/>
        <w:tabs>
          <w:tab w:val="left" w:pos="851" w:leader="none"/>
        </w:tabs>
        <w:suppressAutoHyphens w:val="false"/>
        <w:rPr>
          <w:rFonts w:cs="Arial"/>
          <w:sz w:val="24"/>
          <w:szCs w:val="24"/>
        </w:rPr>
      </w:pPr>
      <w:r>
        <w:rPr>
          <w:rFonts w:cs="Arial"/>
          <w:sz w:val="24"/>
          <w:szCs w:val="24"/>
        </w:rPr>
        <w:t>5.5.7.14.Допускается предусматривать для одно-, двухквартирных жилых домов устройство локальных очистных сооружений с расходом стоков не более 3 куб. м/сут.</w:t>
      </w:r>
    </w:p>
    <w:p>
      <w:pPr>
        <w:pStyle w:val="ConsPlusNormal2"/>
        <w:tabs>
          <w:tab w:val="left" w:pos="851" w:leader="none"/>
        </w:tabs>
        <w:suppressAutoHyphens w:val="false"/>
        <w:rPr>
          <w:rFonts w:cs="Arial"/>
          <w:sz w:val="24"/>
          <w:szCs w:val="24"/>
        </w:rPr>
      </w:pPr>
      <w:r>
        <w:rPr>
          <w:rFonts w:cs="Arial"/>
          <w:sz w:val="24"/>
          <w:szCs w:val="24"/>
        </w:rPr>
        <w:t>5.5.7.15.Электроснабжение малоэтажной застройки следует проектировать в соответствии с подраздела 5.5 "Зоны инженерной инфраструктуры" настоящего раздела.</w:t>
      </w:r>
    </w:p>
    <w:p>
      <w:pPr>
        <w:pStyle w:val="ConsPlusNormal2"/>
        <w:ind w:left="0" w:right="0" w:firstLine="540"/>
        <w:rPr>
          <w:rFonts w:cs="Arial"/>
          <w:sz w:val="24"/>
          <w:szCs w:val="24"/>
        </w:rPr>
      </w:pPr>
      <w:r>
        <w:rPr>
          <w:rFonts w:cs="Arial"/>
          <w:sz w:val="24"/>
          <w:szCs w:val="24"/>
        </w:rPr>
        <w:t>Мощность трансформаторов трансформаторной подстанции для электроснабжения малоэтажной застройки следует принимать по расчету.</w:t>
      </w:r>
    </w:p>
    <w:p>
      <w:pPr>
        <w:pStyle w:val="ConsPlusNormal2"/>
        <w:ind w:left="0" w:right="0" w:firstLine="540"/>
        <w:rPr>
          <w:rFonts w:cs="Arial"/>
          <w:sz w:val="24"/>
          <w:szCs w:val="24"/>
        </w:rPr>
      </w:pPr>
      <w:r>
        <w:rPr>
          <w:rFonts w:cs="Arial"/>
          <w:sz w:val="24"/>
          <w:szCs w:val="24"/>
        </w:rPr>
        <w:t>Сеть 0,38 кВ следует выполнять воздушными или кабельными линиями по разомкнутой разветвленной схеме или петлевой схеме в разомкнутом режиме с однотрансформаторными подстанциями.</w:t>
      </w:r>
    </w:p>
    <w:p>
      <w:pPr>
        <w:pStyle w:val="ConsPlusNormal2"/>
        <w:ind w:left="0" w:right="0" w:firstLine="540"/>
        <w:rPr>
          <w:rFonts w:cs="Arial"/>
          <w:sz w:val="24"/>
          <w:szCs w:val="24"/>
        </w:rPr>
      </w:pPr>
      <w:r>
        <w:rPr>
          <w:rFonts w:cs="Arial"/>
          <w:sz w:val="24"/>
          <w:szCs w:val="24"/>
        </w:rPr>
        <w:t>Трассы воздушных и кабельных линий 0,38 кВ должны проходить вне пределов приквартирных участков, быть доступными для подъезда к опорам воздушных линий обслуживающего автотранспорта и позволять беспрепятственно проводить раскопку кабельных линий.</w:t>
      </w:r>
    </w:p>
    <w:p>
      <w:pPr>
        <w:pStyle w:val="ConsPlusNormal2"/>
        <w:ind w:left="0" w:right="0" w:firstLine="540"/>
        <w:rPr>
          <w:rFonts w:cs="Arial"/>
          <w:sz w:val="24"/>
          <w:szCs w:val="24"/>
        </w:rPr>
      </w:pPr>
      <w:r>
        <w:rPr>
          <w:rFonts w:cs="Arial"/>
          <w:sz w:val="24"/>
          <w:szCs w:val="24"/>
        </w:rPr>
      </w:r>
    </w:p>
    <w:p>
      <w:pPr>
        <w:pStyle w:val="Style118"/>
        <w:shd w:fill="FFFFFF" w:val="clear"/>
        <w:ind w:left="1428" w:right="0" w:hanging="0"/>
        <w:rPr/>
      </w:pPr>
      <w:r>
        <w:rPr>
          <w:rFonts w:cs="Arial" w:ascii="Arial" w:hAnsi="Arial"/>
        </w:rPr>
        <w:t xml:space="preserve">5.6. </w:t>
      </w:r>
      <w:bookmarkStart w:id="94" w:name="__RefHeading___Toc494965533"/>
      <w:bookmarkEnd w:id="94"/>
      <w:r>
        <w:rPr>
          <w:rFonts w:cs="Arial" w:ascii="Arial" w:hAnsi="Arial"/>
        </w:rPr>
        <w:t>Зона транспортной инфраструктуры.</w:t>
      </w:r>
    </w:p>
    <w:p>
      <w:pPr>
        <w:pStyle w:val="NoSpacing"/>
        <w:tabs>
          <w:tab w:val="left" w:pos="851" w:leader="none"/>
        </w:tabs>
        <w:rPr>
          <w:rFonts w:ascii="Arial" w:hAnsi="Arial" w:cs="Arial"/>
        </w:rPr>
      </w:pPr>
      <w:r>
        <w:rPr>
          <w:rFonts w:cs="Arial" w:ascii="Arial" w:hAnsi="Arial"/>
        </w:rPr>
        <w:t>5.6.1.Категории улиц и дорог сельского поселения следует назначать в соответствии с классификацией, приведенной в таблице 13</w:t>
      </w:r>
    </w:p>
    <w:p>
      <w:pPr>
        <w:pStyle w:val="ListParagraph"/>
        <w:ind w:left="1070" w:right="0" w:hanging="0"/>
        <w:jc w:val="right"/>
        <w:rPr>
          <w:rFonts w:ascii="Arial" w:hAnsi="Arial" w:cs="Arial"/>
          <w:sz w:val="24"/>
          <w:szCs w:val="24"/>
        </w:rPr>
      </w:pPr>
      <w:r>
        <w:rPr>
          <w:rFonts w:cs="Arial" w:ascii="Arial" w:hAnsi="Arial"/>
          <w:sz w:val="24"/>
          <w:szCs w:val="24"/>
        </w:rPr>
        <w:t>Таблица 13</w:t>
      </w:r>
    </w:p>
    <w:tbl>
      <w:tblPr>
        <w:tblW w:w="9414" w:type="dxa"/>
        <w:jc w:val="center"/>
        <w:tblInd w:w="0" w:type="dxa"/>
        <w:tblBorders>
          <w:top w:val="single" w:sz="2" w:space="0" w:color="00000A"/>
          <w:left w:val="single" w:sz="2" w:space="0" w:color="00000A"/>
          <w:bottom w:val="single" w:sz="2" w:space="0" w:color="00000A"/>
          <w:insideH w:val="single" w:sz="2" w:space="0" w:color="00000A"/>
        </w:tblBorders>
        <w:tblCellMar>
          <w:top w:w="0" w:type="dxa"/>
          <w:left w:w="81" w:type="dxa"/>
          <w:bottom w:w="0" w:type="dxa"/>
          <w:right w:w="84" w:type="dxa"/>
        </w:tblCellMar>
      </w:tblPr>
      <w:tblGrid>
        <w:gridCol w:w="1188"/>
        <w:gridCol w:w="1836"/>
        <w:gridCol w:w="6390"/>
      </w:tblGrid>
      <w:tr>
        <w:trPr/>
        <w:tc>
          <w:tcPr>
            <w:tcW w:w="3024" w:type="dxa"/>
            <w:gridSpan w:val="2"/>
            <w:tcBorders>
              <w:top w:val="single" w:sz="2" w:space="0" w:color="00000A"/>
              <w:left w:val="single" w:sz="2" w:space="0" w:color="00000A"/>
              <w:bottom w:val="single" w:sz="2" w:space="0" w:color="00000A"/>
              <w:insideH w:val="single" w:sz="2" w:space="0" w:color="00000A"/>
            </w:tcBorders>
            <w:shd w:fill="EEECE1" w:val="clear"/>
            <w:tcMar>
              <w:left w:w="81" w:type="dxa"/>
            </w:tcMar>
          </w:tcPr>
          <w:p>
            <w:pPr>
              <w:pStyle w:val="Style115"/>
              <w:jc w:val="center"/>
              <w:rPr>
                <w:rFonts w:ascii="Arial" w:hAnsi="Arial" w:cs="Arial"/>
                <w:b/>
                <w:b/>
              </w:rPr>
            </w:pPr>
            <w:r>
              <w:rPr>
                <w:rFonts w:cs="Arial" w:ascii="Arial" w:hAnsi="Arial"/>
                <w:b/>
              </w:rPr>
              <w:t xml:space="preserve">Категория сельских улиц и дорог сельских поселений </w:t>
            </w:r>
          </w:p>
        </w:tc>
        <w:tc>
          <w:tcPr>
            <w:tcW w:w="6390"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EEECE1" w:val="clear"/>
            <w:tcMar>
              <w:left w:w="81" w:type="dxa"/>
            </w:tcMar>
          </w:tcPr>
          <w:p>
            <w:pPr>
              <w:pStyle w:val="Style115"/>
              <w:jc w:val="center"/>
              <w:rPr>
                <w:rFonts w:ascii="Arial" w:hAnsi="Arial" w:cs="Arial"/>
                <w:b/>
                <w:b/>
              </w:rPr>
            </w:pPr>
            <w:r>
              <w:rPr>
                <w:rFonts w:cs="Arial" w:ascii="Arial" w:hAnsi="Arial"/>
                <w:b/>
              </w:rPr>
              <w:t xml:space="preserve">Основное назначение </w:t>
            </w:r>
          </w:p>
        </w:tc>
      </w:tr>
      <w:tr>
        <w:trPr/>
        <w:tc>
          <w:tcPr>
            <w:tcW w:w="3024" w:type="dxa"/>
            <w:gridSpan w:val="2"/>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Поселковая дорога  (ДПос)</w:t>
            </w:r>
          </w:p>
        </w:tc>
        <w:tc>
          <w:tcPr>
            <w:tcW w:w="6390"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rPr>
                <w:rFonts w:ascii="Arial" w:hAnsi="Arial" w:cs="Arial"/>
              </w:rPr>
            </w:pPr>
            <w:r>
              <w:rPr>
                <w:rFonts w:cs="Arial" w:ascii="Arial" w:hAnsi="Arial"/>
              </w:rPr>
              <w:t xml:space="preserve">Связь сельского поселения с внешними дорогами общей сети </w:t>
            </w:r>
          </w:p>
        </w:tc>
      </w:tr>
      <w:tr>
        <w:trPr/>
        <w:tc>
          <w:tcPr>
            <w:tcW w:w="3024" w:type="dxa"/>
            <w:gridSpan w:val="2"/>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Главная улица (Угл)</w:t>
            </w:r>
          </w:p>
        </w:tc>
        <w:tc>
          <w:tcPr>
            <w:tcW w:w="6390"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rPr>
                <w:rFonts w:ascii="Arial" w:hAnsi="Arial" w:cs="Arial"/>
              </w:rPr>
            </w:pPr>
            <w:r>
              <w:rPr>
                <w:rFonts w:cs="Arial" w:ascii="Arial" w:hAnsi="Arial"/>
              </w:rPr>
              <w:t xml:space="preserve">Связь жилых территорий с общественным центром </w:t>
            </w:r>
          </w:p>
        </w:tc>
      </w:tr>
      <w:tr>
        <w:trPr/>
        <w:tc>
          <w:tcPr>
            <w:tcW w:w="1188" w:type="dxa"/>
            <w:tcBorders>
              <w:top w:val="single" w:sz="2" w:space="0" w:color="00000A"/>
              <w:left w:val="single" w:sz="2" w:space="0" w:color="00000A"/>
            </w:tcBorders>
            <w:shd w:fill="auto" w:val="clear"/>
            <w:tcMar>
              <w:left w:w="81" w:type="dxa"/>
            </w:tcMar>
          </w:tcPr>
          <w:p>
            <w:pPr>
              <w:pStyle w:val="Style115"/>
              <w:rPr>
                <w:rFonts w:ascii="Arial" w:hAnsi="Arial" w:cs="Arial"/>
              </w:rPr>
            </w:pPr>
            <w:r>
              <w:rPr>
                <w:rFonts w:cs="Arial" w:ascii="Arial" w:hAnsi="Arial"/>
              </w:rPr>
              <w:t xml:space="preserve">Улица в жилой застройке </w:t>
            </w:r>
          </w:p>
        </w:tc>
        <w:tc>
          <w:tcPr>
            <w:tcW w:w="1836"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Основная  (УЖо)</w:t>
            </w:r>
          </w:p>
        </w:tc>
        <w:tc>
          <w:tcPr>
            <w:tcW w:w="6390"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rPr>
                <w:rFonts w:ascii="Arial" w:hAnsi="Arial" w:cs="Arial"/>
              </w:rPr>
            </w:pPr>
            <w:r>
              <w:rPr>
                <w:rFonts w:cs="Arial" w:ascii="Arial" w:hAnsi="Arial"/>
              </w:rPr>
              <w:t xml:space="preserve">Связь внутри жилых территорий и с главной улицей по направлениям с интенсивным движением </w:t>
            </w:r>
          </w:p>
        </w:tc>
      </w:tr>
      <w:tr>
        <w:trPr/>
        <w:tc>
          <w:tcPr>
            <w:tcW w:w="1188" w:type="dxa"/>
            <w:tcBorders>
              <w:left w:val="single" w:sz="2" w:space="0" w:color="00000A"/>
            </w:tcBorders>
            <w:shd w:fill="auto" w:val="clear"/>
            <w:tcMar>
              <w:left w:w="81" w:type="dxa"/>
            </w:tcMar>
          </w:tcPr>
          <w:p>
            <w:pPr>
              <w:pStyle w:val="Style115"/>
              <w:snapToGrid w:val="false"/>
              <w:rPr>
                <w:rFonts w:ascii="Arial" w:hAnsi="Arial" w:cs="Arial"/>
              </w:rPr>
            </w:pPr>
            <w:r>
              <w:rPr>
                <w:rFonts w:cs="Arial" w:ascii="Arial" w:hAnsi="Arial"/>
              </w:rPr>
            </w:r>
          </w:p>
        </w:tc>
        <w:tc>
          <w:tcPr>
            <w:tcW w:w="1836"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Второстепенная (переулок) (УЖв)</w:t>
            </w:r>
          </w:p>
        </w:tc>
        <w:tc>
          <w:tcPr>
            <w:tcW w:w="6390"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rPr>
                <w:rFonts w:ascii="Arial" w:hAnsi="Arial" w:cs="Arial"/>
              </w:rPr>
            </w:pPr>
            <w:r>
              <w:rPr>
                <w:rFonts w:cs="Arial" w:ascii="Arial" w:hAnsi="Arial"/>
              </w:rPr>
              <w:t xml:space="preserve">Связь между основными жилыми улицами </w:t>
            </w:r>
          </w:p>
        </w:tc>
      </w:tr>
      <w:tr>
        <w:trPr/>
        <w:tc>
          <w:tcPr>
            <w:tcW w:w="1188" w:type="dxa"/>
            <w:tcBorders>
              <w:left w:val="single" w:sz="2" w:space="0" w:color="00000A"/>
              <w:bottom w:val="single" w:sz="2" w:space="0" w:color="00000A"/>
              <w:insideH w:val="single" w:sz="2" w:space="0" w:color="00000A"/>
            </w:tcBorders>
            <w:shd w:fill="auto" w:val="clear"/>
            <w:tcMar>
              <w:left w:w="81" w:type="dxa"/>
            </w:tcMar>
          </w:tcPr>
          <w:p>
            <w:pPr>
              <w:pStyle w:val="Style115"/>
              <w:snapToGrid w:val="false"/>
              <w:rPr>
                <w:rFonts w:ascii="Arial" w:hAnsi="Arial" w:cs="Arial"/>
              </w:rPr>
            </w:pPr>
            <w:r>
              <w:rPr>
                <w:rFonts w:cs="Arial" w:ascii="Arial" w:hAnsi="Arial"/>
              </w:rPr>
            </w:r>
          </w:p>
        </w:tc>
        <w:tc>
          <w:tcPr>
            <w:tcW w:w="1836" w:type="dxa"/>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Проезд (Пр)</w:t>
            </w:r>
          </w:p>
        </w:tc>
        <w:tc>
          <w:tcPr>
            <w:tcW w:w="6390"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rPr>
                <w:rFonts w:ascii="Arial" w:hAnsi="Arial" w:cs="Arial"/>
              </w:rPr>
            </w:pPr>
            <w:r>
              <w:rPr>
                <w:rFonts w:cs="Arial" w:ascii="Arial" w:hAnsi="Arial"/>
              </w:rPr>
              <w:t xml:space="preserve">Связь жилых домов, расположенных в глубине квартала, с улицей </w:t>
            </w:r>
          </w:p>
        </w:tc>
      </w:tr>
      <w:tr>
        <w:trPr/>
        <w:tc>
          <w:tcPr>
            <w:tcW w:w="3024" w:type="dxa"/>
            <w:gridSpan w:val="2"/>
            <w:tcBorders>
              <w:top w:val="single" w:sz="2" w:space="0" w:color="00000A"/>
              <w:left w:val="single" w:sz="2" w:space="0" w:color="00000A"/>
              <w:bottom w:val="single" w:sz="2" w:space="0" w:color="00000A"/>
              <w:insideH w:val="single" w:sz="2" w:space="0" w:color="00000A"/>
            </w:tcBorders>
            <w:shd w:fill="auto" w:val="clear"/>
            <w:tcMar>
              <w:left w:w="81" w:type="dxa"/>
            </w:tcMar>
          </w:tcPr>
          <w:p>
            <w:pPr>
              <w:pStyle w:val="Style115"/>
              <w:rPr>
                <w:rFonts w:ascii="Arial" w:hAnsi="Arial" w:cs="Arial"/>
              </w:rPr>
            </w:pPr>
            <w:r>
              <w:rPr>
                <w:rFonts w:cs="Arial" w:ascii="Arial" w:hAnsi="Arial"/>
              </w:rPr>
              <w:t>Хозяйственный проезд, скотопрогон (Прх)</w:t>
            </w:r>
          </w:p>
        </w:tc>
        <w:tc>
          <w:tcPr>
            <w:tcW w:w="6390" w:type="dxa"/>
            <w:tcBorders>
              <w:top w:val="single" w:sz="2" w:space="0" w:color="00000A"/>
              <w:left w:val="single" w:sz="2" w:space="0" w:color="00000A"/>
              <w:bottom w:val="single" w:sz="2" w:space="0" w:color="00000A"/>
              <w:right w:val="single" w:sz="2" w:space="0" w:color="00000A"/>
              <w:insideH w:val="single" w:sz="2" w:space="0" w:color="00000A"/>
              <w:insideV w:val="single" w:sz="2" w:space="0" w:color="00000A"/>
            </w:tcBorders>
            <w:shd w:fill="auto" w:val="clear"/>
            <w:tcMar>
              <w:left w:w="81" w:type="dxa"/>
            </w:tcMar>
          </w:tcPr>
          <w:p>
            <w:pPr>
              <w:pStyle w:val="Style115"/>
              <w:rPr>
                <w:rFonts w:ascii="Arial" w:hAnsi="Arial" w:cs="Arial"/>
              </w:rPr>
            </w:pPr>
            <w:r>
              <w:rPr>
                <w:rFonts w:cs="Arial" w:ascii="Arial" w:hAnsi="Arial"/>
              </w:rPr>
              <w:t xml:space="preserve">Прогон личного скота и проезд грузового транспорта к приусадебным участкам </w:t>
            </w:r>
          </w:p>
        </w:tc>
      </w:tr>
    </w:tbl>
    <w:p>
      <w:pPr>
        <w:pStyle w:val="NoSpacing"/>
        <w:tabs>
          <w:tab w:val="left" w:pos="851" w:leader="none"/>
        </w:tabs>
        <w:ind w:left="567" w:right="0" w:hanging="0"/>
        <w:rPr>
          <w:rFonts w:ascii="Arial" w:hAnsi="Arial" w:cs="Arial"/>
          <w:sz w:val="24"/>
          <w:szCs w:val="24"/>
          <w:lang w:eastAsia="ru-RU"/>
        </w:rPr>
      </w:pPr>
      <w:r>
        <w:rPr>
          <w:rFonts w:cs="Arial" w:ascii="Arial" w:hAnsi="Arial"/>
          <w:sz w:val="24"/>
          <w:szCs w:val="24"/>
          <w:lang w:eastAsia="ru-RU"/>
        </w:rPr>
      </w:r>
    </w:p>
    <w:p>
      <w:pPr>
        <w:pStyle w:val="NoSpacing"/>
        <w:tabs>
          <w:tab w:val="left" w:pos="851" w:leader="none"/>
        </w:tabs>
        <w:rPr>
          <w:rFonts w:ascii="Arial" w:hAnsi="Arial" w:cs="Arial"/>
          <w:sz w:val="24"/>
          <w:szCs w:val="24"/>
        </w:rPr>
      </w:pPr>
      <w:r>
        <w:rPr>
          <w:rFonts w:cs="Arial" w:ascii="Arial" w:hAnsi="Arial"/>
          <w:sz w:val="24"/>
          <w:szCs w:val="24"/>
        </w:rPr>
        <w:t xml:space="preserve">5.6.2.Парковочные места автомобилей приняты с учетом приложения К СП 42.13330.2011 учитывая СП 30-102-99. Планировка и застройка территорий малоэтажного жилищного строительства. </w:t>
      </w:r>
    </w:p>
    <w:p>
      <w:pPr>
        <w:pStyle w:val="NoSpacing"/>
        <w:tabs>
          <w:tab w:val="left" w:pos="851" w:leader="none"/>
        </w:tabs>
        <w:rPr>
          <w:rFonts w:ascii="Arial" w:hAnsi="Arial" w:cs="Arial"/>
          <w:sz w:val="24"/>
          <w:szCs w:val="24"/>
        </w:rPr>
      </w:pPr>
      <w:r>
        <w:rPr>
          <w:rFonts w:cs="Arial" w:ascii="Arial" w:hAnsi="Arial"/>
          <w:sz w:val="24"/>
          <w:szCs w:val="24"/>
        </w:rPr>
        <w:t>5.6.3.Места для стоянки и хранения автомобилей лиц, работающих на производственных объектах, надлежит размещать на территории земельных участков объектов согласно пункту 5.11 СП 18.13330.2011. Генеральные планы промышленных предприятий.</w:t>
      </w:r>
    </w:p>
    <w:p>
      <w:pPr>
        <w:pStyle w:val="NoSpacing"/>
        <w:tabs>
          <w:tab w:val="left" w:pos="851" w:leader="none"/>
        </w:tabs>
        <w:rPr>
          <w:rFonts w:ascii="Arial" w:hAnsi="Arial" w:cs="Arial"/>
          <w:sz w:val="24"/>
          <w:szCs w:val="24"/>
        </w:rPr>
      </w:pPr>
      <w:r>
        <w:rPr>
          <w:rFonts w:cs="Arial" w:ascii="Arial" w:hAnsi="Arial"/>
          <w:sz w:val="24"/>
          <w:szCs w:val="24"/>
        </w:rPr>
        <w:t>5.6.4.Обеспеченность населения легковыми автомобилями   принимается, исходя из пункта 11.3 СП 42.13330.2011 и статистических данных.</w:t>
      </w:r>
    </w:p>
    <w:p>
      <w:pPr>
        <w:pStyle w:val="NoSpacing"/>
        <w:tabs>
          <w:tab w:val="left" w:pos="851" w:leader="none"/>
        </w:tabs>
        <w:rPr>
          <w:rFonts w:ascii="Arial" w:hAnsi="Arial" w:cs="Arial"/>
          <w:sz w:val="24"/>
          <w:szCs w:val="24"/>
        </w:rPr>
      </w:pPr>
      <w:r>
        <w:rPr>
          <w:rFonts w:cs="Arial" w:ascii="Arial" w:hAnsi="Arial"/>
          <w:sz w:val="24"/>
          <w:szCs w:val="24"/>
        </w:rPr>
        <w:t>5.6.5.Параметры улично-дорожной сети приняты с учетом региональных нормативов градостроительного проектирования Нижегородской области.</w:t>
      </w:r>
    </w:p>
    <w:p>
      <w:pPr>
        <w:pStyle w:val="NoSpacing"/>
        <w:tabs>
          <w:tab w:val="left" w:pos="851" w:leader="none"/>
        </w:tabs>
        <w:rPr>
          <w:rFonts w:ascii="Arial" w:hAnsi="Arial" w:cs="Arial"/>
          <w:sz w:val="24"/>
          <w:szCs w:val="24"/>
        </w:rPr>
      </w:pPr>
      <w:r>
        <w:rPr>
          <w:rFonts w:cs="Arial" w:ascii="Arial" w:hAnsi="Arial"/>
          <w:sz w:val="24"/>
          <w:szCs w:val="24"/>
        </w:rPr>
        <w:t xml:space="preserve">5.6.6.Дальность пешеходных подходов до ближайшей остановки общественного пассажирского транспорта, а также расстояние между остановочными пунктами определены с учетом СП 42.13330.2011. </w:t>
      </w:r>
    </w:p>
    <w:p>
      <w:pPr>
        <w:pStyle w:val="NoSpacing"/>
        <w:tabs>
          <w:tab w:val="left" w:pos="851" w:leader="none"/>
        </w:tabs>
        <w:rPr>
          <w:rFonts w:ascii="Arial" w:hAnsi="Arial" w:cs="Arial"/>
          <w:sz w:val="24"/>
          <w:szCs w:val="24"/>
        </w:rPr>
      </w:pPr>
      <w:r>
        <w:rPr>
          <w:rFonts w:cs="Arial" w:ascii="Arial" w:hAnsi="Arial"/>
          <w:sz w:val="24"/>
          <w:szCs w:val="24"/>
        </w:rPr>
        <w:t>5.6.7.При проектировании следует предусматривать единую систему транспорта и улично-дорожной сети в увязке с планировочной структурой населённых пунктов и прилегающих к ним территорий, обеспечивающую удобные быстрые и безопасные связи со всеми функциональными зонами, другими поселениями, объектами внешнего транспорта и автомобильными дорогами общей сети.</w:t>
      </w:r>
    </w:p>
    <w:p>
      <w:pPr>
        <w:pStyle w:val="NoSpacing"/>
        <w:tabs>
          <w:tab w:val="left" w:pos="851" w:leader="none"/>
        </w:tabs>
        <w:rPr>
          <w:rFonts w:ascii="Arial" w:hAnsi="Arial" w:cs="Arial"/>
          <w:sz w:val="24"/>
          <w:szCs w:val="24"/>
        </w:rPr>
      </w:pPr>
      <w:r>
        <w:rPr>
          <w:rFonts w:cs="Arial" w:ascii="Arial" w:hAnsi="Arial"/>
          <w:sz w:val="24"/>
          <w:szCs w:val="24"/>
        </w:rPr>
        <w:t>5.6.8.Проектирование и строительство объектов транспортной инфраструктуры должно сопровождаться экологическим обоснованием, предусматривающим количественную оценку всех видов воздействия на окружающую среду и оценку экологических последствий реализации проекта в соответствии с нормативными требованиями.</w:t>
      </w:r>
    </w:p>
    <w:p>
      <w:pPr>
        <w:pStyle w:val="NoSpacing"/>
        <w:tabs>
          <w:tab w:val="left" w:pos="851" w:leader="none"/>
        </w:tabs>
        <w:rPr>
          <w:rFonts w:ascii="Arial" w:hAnsi="Arial" w:cs="Arial"/>
          <w:sz w:val="24"/>
          <w:szCs w:val="24"/>
        </w:rPr>
      </w:pPr>
      <w:r>
        <w:rPr>
          <w:rFonts w:cs="Arial" w:ascii="Arial" w:hAnsi="Arial"/>
          <w:sz w:val="24"/>
          <w:szCs w:val="24"/>
        </w:rPr>
        <w:t>5.6.9.Планировочные и технические решения при проектировании улиц и дорог, пересечений и транспортных узлов должны обеспечивать безопасность движения транспортных средств и пешеходов, в том числе удобные и безопасные пути движения инвалидов, пользующихся колясками.</w:t>
      </w:r>
    </w:p>
    <w:p>
      <w:pPr>
        <w:pStyle w:val="NoSpacing"/>
        <w:tabs>
          <w:tab w:val="left" w:pos="851" w:leader="none"/>
        </w:tabs>
        <w:rPr>
          <w:rFonts w:ascii="Arial" w:hAnsi="Arial" w:cs="Arial"/>
          <w:sz w:val="24"/>
          <w:szCs w:val="24"/>
        </w:rPr>
      </w:pPr>
      <w:r>
        <w:rPr>
          <w:rFonts w:cs="Arial" w:ascii="Arial" w:hAnsi="Arial"/>
          <w:sz w:val="24"/>
          <w:szCs w:val="24"/>
        </w:rPr>
        <w:t>5.6.10.Конструкция дорожного покрытия должна обеспечивать установленную скорость движения транспорта в соответствии с категорией дороги.</w:t>
      </w:r>
    </w:p>
    <w:p>
      <w:pPr>
        <w:pStyle w:val="NoSpacing"/>
        <w:tabs>
          <w:tab w:val="left" w:pos="851" w:leader="none"/>
        </w:tabs>
        <w:rPr>
          <w:rFonts w:ascii="Arial" w:hAnsi="Arial" w:cs="Arial"/>
          <w:sz w:val="24"/>
          <w:szCs w:val="24"/>
        </w:rPr>
      </w:pPr>
      <w:r>
        <w:rPr>
          <w:rFonts w:cs="Arial" w:ascii="Arial" w:hAnsi="Arial"/>
          <w:sz w:val="24"/>
          <w:szCs w:val="24"/>
        </w:rPr>
        <w:t>5.6.11.Прокладку трассы автомобильных дорог следует выполнять с учетом минимального воздействия на окружающую среду.</w:t>
      </w:r>
    </w:p>
    <w:p>
      <w:pPr>
        <w:pStyle w:val="NoSpacing"/>
        <w:tabs>
          <w:tab w:val="left" w:pos="851" w:leader="none"/>
        </w:tabs>
        <w:rPr>
          <w:rFonts w:ascii="Arial" w:hAnsi="Arial" w:cs="Arial"/>
          <w:sz w:val="24"/>
          <w:szCs w:val="24"/>
        </w:rPr>
      </w:pPr>
      <w:r>
        <w:rPr>
          <w:rFonts w:cs="Arial" w:ascii="Arial" w:hAnsi="Arial"/>
          <w:sz w:val="24"/>
          <w:szCs w:val="24"/>
        </w:rPr>
        <w:t>5.6.12.На сельскохозяйственных угодьях трассы следует прокладывать по границам полей севооборота или хозяйств.</w:t>
      </w:r>
    </w:p>
    <w:p>
      <w:pPr>
        <w:pStyle w:val="NoSpacing"/>
        <w:tabs>
          <w:tab w:val="left" w:pos="851" w:leader="none"/>
        </w:tabs>
        <w:rPr>
          <w:rFonts w:ascii="Arial" w:hAnsi="Arial" w:cs="Arial"/>
          <w:sz w:val="24"/>
          <w:szCs w:val="24"/>
        </w:rPr>
      </w:pPr>
      <w:r>
        <w:rPr>
          <w:rFonts w:cs="Arial" w:ascii="Arial" w:hAnsi="Arial"/>
          <w:sz w:val="24"/>
          <w:szCs w:val="24"/>
        </w:rPr>
        <w:t>5.6.13.Вдоль рек, озер и других водных объектов трассы следует прокладывать за пределами установленных для них защитных зон.</w:t>
      </w:r>
    </w:p>
    <w:p>
      <w:pPr>
        <w:pStyle w:val="NoSpacing"/>
        <w:tabs>
          <w:tab w:val="left" w:pos="851" w:leader="none"/>
        </w:tabs>
        <w:rPr>
          <w:rFonts w:ascii="Arial" w:hAnsi="Arial" w:cs="Arial"/>
          <w:sz w:val="24"/>
          <w:szCs w:val="24"/>
        </w:rPr>
      </w:pPr>
      <w:r>
        <w:rPr>
          <w:rFonts w:cs="Arial" w:ascii="Arial" w:hAnsi="Arial"/>
          <w:sz w:val="24"/>
          <w:szCs w:val="24"/>
        </w:rPr>
        <w:t>5.6.14.В районах размещения курортов, домов отдыха, пансионатов, загородных детских учреждений и т. п. трассы следует прокладывать за пределами установленных вокруг них санитарных зон.</w:t>
      </w:r>
    </w:p>
    <w:p>
      <w:pPr>
        <w:pStyle w:val="NoSpacing"/>
        <w:tabs>
          <w:tab w:val="left" w:pos="851" w:leader="none"/>
        </w:tabs>
        <w:rPr>
          <w:rFonts w:ascii="Arial" w:hAnsi="Arial" w:cs="Arial"/>
          <w:sz w:val="24"/>
          <w:szCs w:val="24"/>
        </w:rPr>
      </w:pPr>
      <w:r>
        <w:rPr>
          <w:rFonts w:cs="Arial" w:ascii="Arial" w:hAnsi="Arial"/>
          <w:sz w:val="24"/>
          <w:szCs w:val="24"/>
        </w:rPr>
        <w:t>5.6.15.Автомобильные дороги общей сети I, II, III категорий следует проектировать в обход населенных пунктов. При обходе населенных пунктов дороги, по возможности, следует прокладывать с подветренной стороны.</w:t>
      </w:r>
    </w:p>
    <w:p>
      <w:pPr>
        <w:pStyle w:val="NoSpacing"/>
        <w:tabs>
          <w:tab w:val="left" w:pos="851" w:leader="none"/>
        </w:tabs>
        <w:rPr>
          <w:rFonts w:ascii="Arial" w:hAnsi="Arial" w:cs="Arial"/>
          <w:sz w:val="24"/>
          <w:szCs w:val="24"/>
        </w:rPr>
      </w:pPr>
      <w:r>
        <w:rPr>
          <w:rFonts w:cs="Arial" w:ascii="Arial" w:hAnsi="Arial"/>
          <w:sz w:val="24"/>
          <w:szCs w:val="24"/>
        </w:rPr>
        <w:t>5.6.16.Размер земельного участка автозаправочной станции (АЗС) принимается в соответствии с таблицей 14.</w:t>
      </w:r>
    </w:p>
    <w:p>
      <w:pPr>
        <w:pStyle w:val="ConsPlusNormal2"/>
        <w:ind w:left="2676" w:right="0" w:hanging="0"/>
        <w:jc w:val="center"/>
        <w:rPr/>
      </w:pPr>
      <w:r>
        <w:rPr>
          <w:rFonts w:cs="Arial"/>
          <w:color w:val="000000"/>
          <w:sz w:val="24"/>
          <w:szCs w:val="24"/>
        </w:rPr>
        <w:t xml:space="preserve">                                                                                     </w:t>
      </w:r>
      <w:r>
        <w:rPr>
          <w:rFonts w:cs="Arial"/>
          <w:color w:val="000000"/>
          <w:sz w:val="24"/>
          <w:szCs w:val="24"/>
        </w:rPr>
        <w:t>Таблица 14</w:t>
      </w:r>
    </w:p>
    <w:tbl>
      <w:tblPr>
        <w:tblW w:w="9100"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4167"/>
        <w:gridCol w:w="4933"/>
      </w:tblGrid>
      <w:tr>
        <w:trPr>
          <w:trHeight w:val="345" w:hRule="atLeast"/>
        </w:trPr>
        <w:tc>
          <w:tcPr>
            <w:tcW w:w="4167"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АЗС при количестве топливораздаточных колонок</w:t>
            </w:r>
          </w:p>
        </w:tc>
        <w:tc>
          <w:tcPr>
            <w:tcW w:w="493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 xml:space="preserve">Размер земельного участка, </w:t>
            </w:r>
          </w:p>
          <w:p>
            <w:pPr>
              <w:pStyle w:val="Style115"/>
              <w:jc w:val="center"/>
              <w:rPr>
                <w:rFonts w:ascii="Arial" w:hAnsi="Arial" w:cs="Arial"/>
                <w:b/>
                <w:b/>
              </w:rPr>
            </w:pPr>
            <w:r>
              <w:rPr>
                <w:rFonts w:cs="Arial" w:ascii="Arial" w:hAnsi="Arial"/>
                <w:b/>
              </w:rPr>
              <w:t>га</w:t>
            </w:r>
          </w:p>
        </w:tc>
      </w:tr>
      <w:tr>
        <w:trPr/>
        <w:tc>
          <w:tcPr>
            <w:tcW w:w="4167"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на 2 колонки</w:t>
            </w:r>
          </w:p>
        </w:tc>
        <w:tc>
          <w:tcPr>
            <w:tcW w:w="493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0,1</w:t>
            </w:r>
          </w:p>
        </w:tc>
      </w:tr>
      <w:tr>
        <w:trPr/>
        <w:tc>
          <w:tcPr>
            <w:tcW w:w="4167"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5 колонок</w:t>
            </w:r>
          </w:p>
        </w:tc>
        <w:tc>
          <w:tcPr>
            <w:tcW w:w="493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0,2</w:t>
            </w:r>
          </w:p>
        </w:tc>
      </w:tr>
    </w:tbl>
    <w:p>
      <w:pPr>
        <w:pStyle w:val="ConsPlusNormal2"/>
        <w:ind w:left="2316" w:right="0" w:hanging="0"/>
        <w:jc w:val="right"/>
        <w:rPr>
          <w:rFonts w:cs="Arial"/>
          <w:color w:val="000000"/>
          <w:sz w:val="24"/>
          <w:szCs w:val="24"/>
          <w:lang w:eastAsia="ar-SA"/>
        </w:rPr>
      </w:pPr>
      <w:r>
        <w:rPr>
          <w:rFonts w:cs="Arial"/>
          <w:color w:val="000000"/>
          <w:sz w:val="24"/>
          <w:szCs w:val="24"/>
          <w:lang w:eastAsia="ar-SA"/>
        </w:rPr>
      </w:r>
    </w:p>
    <w:p>
      <w:pPr>
        <w:pStyle w:val="NoSpacing"/>
        <w:tabs>
          <w:tab w:val="left" w:pos="851" w:leader="none"/>
        </w:tabs>
        <w:rPr>
          <w:rFonts w:ascii="Arial" w:hAnsi="Arial" w:cs="Arial"/>
          <w:sz w:val="24"/>
          <w:szCs w:val="24"/>
        </w:rPr>
      </w:pPr>
      <w:r>
        <w:rPr>
          <w:rFonts w:cs="Arial" w:ascii="Arial" w:hAnsi="Arial"/>
          <w:sz w:val="24"/>
          <w:szCs w:val="24"/>
        </w:rPr>
        <w:t>5.6.17.Расстояния от АЗС с подземными резервуарами для хранения жидкого топлива и автомобильных газонаполнительных станций до границ земельных участков детских дошкольных учреждений, общеобразовательных школ, школ-интернатов, лечебных учреждений со стационаром или до стен жилых и других общественных зданий и сооружений следует принимать не менее 100 метров. Указанное расстояние следует определять от топливораздаточных колонок и подземных резервуаров для хранения жидкого топлива.</w:t>
      </w:r>
    </w:p>
    <w:p>
      <w:pPr>
        <w:pStyle w:val="NoSpacing"/>
        <w:tabs>
          <w:tab w:val="left" w:pos="851" w:leader="none"/>
        </w:tabs>
        <w:rPr>
          <w:rFonts w:ascii="Arial" w:hAnsi="Arial" w:cs="Arial"/>
          <w:sz w:val="24"/>
          <w:szCs w:val="24"/>
        </w:rPr>
      </w:pPr>
      <w:r>
        <w:rPr>
          <w:rFonts w:cs="Arial" w:ascii="Arial" w:hAnsi="Arial"/>
          <w:sz w:val="24"/>
          <w:szCs w:val="24"/>
        </w:rPr>
        <w:t>5.6.18.Расстояния от АЗС, предназначенных для заправки только легковых автомобилей в количестве не более 500 машин в сутки, до указанных объектов допускается уменьшать, но принимать не менее 50 метров.</w:t>
      </w:r>
    </w:p>
    <w:p>
      <w:pPr>
        <w:pStyle w:val="NoSpacing"/>
        <w:tabs>
          <w:tab w:val="left" w:pos="851" w:leader="none"/>
        </w:tabs>
        <w:rPr>
          <w:rFonts w:ascii="Arial" w:hAnsi="Arial" w:cs="Arial"/>
          <w:sz w:val="24"/>
          <w:szCs w:val="24"/>
        </w:rPr>
      </w:pPr>
      <w:r>
        <w:rPr>
          <w:rFonts w:cs="Arial" w:ascii="Arial" w:hAnsi="Arial"/>
          <w:sz w:val="24"/>
          <w:szCs w:val="24"/>
        </w:rPr>
        <w:t>5.6.19.Запрещается размещать автозаправочные и газонаполнительные станции и другие источники повышенной опасности на расстоянии менее 25 метров от посадочных, разворотных и отстойно-разворотных площадок пассажирского транспорта, пешеходных переходов.</w:t>
      </w:r>
    </w:p>
    <w:p>
      <w:pPr>
        <w:pStyle w:val="NoSpacing"/>
        <w:tabs>
          <w:tab w:val="left" w:pos="851" w:leader="none"/>
        </w:tabs>
        <w:rPr>
          <w:rFonts w:ascii="Arial" w:hAnsi="Arial" w:cs="Arial"/>
          <w:sz w:val="24"/>
          <w:szCs w:val="24"/>
        </w:rPr>
      </w:pPr>
      <w:r>
        <w:rPr>
          <w:rFonts w:cs="Arial" w:ascii="Arial" w:hAnsi="Arial"/>
          <w:sz w:val="24"/>
          <w:szCs w:val="24"/>
        </w:rPr>
        <w:t>5.6.20.Мощность автозаправочных станций АЗС и расстояние между ними вне пределов населенных пунктов на автомобильных дорогах с различной интенсивностью движения принимается в соответствии с таблицей 15.</w:t>
      </w:r>
    </w:p>
    <w:p>
      <w:pPr>
        <w:pStyle w:val="NoSpacing"/>
        <w:ind w:left="2676" w:right="0" w:hanging="0"/>
        <w:jc w:val="right"/>
        <w:rPr>
          <w:rFonts w:ascii="Arial" w:hAnsi="Arial" w:cs="Arial"/>
          <w:sz w:val="24"/>
          <w:szCs w:val="24"/>
        </w:rPr>
      </w:pPr>
      <w:r>
        <w:rPr>
          <w:rFonts w:cs="Arial" w:ascii="Arial" w:hAnsi="Arial"/>
          <w:sz w:val="24"/>
          <w:szCs w:val="24"/>
        </w:rPr>
        <w:t>Таблица 15</w:t>
      </w:r>
    </w:p>
    <w:tbl>
      <w:tblPr>
        <w:tblW w:w="9464"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2467"/>
        <w:gridCol w:w="2400"/>
        <w:gridCol w:w="2386"/>
        <w:gridCol w:w="2211"/>
      </w:tblGrid>
      <w:tr>
        <w:trPr/>
        <w:tc>
          <w:tcPr>
            <w:tcW w:w="2467"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 xml:space="preserve">Интенсивность движения, </w:t>
            </w:r>
          </w:p>
          <w:p>
            <w:pPr>
              <w:pStyle w:val="Style115"/>
              <w:jc w:val="center"/>
              <w:rPr>
                <w:rFonts w:ascii="Arial" w:hAnsi="Arial" w:cs="Arial"/>
                <w:b/>
                <w:b/>
              </w:rPr>
            </w:pPr>
            <w:r>
              <w:rPr>
                <w:rFonts w:cs="Arial" w:ascii="Arial" w:hAnsi="Arial"/>
                <w:b/>
              </w:rPr>
              <w:t>трансп. ед./сут</w:t>
            </w:r>
          </w:p>
        </w:tc>
        <w:tc>
          <w:tcPr>
            <w:tcW w:w="2400"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Мощность АЗС, заправок в сутки</w:t>
            </w:r>
          </w:p>
        </w:tc>
        <w:tc>
          <w:tcPr>
            <w:tcW w:w="2386"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Расстояние между АЗС, км</w:t>
            </w:r>
          </w:p>
        </w:tc>
        <w:tc>
          <w:tcPr>
            <w:tcW w:w="221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Размещение АЗС</w:t>
            </w:r>
          </w:p>
        </w:tc>
      </w:tr>
      <w:tr>
        <w:trPr/>
        <w:tc>
          <w:tcPr>
            <w:tcW w:w="2467"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Свыше 1000 до 2000</w:t>
            </w:r>
          </w:p>
        </w:tc>
        <w:tc>
          <w:tcPr>
            <w:tcW w:w="2400"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250</w:t>
            </w:r>
          </w:p>
        </w:tc>
        <w:tc>
          <w:tcPr>
            <w:tcW w:w="2386"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30-40</w:t>
            </w:r>
          </w:p>
        </w:tc>
        <w:tc>
          <w:tcPr>
            <w:tcW w:w="221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Одностороннее</w:t>
            </w:r>
          </w:p>
        </w:tc>
      </w:tr>
      <w:tr>
        <w:trPr/>
        <w:tc>
          <w:tcPr>
            <w:tcW w:w="2467"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Свыше 2000 до 3000</w:t>
            </w:r>
          </w:p>
        </w:tc>
        <w:tc>
          <w:tcPr>
            <w:tcW w:w="2400"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500</w:t>
            </w:r>
          </w:p>
        </w:tc>
        <w:tc>
          <w:tcPr>
            <w:tcW w:w="2386"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40-50</w:t>
            </w:r>
          </w:p>
        </w:tc>
        <w:tc>
          <w:tcPr>
            <w:tcW w:w="221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Одностороннее</w:t>
            </w:r>
          </w:p>
        </w:tc>
      </w:tr>
      <w:tr>
        <w:trPr/>
        <w:tc>
          <w:tcPr>
            <w:tcW w:w="2467"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Свыше 3000 до 5000</w:t>
            </w:r>
          </w:p>
        </w:tc>
        <w:tc>
          <w:tcPr>
            <w:tcW w:w="2400"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750</w:t>
            </w:r>
          </w:p>
        </w:tc>
        <w:tc>
          <w:tcPr>
            <w:tcW w:w="2386"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40-50</w:t>
            </w:r>
          </w:p>
        </w:tc>
        <w:tc>
          <w:tcPr>
            <w:tcW w:w="221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Одностороннее</w:t>
            </w:r>
          </w:p>
        </w:tc>
      </w:tr>
    </w:tbl>
    <w:p>
      <w:pPr>
        <w:pStyle w:val="NoSpacing"/>
        <w:ind w:left="567" w:right="0" w:hanging="0"/>
        <w:rPr>
          <w:rFonts w:ascii="Arial" w:hAnsi="Arial" w:cs="Arial"/>
          <w:i/>
          <w:i/>
          <w:sz w:val="24"/>
          <w:szCs w:val="24"/>
        </w:rPr>
      </w:pPr>
      <w:r>
        <w:rPr>
          <w:rFonts w:cs="Arial" w:ascii="Arial" w:hAnsi="Arial"/>
          <w:i/>
          <w:sz w:val="24"/>
          <w:szCs w:val="24"/>
        </w:rPr>
        <w:t xml:space="preserve">Примечание:  </w:t>
      </w:r>
    </w:p>
    <w:p>
      <w:pPr>
        <w:pStyle w:val="NoSpacing"/>
        <w:ind w:left="567" w:right="0" w:hanging="0"/>
        <w:rPr>
          <w:rFonts w:ascii="Arial" w:hAnsi="Arial" w:cs="Arial"/>
          <w:i/>
          <w:i/>
          <w:sz w:val="24"/>
          <w:szCs w:val="24"/>
        </w:rPr>
      </w:pPr>
      <w:r>
        <w:rPr>
          <w:rFonts w:cs="Arial" w:ascii="Arial" w:hAnsi="Arial"/>
          <w:i/>
          <w:sz w:val="24"/>
          <w:szCs w:val="24"/>
        </w:rPr>
        <w:t>АЗС следует размещать:</w:t>
      </w:r>
    </w:p>
    <w:p>
      <w:pPr>
        <w:pStyle w:val="NoSpacing"/>
        <w:ind w:left="567" w:right="0" w:hanging="0"/>
        <w:rPr>
          <w:rFonts w:ascii="Arial" w:hAnsi="Arial" w:cs="Arial"/>
          <w:i/>
          <w:i/>
          <w:sz w:val="24"/>
          <w:szCs w:val="24"/>
        </w:rPr>
      </w:pPr>
      <w:r>
        <w:rPr>
          <w:rFonts w:cs="Arial" w:ascii="Arial" w:hAnsi="Arial"/>
          <w:i/>
          <w:sz w:val="24"/>
          <w:szCs w:val="24"/>
        </w:rPr>
        <w:t>в придорожных полосах на участках дорог с уклоном не более 40‰, на кривых в плане радиусом более 1000 м, на выпуклых кривых в продольном профиле радиусом более 10000 м;</w:t>
      </w:r>
    </w:p>
    <w:p>
      <w:pPr>
        <w:pStyle w:val="NoSpacing"/>
        <w:ind w:left="567" w:right="0" w:hanging="0"/>
        <w:rPr>
          <w:rFonts w:ascii="Arial" w:hAnsi="Arial" w:cs="Arial"/>
          <w:i/>
          <w:i/>
          <w:sz w:val="24"/>
          <w:szCs w:val="24"/>
        </w:rPr>
      </w:pPr>
      <w:r>
        <w:rPr>
          <w:rFonts w:cs="Arial" w:ascii="Arial" w:hAnsi="Arial"/>
          <w:i/>
          <w:sz w:val="24"/>
          <w:szCs w:val="24"/>
        </w:rPr>
        <w:t>не ближе 250 м. от железнодорожных переездов, не ближе 1000 м от мостовых переходов, на участках с насыпями высотой не более 2 м.</w:t>
      </w:r>
    </w:p>
    <w:p>
      <w:pPr>
        <w:pStyle w:val="NoSpacing"/>
        <w:tabs>
          <w:tab w:val="left" w:pos="851" w:leader="none"/>
        </w:tabs>
        <w:rPr>
          <w:rFonts w:ascii="Arial" w:hAnsi="Arial" w:cs="Arial"/>
          <w:sz w:val="24"/>
          <w:szCs w:val="24"/>
        </w:rPr>
      </w:pPr>
      <w:r>
        <w:rPr>
          <w:rFonts w:cs="Arial" w:ascii="Arial" w:hAnsi="Arial"/>
          <w:sz w:val="24"/>
          <w:szCs w:val="24"/>
        </w:rPr>
        <w:t>5.6.21.Размер земельного участка станции технического обслуживания (СТО) принимается в соответствии с таблицей 16</w:t>
      </w:r>
    </w:p>
    <w:p>
      <w:pPr>
        <w:pStyle w:val="NoSpacing"/>
        <w:ind w:left="2316" w:right="0" w:hanging="0"/>
        <w:jc w:val="right"/>
        <w:rPr/>
      </w:pPr>
      <w:r>
        <w:rPr>
          <w:rFonts w:eastAsia="Arial" w:cs="Arial" w:ascii="Arial" w:hAnsi="Arial"/>
          <w:sz w:val="24"/>
          <w:szCs w:val="24"/>
        </w:rPr>
        <w:t xml:space="preserve">                                                                                </w:t>
      </w:r>
      <w:r>
        <w:rPr>
          <w:rFonts w:cs="Arial" w:ascii="Arial" w:hAnsi="Arial"/>
          <w:sz w:val="24"/>
          <w:szCs w:val="24"/>
        </w:rPr>
        <w:t>Таблица 16</w:t>
      </w:r>
    </w:p>
    <w:tbl>
      <w:tblPr>
        <w:tblW w:w="9506" w:type="dxa"/>
        <w:jc w:val="left"/>
        <w:tblInd w:w="387"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4922"/>
        <w:gridCol w:w="4584"/>
      </w:tblGrid>
      <w:tr>
        <w:trPr>
          <w:trHeight w:val="345" w:hRule="atLeast"/>
        </w:trPr>
        <w:tc>
          <w:tcPr>
            <w:tcW w:w="4922"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СТО при количестве постов</w:t>
            </w:r>
          </w:p>
        </w:tc>
        <w:tc>
          <w:tcPr>
            <w:tcW w:w="458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Размер земельного участка, га</w:t>
            </w:r>
          </w:p>
        </w:tc>
      </w:tr>
      <w:tr>
        <w:trPr/>
        <w:tc>
          <w:tcPr>
            <w:tcW w:w="492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на 10 постов</w:t>
            </w:r>
          </w:p>
        </w:tc>
        <w:tc>
          <w:tcPr>
            <w:tcW w:w="458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1</w:t>
            </w:r>
          </w:p>
        </w:tc>
      </w:tr>
      <w:tr>
        <w:trPr/>
        <w:tc>
          <w:tcPr>
            <w:tcW w:w="4922"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15 постов</w:t>
            </w:r>
          </w:p>
        </w:tc>
        <w:tc>
          <w:tcPr>
            <w:tcW w:w="458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1,5</w:t>
            </w:r>
          </w:p>
        </w:tc>
      </w:tr>
    </w:tbl>
    <w:p>
      <w:pPr>
        <w:pStyle w:val="NoSpacing"/>
        <w:ind w:left="2676" w:right="0" w:hanging="0"/>
        <w:jc w:val="center"/>
        <w:rPr>
          <w:rFonts w:ascii="Arial" w:hAnsi="Arial" w:cs="Arial"/>
          <w:sz w:val="24"/>
          <w:szCs w:val="24"/>
          <w:lang w:eastAsia="ru-RU"/>
        </w:rPr>
      </w:pPr>
      <w:r>
        <w:rPr>
          <w:rFonts w:cs="Arial" w:ascii="Arial" w:hAnsi="Arial"/>
          <w:sz w:val="24"/>
          <w:szCs w:val="24"/>
          <w:lang w:eastAsia="ru-RU"/>
        </w:rPr>
      </w:r>
    </w:p>
    <w:p>
      <w:pPr>
        <w:pStyle w:val="NoSpacing"/>
        <w:ind w:left="567" w:right="0" w:hanging="0"/>
        <w:rPr>
          <w:rFonts w:ascii="Arial" w:hAnsi="Arial" w:cs="Arial"/>
          <w:i/>
          <w:i/>
          <w:sz w:val="24"/>
          <w:szCs w:val="24"/>
        </w:rPr>
      </w:pPr>
      <w:r>
        <w:rPr>
          <w:rFonts w:cs="Arial" w:ascii="Arial" w:hAnsi="Arial"/>
          <w:i/>
          <w:sz w:val="24"/>
          <w:szCs w:val="24"/>
        </w:rPr>
        <w:t xml:space="preserve">Примечание:  </w:t>
      </w:r>
    </w:p>
    <w:p>
      <w:pPr>
        <w:pStyle w:val="NoSpacing"/>
        <w:ind w:left="567" w:right="0" w:hanging="0"/>
        <w:rPr/>
      </w:pPr>
      <w:r>
        <w:rPr>
          <w:rFonts w:cs="Arial" w:ascii="Arial" w:hAnsi="Arial"/>
          <w:i/>
          <w:sz w:val="24"/>
          <w:szCs w:val="24"/>
        </w:rPr>
        <w:t>Один пост на 200 автомобилей</w:t>
      </w:r>
      <w:r>
        <w:rPr>
          <w:rFonts w:cs="Arial" w:ascii="Arial" w:hAnsi="Arial"/>
          <w:sz w:val="24"/>
          <w:szCs w:val="24"/>
        </w:rPr>
        <w:t>.</w:t>
      </w:r>
    </w:p>
    <w:p>
      <w:pPr>
        <w:pStyle w:val="NoSpacing"/>
        <w:tabs>
          <w:tab w:val="left" w:pos="851" w:leader="none"/>
        </w:tabs>
        <w:rPr>
          <w:rFonts w:ascii="Arial" w:hAnsi="Arial" w:cs="Arial"/>
          <w:sz w:val="24"/>
          <w:szCs w:val="24"/>
        </w:rPr>
      </w:pPr>
      <w:r>
        <w:rPr>
          <w:rFonts w:cs="Arial" w:ascii="Arial" w:hAnsi="Arial"/>
          <w:sz w:val="24"/>
          <w:szCs w:val="24"/>
        </w:rPr>
        <w:t>5.6.22.Мощность станций технического обслуживания автомобилей и расстояние между ними вне пределов населенных пунктов на автомобильных дорогах с различной интенсивностью движения принимается в соответствии с таблицей 17.</w:t>
      </w:r>
    </w:p>
    <w:p>
      <w:pPr>
        <w:pStyle w:val="NoSpacing"/>
        <w:ind w:left="8348" w:right="0" w:firstLine="160"/>
        <w:jc w:val="center"/>
        <w:rPr>
          <w:rFonts w:ascii="Arial" w:hAnsi="Arial" w:cs="Arial"/>
          <w:sz w:val="24"/>
          <w:szCs w:val="24"/>
        </w:rPr>
      </w:pPr>
      <w:r>
        <w:rPr>
          <w:rFonts w:cs="Arial" w:ascii="Arial" w:hAnsi="Arial"/>
          <w:sz w:val="24"/>
          <w:szCs w:val="24"/>
        </w:rPr>
        <w:t>Таблица 17</w:t>
      </w:r>
    </w:p>
    <w:tbl>
      <w:tblPr>
        <w:tblW w:w="9403"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1743"/>
        <w:gridCol w:w="1134"/>
        <w:gridCol w:w="1089"/>
        <w:gridCol w:w="1200"/>
        <w:gridCol w:w="1201"/>
        <w:gridCol w:w="1134"/>
        <w:gridCol w:w="1902"/>
      </w:tblGrid>
      <w:tr>
        <w:trPr/>
        <w:tc>
          <w:tcPr>
            <w:tcW w:w="1743" w:type="dxa"/>
            <w:vMerge w:val="restart"/>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 xml:space="preserve">Интенсив-ность движения, </w:t>
            </w:r>
          </w:p>
          <w:p>
            <w:pPr>
              <w:pStyle w:val="Style115"/>
              <w:jc w:val="center"/>
              <w:rPr>
                <w:rFonts w:ascii="Arial" w:hAnsi="Arial" w:cs="Arial"/>
                <w:b/>
                <w:b/>
              </w:rPr>
            </w:pPr>
            <w:r>
              <w:rPr>
                <w:rFonts w:cs="Arial" w:ascii="Arial" w:hAnsi="Arial"/>
                <w:b/>
              </w:rPr>
              <w:t>трансп. ед./сут</w:t>
            </w:r>
          </w:p>
        </w:tc>
        <w:tc>
          <w:tcPr>
            <w:tcW w:w="5758" w:type="dxa"/>
            <w:gridSpan w:val="5"/>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 xml:space="preserve">Число постов на СТО </w:t>
            </w:r>
          </w:p>
          <w:p>
            <w:pPr>
              <w:pStyle w:val="Style115"/>
              <w:jc w:val="center"/>
              <w:rPr>
                <w:rFonts w:ascii="Arial" w:hAnsi="Arial" w:cs="Arial"/>
                <w:b/>
                <w:b/>
              </w:rPr>
            </w:pPr>
            <w:r>
              <w:rPr>
                <w:rFonts w:cs="Arial" w:ascii="Arial" w:hAnsi="Arial"/>
                <w:b/>
              </w:rPr>
              <w:t>в зависимости от расстояния между ними, км</w:t>
            </w:r>
          </w:p>
        </w:tc>
        <w:tc>
          <w:tcPr>
            <w:tcW w:w="1902" w:type="dxa"/>
            <w:vMerge w:val="restart"/>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Размещение СТО</w:t>
            </w:r>
          </w:p>
        </w:tc>
      </w:tr>
      <w:tr>
        <w:trPr/>
        <w:tc>
          <w:tcPr>
            <w:tcW w:w="1743" w:type="dxa"/>
            <w:vMerge w:val="continue"/>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napToGrid w:val="false"/>
              <w:spacing w:lineRule="auto" w:line="240" w:before="0" w:after="0"/>
              <w:rPr>
                <w:rFonts w:ascii="Arial" w:hAnsi="Arial" w:eastAsia="Times New Roman" w:cs="Arial"/>
                <w:b/>
                <w:b/>
                <w:color w:val="000000"/>
                <w:sz w:val="24"/>
                <w:szCs w:val="24"/>
                <w:lang w:eastAsia="ru-RU"/>
              </w:rPr>
            </w:pPr>
            <w:r>
              <w:rPr>
                <w:rFonts w:eastAsia="Times New Roman" w:cs="Arial" w:ascii="Arial" w:hAnsi="Arial"/>
                <w:b/>
                <w:color w:val="000000"/>
                <w:sz w:val="24"/>
                <w:szCs w:val="24"/>
                <w:lang w:eastAsia="ru-RU"/>
              </w:rPr>
            </w:r>
          </w:p>
        </w:tc>
        <w:tc>
          <w:tcPr>
            <w:tcW w:w="1134"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80</w:t>
            </w:r>
          </w:p>
        </w:tc>
        <w:tc>
          <w:tcPr>
            <w:tcW w:w="1089"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100</w:t>
            </w:r>
          </w:p>
        </w:tc>
        <w:tc>
          <w:tcPr>
            <w:tcW w:w="1200"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150</w:t>
            </w:r>
          </w:p>
        </w:tc>
        <w:tc>
          <w:tcPr>
            <w:tcW w:w="1201"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200</w:t>
            </w:r>
          </w:p>
        </w:tc>
        <w:tc>
          <w:tcPr>
            <w:tcW w:w="1134"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250</w:t>
            </w:r>
          </w:p>
        </w:tc>
        <w:tc>
          <w:tcPr>
            <w:tcW w:w="1902" w:type="dxa"/>
            <w:vMerge w:val="continue"/>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Normal"/>
              <w:snapToGrid w:val="false"/>
              <w:spacing w:lineRule="auto" w:line="240" w:before="0" w:after="0"/>
              <w:rPr>
                <w:rFonts w:ascii="Arial" w:hAnsi="Arial" w:eastAsia="Times New Roman" w:cs="Arial"/>
                <w:b/>
                <w:b/>
                <w:color w:val="000000"/>
                <w:sz w:val="24"/>
                <w:szCs w:val="24"/>
                <w:lang w:eastAsia="ru-RU"/>
              </w:rPr>
            </w:pPr>
            <w:r>
              <w:rPr>
                <w:rFonts w:eastAsia="Times New Roman" w:cs="Arial" w:ascii="Arial" w:hAnsi="Arial"/>
                <w:b/>
                <w:color w:val="000000"/>
                <w:sz w:val="24"/>
                <w:szCs w:val="24"/>
                <w:lang w:eastAsia="ru-RU"/>
              </w:rPr>
            </w:r>
          </w:p>
        </w:tc>
      </w:tr>
      <w:tr>
        <w:trPr/>
        <w:tc>
          <w:tcPr>
            <w:tcW w:w="1743"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1000</w:t>
            </w:r>
          </w:p>
        </w:tc>
        <w:tc>
          <w:tcPr>
            <w:tcW w:w="1134"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1</w:t>
            </w:r>
          </w:p>
        </w:tc>
        <w:tc>
          <w:tcPr>
            <w:tcW w:w="1089"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1</w:t>
            </w:r>
          </w:p>
        </w:tc>
        <w:tc>
          <w:tcPr>
            <w:tcW w:w="1200"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1</w:t>
            </w:r>
          </w:p>
        </w:tc>
        <w:tc>
          <w:tcPr>
            <w:tcW w:w="1201"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2</w:t>
            </w:r>
          </w:p>
        </w:tc>
        <w:tc>
          <w:tcPr>
            <w:tcW w:w="1134"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3</w:t>
            </w:r>
          </w:p>
        </w:tc>
        <w:tc>
          <w:tcPr>
            <w:tcW w:w="1902" w:type="dxa"/>
            <w:vMerge w:val="restart"/>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Одностороннее</w:t>
            </w:r>
          </w:p>
        </w:tc>
      </w:tr>
      <w:tr>
        <w:trPr/>
        <w:tc>
          <w:tcPr>
            <w:tcW w:w="1743"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2000</w:t>
            </w:r>
          </w:p>
        </w:tc>
        <w:tc>
          <w:tcPr>
            <w:tcW w:w="1134"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1</w:t>
            </w:r>
          </w:p>
        </w:tc>
        <w:tc>
          <w:tcPr>
            <w:tcW w:w="1089"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2</w:t>
            </w:r>
          </w:p>
        </w:tc>
        <w:tc>
          <w:tcPr>
            <w:tcW w:w="1200"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2</w:t>
            </w:r>
          </w:p>
        </w:tc>
        <w:tc>
          <w:tcPr>
            <w:tcW w:w="1201"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3</w:t>
            </w:r>
          </w:p>
        </w:tc>
        <w:tc>
          <w:tcPr>
            <w:tcW w:w="1134"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3</w:t>
            </w:r>
          </w:p>
        </w:tc>
        <w:tc>
          <w:tcPr>
            <w:tcW w:w="1902" w:type="dxa"/>
            <w:vMerge w:val="continue"/>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0"/>
              <w:rPr>
                <w:rFonts w:ascii="Arial" w:hAnsi="Arial" w:eastAsia="Times New Roman" w:cs="Arial"/>
                <w:color w:val="000000"/>
                <w:sz w:val="24"/>
                <w:szCs w:val="24"/>
                <w:lang w:eastAsia="ru-RU"/>
              </w:rPr>
            </w:pPr>
            <w:r>
              <w:rPr>
                <w:rFonts w:eastAsia="Times New Roman" w:cs="Arial" w:ascii="Arial" w:hAnsi="Arial"/>
                <w:color w:val="000000"/>
                <w:sz w:val="24"/>
                <w:szCs w:val="24"/>
                <w:lang w:eastAsia="ru-RU"/>
              </w:rPr>
            </w:r>
          </w:p>
        </w:tc>
      </w:tr>
      <w:tr>
        <w:trPr/>
        <w:tc>
          <w:tcPr>
            <w:tcW w:w="1743"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3000</w:t>
            </w:r>
          </w:p>
        </w:tc>
        <w:tc>
          <w:tcPr>
            <w:tcW w:w="1134"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2</w:t>
            </w:r>
          </w:p>
        </w:tc>
        <w:tc>
          <w:tcPr>
            <w:tcW w:w="1089"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2</w:t>
            </w:r>
          </w:p>
        </w:tc>
        <w:tc>
          <w:tcPr>
            <w:tcW w:w="1200"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3</w:t>
            </w:r>
          </w:p>
        </w:tc>
        <w:tc>
          <w:tcPr>
            <w:tcW w:w="1201"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3</w:t>
            </w:r>
          </w:p>
        </w:tc>
        <w:tc>
          <w:tcPr>
            <w:tcW w:w="1134"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5</w:t>
            </w:r>
          </w:p>
        </w:tc>
        <w:tc>
          <w:tcPr>
            <w:tcW w:w="1902" w:type="dxa"/>
            <w:vMerge w:val="continue"/>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Normal"/>
              <w:snapToGrid w:val="false"/>
              <w:spacing w:lineRule="auto" w:line="240" w:before="0" w:after="0"/>
              <w:rPr>
                <w:rFonts w:ascii="Arial" w:hAnsi="Arial" w:eastAsia="Times New Roman" w:cs="Arial"/>
                <w:color w:val="000000"/>
                <w:sz w:val="24"/>
                <w:szCs w:val="24"/>
                <w:lang w:eastAsia="ru-RU"/>
              </w:rPr>
            </w:pPr>
            <w:r>
              <w:rPr>
                <w:rFonts w:eastAsia="Times New Roman" w:cs="Arial" w:ascii="Arial" w:hAnsi="Arial"/>
                <w:color w:val="000000"/>
                <w:sz w:val="24"/>
                <w:szCs w:val="24"/>
                <w:lang w:eastAsia="ru-RU"/>
              </w:rPr>
            </w:r>
          </w:p>
        </w:tc>
      </w:tr>
    </w:tbl>
    <w:p>
      <w:pPr>
        <w:pStyle w:val="NoSpacing"/>
        <w:tabs>
          <w:tab w:val="left" w:pos="851" w:leader="none"/>
        </w:tabs>
        <w:rPr>
          <w:rFonts w:ascii="Arial" w:hAnsi="Arial" w:cs="Arial"/>
          <w:sz w:val="24"/>
          <w:szCs w:val="24"/>
        </w:rPr>
      </w:pPr>
      <w:r>
        <w:rPr>
          <w:rFonts w:cs="Arial" w:ascii="Arial" w:hAnsi="Arial"/>
          <w:sz w:val="24"/>
          <w:szCs w:val="24"/>
        </w:rPr>
        <w:t>5.6.23.Расстояние от станций технического обслуживания автомобилей до жилых домов, участков общеобразовательных школ, детских дошкольных и лечебных учреждений принимается в соответствии с таблицей 18.</w:t>
      </w:r>
    </w:p>
    <w:p>
      <w:pPr>
        <w:pStyle w:val="NoSpacing"/>
        <w:ind w:left="2676" w:right="0" w:hanging="0"/>
        <w:jc w:val="right"/>
        <w:rPr>
          <w:rFonts w:ascii="Arial" w:hAnsi="Arial" w:cs="Arial"/>
          <w:sz w:val="24"/>
          <w:szCs w:val="24"/>
        </w:rPr>
      </w:pPr>
      <w:r>
        <w:rPr>
          <w:rFonts w:cs="Arial" w:ascii="Arial" w:hAnsi="Arial"/>
          <w:sz w:val="24"/>
          <w:szCs w:val="24"/>
        </w:rPr>
        <w:t>Таблица 18</w:t>
      </w:r>
    </w:p>
    <w:tbl>
      <w:tblPr>
        <w:tblW w:w="9437"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4473"/>
        <w:gridCol w:w="2316"/>
        <w:gridCol w:w="2648"/>
      </w:tblGrid>
      <w:tr>
        <w:trPr/>
        <w:tc>
          <w:tcPr>
            <w:tcW w:w="4473" w:type="dxa"/>
            <w:vMerge w:val="restart"/>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Здания, участки</w:t>
            </w:r>
          </w:p>
        </w:tc>
        <w:tc>
          <w:tcPr>
            <w:tcW w:w="4964" w:type="dxa"/>
            <w:gridSpan w:val="2"/>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tcPr>
          <w:p>
            <w:pPr>
              <w:pStyle w:val="Style115"/>
              <w:jc w:val="center"/>
              <w:rPr>
                <w:rFonts w:ascii="Arial" w:hAnsi="Arial" w:cs="Arial"/>
                <w:b/>
                <w:b/>
              </w:rPr>
            </w:pPr>
            <w:r>
              <w:rPr>
                <w:rFonts w:cs="Arial" w:ascii="Arial" w:hAnsi="Arial"/>
                <w:b/>
              </w:rPr>
              <w:t xml:space="preserve">Расстояние, м. </w:t>
            </w:r>
          </w:p>
          <w:p>
            <w:pPr>
              <w:pStyle w:val="Style115"/>
              <w:jc w:val="center"/>
              <w:rPr>
                <w:rFonts w:ascii="Arial" w:hAnsi="Arial" w:cs="Arial"/>
                <w:b/>
                <w:b/>
              </w:rPr>
            </w:pPr>
            <w:r>
              <w:rPr>
                <w:rFonts w:cs="Arial" w:ascii="Arial" w:hAnsi="Arial"/>
                <w:b/>
              </w:rPr>
              <w:t xml:space="preserve">от станций технического обслуживания </w:t>
            </w:r>
          </w:p>
          <w:p>
            <w:pPr>
              <w:pStyle w:val="Style115"/>
              <w:jc w:val="center"/>
              <w:rPr>
                <w:rFonts w:ascii="Arial" w:hAnsi="Arial" w:cs="Arial"/>
                <w:b/>
                <w:b/>
              </w:rPr>
            </w:pPr>
            <w:r>
              <w:rPr>
                <w:rFonts w:cs="Arial" w:ascii="Arial" w:hAnsi="Arial"/>
                <w:b/>
              </w:rPr>
              <w:t>при числе постов</w:t>
            </w:r>
          </w:p>
        </w:tc>
      </w:tr>
      <w:tr>
        <w:trPr/>
        <w:tc>
          <w:tcPr>
            <w:tcW w:w="4473" w:type="dxa"/>
            <w:vMerge w:val="continue"/>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Normal"/>
              <w:snapToGrid w:val="false"/>
              <w:spacing w:lineRule="auto" w:line="240" w:before="0" w:after="0"/>
              <w:rPr>
                <w:rFonts w:ascii="Arial" w:hAnsi="Arial" w:eastAsia="Times New Roman" w:cs="Arial"/>
                <w:b/>
                <w:b/>
                <w:color w:val="000000"/>
                <w:sz w:val="24"/>
                <w:szCs w:val="24"/>
                <w:lang w:eastAsia="ru-RU"/>
              </w:rPr>
            </w:pPr>
            <w:r>
              <w:rPr>
                <w:rFonts w:eastAsia="Times New Roman" w:cs="Arial" w:ascii="Arial" w:hAnsi="Arial"/>
                <w:b/>
                <w:color w:val="000000"/>
                <w:sz w:val="24"/>
                <w:szCs w:val="24"/>
                <w:lang w:eastAsia="ru-RU"/>
              </w:rPr>
            </w:r>
          </w:p>
        </w:tc>
        <w:tc>
          <w:tcPr>
            <w:tcW w:w="2316" w:type="dxa"/>
            <w:tcBorders>
              <w:top w:val="single" w:sz="4" w:space="0" w:color="000001"/>
              <w:left w:val="single" w:sz="4" w:space="0" w:color="000001"/>
              <w:bottom w:val="single" w:sz="4" w:space="0" w:color="000001"/>
              <w:insideH w:val="single" w:sz="4" w:space="0" w:color="000001"/>
            </w:tcBorders>
            <w:shd w:fill="EEECE1" w:val="clear"/>
            <w:tcMar>
              <w:left w:w="103" w:type="dxa"/>
            </w:tcMa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10 и менее</w:t>
            </w:r>
          </w:p>
        </w:tc>
        <w:tc>
          <w:tcPr>
            <w:tcW w:w="2648"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tcPr>
          <w:p>
            <w:pPr>
              <w:pStyle w:val="Normal"/>
              <w:suppressAutoHyphens w:val="true"/>
              <w:snapToGrid w:val="false"/>
              <w:spacing w:lineRule="auto" w:line="240" w:before="0" w:after="0"/>
              <w:jc w:val="center"/>
              <w:rPr>
                <w:rFonts w:ascii="Arial" w:hAnsi="Arial" w:eastAsia="Times New Roman" w:cs="Arial"/>
                <w:b/>
                <w:b/>
                <w:color w:val="000000"/>
                <w:sz w:val="24"/>
                <w:szCs w:val="24"/>
                <w:lang w:eastAsia="ar-SA"/>
              </w:rPr>
            </w:pPr>
            <w:r>
              <w:rPr>
                <w:rFonts w:eastAsia="Times New Roman" w:cs="Arial" w:ascii="Arial" w:hAnsi="Arial"/>
                <w:b/>
                <w:color w:val="000000"/>
                <w:sz w:val="24"/>
                <w:szCs w:val="24"/>
                <w:lang w:eastAsia="ar-SA"/>
              </w:rPr>
              <w:t>11-30</w:t>
            </w:r>
          </w:p>
        </w:tc>
      </w:tr>
      <w:tr>
        <w:trPr/>
        <w:tc>
          <w:tcPr>
            <w:tcW w:w="4473"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Общественные здания</w:t>
            </w:r>
          </w:p>
        </w:tc>
        <w:tc>
          <w:tcPr>
            <w:tcW w:w="2316"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50</w:t>
            </w:r>
          </w:p>
        </w:tc>
        <w:tc>
          <w:tcPr>
            <w:tcW w:w="2648"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50</w:t>
            </w:r>
          </w:p>
        </w:tc>
      </w:tr>
      <w:tr>
        <w:trPr/>
        <w:tc>
          <w:tcPr>
            <w:tcW w:w="4473"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Общеобразовательные школы и детские дошкольные учреждения</w:t>
            </w:r>
          </w:p>
        </w:tc>
        <w:tc>
          <w:tcPr>
            <w:tcW w:w="2316"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50</w:t>
            </w:r>
          </w:p>
        </w:tc>
        <w:tc>
          <w:tcPr>
            <w:tcW w:w="2648"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w:t>
            </w:r>
          </w:p>
        </w:tc>
      </w:tr>
      <w:tr>
        <w:trPr/>
        <w:tc>
          <w:tcPr>
            <w:tcW w:w="4473"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Лечебные учреждения со стационаром</w:t>
            </w:r>
          </w:p>
        </w:tc>
        <w:tc>
          <w:tcPr>
            <w:tcW w:w="2316" w:type="dxa"/>
            <w:tcBorders>
              <w:top w:val="single" w:sz="4" w:space="0" w:color="000001"/>
              <w:left w:val="single" w:sz="4" w:space="0" w:color="000001"/>
              <w:bottom w:val="single" w:sz="4" w:space="0" w:color="000001"/>
              <w:insideH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50</w:t>
            </w:r>
          </w:p>
        </w:tc>
        <w:tc>
          <w:tcPr>
            <w:tcW w:w="2648"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w:t>
            </w:r>
          </w:p>
        </w:tc>
      </w:tr>
    </w:tbl>
    <w:p>
      <w:pPr>
        <w:pStyle w:val="NoSpacing"/>
        <w:ind w:left="567" w:right="0" w:hanging="0"/>
        <w:rPr>
          <w:rFonts w:ascii="Arial" w:hAnsi="Arial" w:cs="Arial"/>
          <w:i/>
          <w:i/>
          <w:sz w:val="24"/>
          <w:szCs w:val="24"/>
        </w:rPr>
      </w:pPr>
      <w:r>
        <w:rPr>
          <w:rFonts w:cs="Arial" w:ascii="Arial" w:hAnsi="Arial"/>
          <w:i/>
          <w:sz w:val="24"/>
          <w:szCs w:val="24"/>
        </w:rPr>
        <w:t>* Определяется по согласованию с Роспотребнадзором.</w:t>
      </w:r>
    </w:p>
    <w:p>
      <w:pPr>
        <w:pStyle w:val="NoSpacing"/>
        <w:ind w:left="567" w:right="0" w:hanging="0"/>
        <w:rPr>
          <w:rFonts w:ascii="Arial" w:hAnsi="Arial" w:cs="Arial"/>
          <w:i/>
          <w:i/>
          <w:sz w:val="24"/>
          <w:szCs w:val="24"/>
        </w:rPr>
      </w:pPr>
      <w:r>
        <w:rPr>
          <w:rFonts w:cs="Arial" w:ascii="Arial" w:hAnsi="Arial"/>
          <w:i/>
          <w:sz w:val="24"/>
          <w:szCs w:val="24"/>
        </w:rPr>
      </w:r>
    </w:p>
    <w:p>
      <w:pPr>
        <w:pStyle w:val="NoSpacing"/>
        <w:tabs>
          <w:tab w:val="left" w:pos="851" w:leader="none"/>
        </w:tabs>
        <w:rPr>
          <w:rFonts w:ascii="Arial" w:hAnsi="Arial" w:cs="Arial"/>
          <w:sz w:val="24"/>
          <w:szCs w:val="24"/>
        </w:rPr>
      </w:pPr>
      <w:r>
        <w:rPr>
          <w:rFonts w:cs="Arial" w:ascii="Arial" w:hAnsi="Arial"/>
          <w:sz w:val="24"/>
          <w:szCs w:val="24"/>
        </w:rPr>
        <w:t>5.6.24.Расстояния между площадками отдыха вне пределов населенных пунктов на автомобильных дорогах различных категорий принимается в соответствии с таблицей 19</w:t>
      </w:r>
    </w:p>
    <w:p>
      <w:pPr>
        <w:pStyle w:val="NoSpacing"/>
        <w:rPr>
          <w:rFonts w:ascii="Arial" w:hAnsi="Arial" w:cs="Arial"/>
          <w:sz w:val="24"/>
          <w:szCs w:val="24"/>
        </w:rPr>
      </w:pPr>
      <w:r>
        <w:rPr>
          <w:rFonts w:cs="Arial" w:ascii="Arial" w:hAnsi="Arial"/>
          <w:sz w:val="24"/>
          <w:szCs w:val="24"/>
        </w:rPr>
      </w:r>
    </w:p>
    <w:p>
      <w:pPr>
        <w:pStyle w:val="NoSpacing"/>
        <w:ind w:left="2676" w:right="0" w:hanging="0"/>
        <w:jc w:val="right"/>
        <w:rPr/>
      </w:pPr>
      <w:r>
        <w:rPr>
          <w:rFonts w:eastAsia="Arial" w:cs="Arial" w:ascii="Arial" w:hAnsi="Arial"/>
          <w:sz w:val="24"/>
          <w:szCs w:val="24"/>
        </w:rPr>
        <w:t xml:space="preserve">                                                                        </w:t>
      </w:r>
      <w:r>
        <w:rPr>
          <w:rFonts w:cs="Arial" w:ascii="Arial" w:hAnsi="Arial"/>
          <w:sz w:val="24"/>
          <w:szCs w:val="24"/>
        </w:rPr>
        <w:t>Таблица 19</w:t>
      </w:r>
    </w:p>
    <w:tbl>
      <w:tblPr>
        <w:tblW w:w="9364" w:type="dxa"/>
        <w:jc w:val="left"/>
        <w:tblInd w:w="387" w:type="dxa"/>
        <w:tblBorders>
          <w:top w:val="single" w:sz="4" w:space="0" w:color="000001"/>
          <w:left w:val="single" w:sz="4" w:space="0" w:color="000001"/>
          <w:bottom w:val="single" w:sz="4" w:space="0" w:color="000001"/>
          <w:insideH w:val="single" w:sz="4" w:space="0" w:color="000001"/>
        </w:tblBorders>
        <w:tblCellMar>
          <w:top w:w="0" w:type="dxa"/>
          <w:left w:w="103" w:type="dxa"/>
          <w:bottom w:w="0" w:type="dxa"/>
          <w:right w:w="108" w:type="dxa"/>
        </w:tblCellMar>
      </w:tblPr>
      <w:tblGrid>
        <w:gridCol w:w="2449"/>
        <w:gridCol w:w="6915"/>
      </w:tblGrid>
      <w:tr>
        <w:trPr/>
        <w:tc>
          <w:tcPr>
            <w:tcW w:w="2449" w:type="dxa"/>
            <w:tcBorders>
              <w:top w:val="single" w:sz="4" w:space="0" w:color="000001"/>
              <w:left w:val="single" w:sz="4" w:space="0" w:color="000001"/>
              <w:bottom w:val="single" w:sz="4" w:space="0" w:color="000001"/>
              <w:insideH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Категория дорог</w:t>
            </w:r>
          </w:p>
        </w:tc>
        <w:tc>
          <w:tcPr>
            <w:tcW w:w="691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EEECE1" w:val="clear"/>
            <w:tcMar>
              <w:left w:w="103" w:type="dxa"/>
            </w:tcMar>
            <w:vAlign w:val="center"/>
          </w:tcPr>
          <w:p>
            <w:pPr>
              <w:pStyle w:val="Style115"/>
              <w:jc w:val="center"/>
              <w:rPr>
                <w:rFonts w:ascii="Arial" w:hAnsi="Arial" w:cs="Arial"/>
                <w:b/>
                <w:b/>
              </w:rPr>
            </w:pPr>
            <w:r>
              <w:rPr>
                <w:rFonts w:cs="Arial" w:ascii="Arial" w:hAnsi="Arial"/>
                <w:b/>
              </w:rPr>
              <w:t>Расстояние между площадками отдыха, км</w:t>
            </w:r>
          </w:p>
        </w:tc>
      </w:tr>
      <w:tr>
        <w:trPr>
          <w:trHeight w:val="300" w:hRule="atLeast"/>
        </w:trPr>
        <w:tc>
          <w:tcPr>
            <w:tcW w:w="2449"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I и II категория</w:t>
            </w:r>
          </w:p>
        </w:tc>
        <w:tc>
          <w:tcPr>
            <w:tcW w:w="691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15-20</w:t>
            </w:r>
          </w:p>
        </w:tc>
      </w:tr>
      <w:tr>
        <w:trPr>
          <w:trHeight w:val="300" w:hRule="atLeast"/>
        </w:trPr>
        <w:tc>
          <w:tcPr>
            <w:tcW w:w="2449"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III категория</w:t>
            </w:r>
          </w:p>
        </w:tc>
        <w:tc>
          <w:tcPr>
            <w:tcW w:w="691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25-35</w:t>
            </w:r>
          </w:p>
        </w:tc>
      </w:tr>
      <w:tr>
        <w:trPr>
          <w:trHeight w:val="300" w:hRule="atLeast"/>
        </w:trPr>
        <w:tc>
          <w:tcPr>
            <w:tcW w:w="2449" w:type="dxa"/>
            <w:tcBorders>
              <w:top w:val="single" w:sz="4" w:space="0" w:color="000001"/>
              <w:left w:val="single" w:sz="4" w:space="0" w:color="000001"/>
              <w:bottom w:val="single" w:sz="4" w:space="0" w:color="000001"/>
              <w:insideH w:val="single" w:sz="4" w:space="0" w:color="000001"/>
            </w:tcBorders>
            <w:shd w:fill="auto" w:val="clear"/>
            <w:tcMar>
              <w:left w:w="103" w:type="dxa"/>
            </w:tcMar>
          </w:tcPr>
          <w:p>
            <w:pPr>
              <w:pStyle w:val="Style115"/>
              <w:jc w:val="center"/>
              <w:rPr>
                <w:rFonts w:ascii="Arial" w:hAnsi="Arial" w:cs="Arial"/>
              </w:rPr>
            </w:pPr>
            <w:r>
              <w:rPr>
                <w:rFonts w:cs="Arial" w:ascii="Arial" w:hAnsi="Arial"/>
              </w:rPr>
              <w:t>IV категория</w:t>
            </w:r>
          </w:p>
        </w:tc>
        <w:tc>
          <w:tcPr>
            <w:tcW w:w="691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103" w:type="dxa"/>
            </w:tcMar>
            <w:vAlign w:val="center"/>
          </w:tcPr>
          <w:p>
            <w:pPr>
              <w:pStyle w:val="Style115"/>
              <w:jc w:val="center"/>
              <w:rPr>
                <w:rFonts w:ascii="Arial" w:hAnsi="Arial" w:cs="Arial"/>
              </w:rPr>
            </w:pPr>
            <w:r>
              <w:rPr>
                <w:rFonts w:cs="Arial" w:ascii="Arial" w:hAnsi="Arial"/>
              </w:rPr>
              <w:t>45-55</w:t>
            </w:r>
          </w:p>
        </w:tc>
      </w:tr>
    </w:tbl>
    <w:p>
      <w:pPr>
        <w:pStyle w:val="NoSpacing"/>
        <w:ind w:left="567" w:right="0" w:hanging="0"/>
        <w:rPr>
          <w:rFonts w:ascii="Arial" w:hAnsi="Arial" w:cs="Arial"/>
          <w:i/>
          <w:i/>
          <w:sz w:val="24"/>
          <w:szCs w:val="24"/>
        </w:rPr>
      </w:pPr>
      <w:r>
        <w:rPr>
          <w:rFonts w:cs="Arial" w:ascii="Arial" w:hAnsi="Arial"/>
          <w:i/>
          <w:sz w:val="24"/>
          <w:szCs w:val="24"/>
        </w:rPr>
        <w:t xml:space="preserve">Примечание: </w:t>
      </w:r>
    </w:p>
    <w:p>
      <w:pPr>
        <w:pStyle w:val="NoSpacing"/>
        <w:ind w:left="567" w:right="0" w:hanging="0"/>
        <w:rPr>
          <w:rFonts w:ascii="Arial" w:hAnsi="Arial" w:cs="Arial"/>
          <w:i/>
          <w:i/>
          <w:sz w:val="24"/>
          <w:szCs w:val="24"/>
        </w:rPr>
      </w:pPr>
      <w:r>
        <w:rPr>
          <w:rFonts w:cs="Arial" w:ascii="Arial" w:hAnsi="Arial"/>
          <w:i/>
          <w:sz w:val="24"/>
          <w:szCs w:val="24"/>
        </w:rPr>
        <w:t>На территории площадок отдыха могут быть предусмотрены сооружения для технического осмотра автомобилей и пункты торговли.</w:t>
      </w:r>
    </w:p>
    <w:p>
      <w:pPr>
        <w:pStyle w:val="Style118"/>
        <w:shd w:fill="FFFFFF" w:val="clear"/>
        <w:ind w:left="1428" w:right="0" w:hanging="0"/>
        <w:rPr>
          <w:rFonts w:ascii="Arial" w:hAnsi="Arial" w:cs="Arial"/>
        </w:rPr>
      </w:pPr>
      <w:bookmarkStart w:id="95" w:name="__RefHeading___Toc494965534"/>
      <w:bookmarkEnd w:id="95"/>
      <w:r>
        <w:rPr>
          <w:rFonts w:cs="Arial" w:ascii="Arial" w:hAnsi="Arial"/>
        </w:rPr>
        <w:t>5.7.Рекреационные зоны.</w:t>
      </w:r>
    </w:p>
    <w:p>
      <w:pPr>
        <w:pStyle w:val="ConsPlusNormal2"/>
        <w:tabs>
          <w:tab w:val="left" w:pos="0" w:leader="none"/>
          <w:tab w:val="left" w:pos="851" w:leader="none"/>
        </w:tabs>
        <w:suppressAutoHyphens w:val="false"/>
        <w:rPr>
          <w:rFonts w:cs="Arial"/>
          <w:sz w:val="24"/>
          <w:szCs w:val="24"/>
        </w:rPr>
      </w:pPr>
      <w:r>
        <w:rPr>
          <w:rFonts w:cs="Arial"/>
          <w:sz w:val="24"/>
          <w:szCs w:val="24"/>
        </w:rPr>
        <w:t>5.7.1.Зона рекреационного назначения предназначена для организации массового отдыха населения, туризма, занятия физической культурой и спортом, а также для улучшения экологической обстановки, и включает парки, сады, лесопарки, пляжи, водоемы и иные объекты, используемые в рекреационных целях и формирующие систему открытых пространств.</w:t>
      </w:r>
    </w:p>
    <w:p>
      <w:pPr>
        <w:pStyle w:val="ConsPlusNormal2"/>
        <w:tabs>
          <w:tab w:val="left" w:pos="0" w:leader="none"/>
          <w:tab w:val="left" w:pos="851" w:leader="none"/>
        </w:tabs>
        <w:suppressAutoHyphens w:val="false"/>
        <w:rPr>
          <w:rFonts w:cs="Arial"/>
          <w:sz w:val="24"/>
          <w:szCs w:val="24"/>
        </w:rPr>
      </w:pPr>
      <w:r>
        <w:rPr>
          <w:rFonts w:cs="Arial"/>
          <w:sz w:val="24"/>
          <w:szCs w:val="24"/>
        </w:rPr>
        <w:t>5.7.2.Рекреационные зоны необходимо формировать во взаимосвязи с зелеными зонами, землями сельскохозяйственного назначения, создавая взаимоувязанный природный комплекс.</w:t>
      </w:r>
    </w:p>
    <w:p>
      <w:pPr>
        <w:pStyle w:val="ConsPlusNormal2"/>
        <w:tabs>
          <w:tab w:val="left" w:pos="0" w:leader="none"/>
          <w:tab w:val="left" w:pos="851" w:leader="none"/>
        </w:tabs>
        <w:suppressAutoHyphens w:val="false"/>
        <w:rPr>
          <w:rFonts w:cs="Arial"/>
          <w:sz w:val="24"/>
          <w:szCs w:val="24"/>
        </w:rPr>
      </w:pPr>
      <w:r>
        <w:rPr>
          <w:rFonts w:cs="Arial"/>
          <w:sz w:val="24"/>
          <w:szCs w:val="24"/>
        </w:rPr>
        <w:t>5.7.3.Рекреационные зоны формируются на землях общего пользования. Использование учебно-туристических троп и трасс, установленных по соглашению с собственниками земельных участков, может осуществляться на основе сервитутов, при этом указанные земельные участки не изымаются из пользования.</w:t>
      </w:r>
    </w:p>
    <w:p>
      <w:pPr>
        <w:pStyle w:val="ConsPlusNormal2"/>
        <w:tabs>
          <w:tab w:val="left" w:pos="0" w:leader="none"/>
          <w:tab w:val="left" w:pos="851" w:leader="none"/>
        </w:tabs>
        <w:suppressAutoHyphens w:val="false"/>
        <w:rPr>
          <w:rFonts w:cs="Arial"/>
          <w:sz w:val="24"/>
          <w:szCs w:val="24"/>
        </w:rPr>
      </w:pPr>
      <w:r>
        <w:rPr>
          <w:rFonts w:cs="Arial"/>
          <w:sz w:val="24"/>
          <w:szCs w:val="24"/>
        </w:rPr>
        <w:t>5.7.4.Площадь озелененных территорий общего пользования - парков, садов, скверов, бульваров, размещаемых на территории городских и сельских поселений, следует принимать:</w:t>
      </w:r>
    </w:p>
    <w:p>
      <w:pPr>
        <w:pStyle w:val="ConsPlusNormal2"/>
        <w:tabs>
          <w:tab w:val="left" w:pos="0" w:leader="none"/>
          <w:tab w:val="left" w:pos="1320" w:leader="none"/>
        </w:tabs>
        <w:suppressAutoHyphens w:val="false"/>
        <w:ind w:left="550" w:right="0" w:hanging="0"/>
        <w:rPr>
          <w:rFonts w:cs="Arial"/>
          <w:sz w:val="24"/>
          <w:szCs w:val="24"/>
        </w:rPr>
      </w:pPr>
      <w:r>
        <w:rPr>
          <w:rFonts w:cs="Arial"/>
          <w:sz w:val="24"/>
          <w:szCs w:val="24"/>
        </w:rPr>
        <w:t>Для сельских поселений – 12 кв.м/чел.</w:t>
      </w:r>
    </w:p>
    <w:p>
      <w:pPr>
        <w:pStyle w:val="ConsPlusNormal2"/>
        <w:tabs>
          <w:tab w:val="left" w:pos="0" w:leader="none"/>
          <w:tab w:val="left" w:pos="1320" w:leader="none"/>
        </w:tabs>
        <w:suppressAutoHyphens w:val="false"/>
        <w:ind w:left="0" w:right="0" w:firstLine="550"/>
        <w:rPr>
          <w:rFonts w:cs="Arial"/>
          <w:sz w:val="24"/>
          <w:szCs w:val="24"/>
        </w:rPr>
      </w:pPr>
      <w:r>
        <w:rPr>
          <w:rFonts w:cs="Arial"/>
          <w:sz w:val="24"/>
          <w:szCs w:val="24"/>
        </w:rPr>
        <w:t xml:space="preserve">В поселениях, расположенных в окружении лесов, площадь озелененных территорий  общего пользования допускается уменьшать, но не более чем на 20%.                                                        </w:t>
      </w:r>
    </w:p>
    <w:p>
      <w:pPr>
        <w:pStyle w:val="ConsPlusNormal2"/>
        <w:tabs>
          <w:tab w:val="left" w:pos="0" w:leader="none"/>
          <w:tab w:val="left" w:pos="851" w:leader="none"/>
        </w:tabs>
        <w:suppressAutoHyphens w:val="false"/>
        <w:rPr>
          <w:rFonts w:cs="Arial"/>
          <w:sz w:val="24"/>
          <w:szCs w:val="24"/>
        </w:rPr>
      </w:pPr>
      <w:r>
        <w:rPr>
          <w:rFonts w:cs="Arial"/>
          <w:sz w:val="24"/>
          <w:szCs w:val="24"/>
        </w:rPr>
        <w:t>5.7.5.На территориях рекреационных зон не допускается строительство новых и расширение действующих промышленных, коммунально-складских и других объектов.</w:t>
      </w:r>
    </w:p>
    <w:p>
      <w:pPr>
        <w:pStyle w:val="ConsPlusNormal2"/>
        <w:tabs>
          <w:tab w:val="left" w:pos="0" w:leader="none"/>
          <w:tab w:val="left" w:pos="851" w:leader="none"/>
        </w:tabs>
        <w:suppressAutoHyphens w:val="false"/>
        <w:rPr>
          <w:rFonts w:cs="Arial"/>
          <w:sz w:val="24"/>
          <w:szCs w:val="24"/>
        </w:rPr>
      </w:pPr>
      <w:r>
        <w:rPr>
          <w:rFonts w:cs="Arial"/>
          <w:sz w:val="24"/>
          <w:szCs w:val="24"/>
        </w:rPr>
        <w:t>5.7.6.Парк - озелененная территория многофункционального или специализированного направления рекреационной деятельности с развитой системой благоустройства площадью не менее 10 гектаров, предназначенная для массового отдыха населения. На территории парка разрешается строительство зданий для эксплуатации парка, высота которых не превышает 8 м; высота парковых сооружений - аттракционов - определяется проектом. Площадь застройки не должна превышать 7 процентов территории парка.</w:t>
      </w:r>
    </w:p>
    <w:p>
      <w:pPr>
        <w:pStyle w:val="ConsPlusNormal2"/>
        <w:tabs>
          <w:tab w:val="left" w:pos="0" w:leader="none"/>
          <w:tab w:val="left" w:pos="851" w:leader="none"/>
        </w:tabs>
        <w:suppressAutoHyphens w:val="false"/>
        <w:rPr>
          <w:rFonts w:cs="Arial"/>
          <w:sz w:val="24"/>
          <w:szCs w:val="24"/>
        </w:rPr>
      </w:pPr>
      <w:r>
        <w:rPr>
          <w:rFonts w:cs="Arial"/>
          <w:sz w:val="24"/>
          <w:szCs w:val="24"/>
        </w:rPr>
        <w:t>5.7.7.Соотношение элементов территории парка следует принимать в процентах от общей площади парка:</w:t>
      </w:r>
    </w:p>
    <w:p>
      <w:pPr>
        <w:pStyle w:val="ConsPlusNormal2"/>
        <w:ind w:left="0" w:right="0" w:firstLine="540"/>
        <w:rPr>
          <w:rFonts w:cs="Arial"/>
          <w:sz w:val="24"/>
          <w:szCs w:val="24"/>
        </w:rPr>
      </w:pPr>
      <w:r>
        <w:rPr>
          <w:rFonts w:cs="Arial"/>
          <w:sz w:val="24"/>
          <w:szCs w:val="24"/>
        </w:rPr>
        <w:t>- территории зеленых насаждений и водоемов - 70 – 75%;</w:t>
      </w:r>
    </w:p>
    <w:p>
      <w:pPr>
        <w:pStyle w:val="ConsPlusNormal2"/>
        <w:ind w:left="0" w:right="0" w:firstLine="540"/>
        <w:rPr>
          <w:rFonts w:cs="Arial"/>
          <w:sz w:val="24"/>
          <w:szCs w:val="24"/>
        </w:rPr>
      </w:pPr>
      <w:r>
        <w:rPr>
          <w:rFonts w:cs="Arial"/>
          <w:sz w:val="24"/>
          <w:szCs w:val="24"/>
        </w:rPr>
        <w:t>- аллеи, дороги, площадки - 10 – 15%;</w:t>
      </w:r>
    </w:p>
    <w:p>
      <w:pPr>
        <w:pStyle w:val="ConsPlusNormal2"/>
        <w:ind w:left="0" w:right="0" w:firstLine="540"/>
        <w:rPr>
          <w:rFonts w:cs="Arial"/>
          <w:sz w:val="24"/>
          <w:szCs w:val="24"/>
        </w:rPr>
      </w:pPr>
      <w:r>
        <w:rPr>
          <w:rFonts w:cs="Arial"/>
          <w:sz w:val="24"/>
          <w:szCs w:val="24"/>
        </w:rPr>
        <w:t>- площадки - 8 – 12%;</w:t>
      </w:r>
    </w:p>
    <w:p>
      <w:pPr>
        <w:pStyle w:val="ConsPlusNormal2"/>
        <w:ind w:left="0" w:right="0" w:firstLine="540"/>
        <w:rPr>
          <w:rFonts w:cs="Arial"/>
          <w:sz w:val="24"/>
          <w:szCs w:val="24"/>
        </w:rPr>
      </w:pPr>
      <w:r>
        <w:rPr>
          <w:rFonts w:cs="Arial"/>
          <w:sz w:val="24"/>
          <w:szCs w:val="24"/>
        </w:rPr>
        <w:t>- здания и сооружения - 5 – 7%.</w:t>
      </w:r>
    </w:p>
    <w:p>
      <w:pPr>
        <w:pStyle w:val="ConsPlusNormal2"/>
        <w:tabs>
          <w:tab w:val="left" w:pos="0" w:leader="none"/>
          <w:tab w:val="left" w:pos="851" w:leader="none"/>
        </w:tabs>
        <w:suppressAutoHyphens w:val="false"/>
        <w:rPr>
          <w:rFonts w:cs="Arial"/>
          <w:sz w:val="24"/>
          <w:szCs w:val="24"/>
        </w:rPr>
      </w:pPr>
      <w:r>
        <w:rPr>
          <w:rFonts w:cs="Arial"/>
          <w:sz w:val="24"/>
          <w:szCs w:val="24"/>
        </w:rPr>
        <w:t>5.7.8.Функциональная организация территории парка определяется проектом в зависимости от специализации.</w:t>
      </w:r>
    </w:p>
    <w:p>
      <w:pPr>
        <w:pStyle w:val="ConsPlusNormal2"/>
        <w:tabs>
          <w:tab w:val="left" w:pos="0" w:leader="none"/>
          <w:tab w:val="left" w:pos="851" w:leader="none"/>
        </w:tabs>
        <w:suppressAutoHyphens w:val="false"/>
        <w:rPr>
          <w:rFonts w:cs="Arial"/>
          <w:sz w:val="24"/>
          <w:szCs w:val="24"/>
        </w:rPr>
      </w:pPr>
      <w:r>
        <w:rPr>
          <w:rFonts w:cs="Arial"/>
          <w:sz w:val="24"/>
          <w:szCs w:val="24"/>
        </w:rPr>
        <w:t>5.7.9.Необходимо обеспечивать свободный доступ в парки, сады и другие озелененные территории общего пользования, не допуская устройства оград со стороны жилых районов. Расстояние между границей территории жилой застройки и ближним краем паркового массива должно составлять не менее 30 метров.</w:t>
      </w:r>
    </w:p>
    <w:p>
      <w:pPr>
        <w:pStyle w:val="ConsPlusNormal2"/>
        <w:tabs>
          <w:tab w:val="left" w:pos="0" w:leader="none"/>
          <w:tab w:val="left" w:pos="851" w:leader="none"/>
        </w:tabs>
        <w:suppressAutoHyphens w:val="false"/>
        <w:rPr>
          <w:rFonts w:cs="Arial"/>
          <w:sz w:val="24"/>
          <w:szCs w:val="24"/>
        </w:rPr>
      </w:pPr>
      <w:r>
        <w:rPr>
          <w:rFonts w:cs="Arial"/>
          <w:sz w:val="24"/>
          <w:szCs w:val="24"/>
        </w:rPr>
        <w:t>5.7.10.Сквер представляет собой компактную озелененную территорию на площади, перекрестке улиц или на примыкающем к улице участке квартала, предназначенную для повседневного кратковременного отдыха и пешеходного передвижения населения, размером от 1,5 до 2,0 гектара.</w:t>
      </w:r>
    </w:p>
    <w:p>
      <w:pPr>
        <w:pStyle w:val="ConsPlusNormal2"/>
        <w:ind w:left="0" w:right="0" w:firstLine="540"/>
        <w:rPr>
          <w:rFonts w:cs="Arial"/>
          <w:sz w:val="24"/>
          <w:szCs w:val="24"/>
        </w:rPr>
      </w:pPr>
      <w:r>
        <w:rPr>
          <w:rFonts w:cs="Arial"/>
          <w:sz w:val="24"/>
          <w:szCs w:val="24"/>
        </w:rPr>
        <w:t>На территории сквера запрещается размещение застройки. Соотношение элементов территории сквера следует принимать по таблице 20.</w:t>
      </w:r>
    </w:p>
    <w:p>
      <w:pPr>
        <w:pStyle w:val="ConsPlusNormal2"/>
        <w:ind w:left="0" w:right="114" w:hanging="0"/>
        <w:jc w:val="right"/>
        <w:rPr>
          <w:rFonts w:cs="Arial"/>
          <w:sz w:val="24"/>
          <w:szCs w:val="24"/>
        </w:rPr>
      </w:pPr>
      <w:r>
        <w:rPr>
          <w:rFonts w:cs="Arial"/>
          <w:sz w:val="24"/>
          <w:szCs w:val="24"/>
        </w:rPr>
        <w:t>таблица 20</w:t>
      </w:r>
    </w:p>
    <w:tbl>
      <w:tblPr>
        <w:tblW w:w="9981" w:type="dxa"/>
        <w:jc w:val="left"/>
        <w:tblInd w:w="0"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4031"/>
        <w:gridCol w:w="2640"/>
        <w:gridCol w:w="3310"/>
      </w:tblGrid>
      <w:tr>
        <w:trPr/>
        <w:tc>
          <w:tcPr>
            <w:tcW w:w="4031"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Место размещения скверов</w:t>
            </w:r>
          </w:p>
        </w:tc>
        <w:tc>
          <w:tcPr>
            <w:tcW w:w="5950"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Элемент территории (% от общей площади)</w:t>
            </w:r>
          </w:p>
        </w:tc>
      </w:tr>
      <w:tr>
        <w:trPr/>
        <w:tc>
          <w:tcPr>
            <w:tcW w:w="4031" w:type="dxa"/>
            <w:vMerge w:val="restart"/>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В жилых районах, на жилых улицах, между домами, перед отдельными зданиями</w:t>
            </w:r>
          </w:p>
        </w:tc>
        <w:tc>
          <w:tcPr>
            <w:tcW w:w="264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территории зеленых насаждений и водоемов</w:t>
            </w:r>
          </w:p>
        </w:tc>
        <w:tc>
          <w:tcPr>
            <w:tcW w:w="331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аллеи, дорожки, площадки, малые формы</w:t>
            </w:r>
          </w:p>
        </w:tc>
      </w:tr>
      <w:tr>
        <w:trPr/>
        <w:tc>
          <w:tcPr>
            <w:tcW w:w="4031" w:type="dxa"/>
            <w:vMerge w:val="continue"/>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Normal"/>
              <w:snapToGrid w:val="false"/>
              <w:spacing w:lineRule="auto" w:line="240" w:before="0" w:after="0"/>
              <w:rPr>
                <w:rFonts w:ascii="Arial" w:hAnsi="Arial" w:cs="Arial"/>
                <w:sz w:val="24"/>
                <w:szCs w:val="24"/>
                <w:lang w:eastAsia="ar-SA"/>
              </w:rPr>
            </w:pPr>
            <w:r>
              <w:rPr>
                <w:rFonts w:cs="Arial" w:ascii="Arial" w:hAnsi="Arial"/>
                <w:sz w:val="24"/>
                <w:szCs w:val="24"/>
                <w:lang w:eastAsia="ar-SA"/>
              </w:rPr>
            </w:r>
          </w:p>
        </w:tc>
        <w:tc>
          <w:tcPr>
            <w:tcW w:w="2640"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70 - 80</w:t>
            </w:r>
          </w:p>
        </w:tc>
        <w:tc>
          <w:tcPr>
            <w:tcW w:w="331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30 - 20</w:t>
            </w:r>
          </w:p>
        </w:tc>
      </w:tr>
    </w:tbl>
    <w:p>
      <w:pPr>
        <w:pStyle w:val="ConsPlusNormal2"/>
        <w:ind w:left="0" w:right="0" w:firstLine="540"/>
        <w:rPr>
          <w:rFonts w:cs="Arial"/>
          <w:sz w:val="24"/>
          <w:szCs w:val="24"/>
          <w:lang w:eastAsia="ar-SA"/>
        </w:rPr>
      </w:pPr>
      <w:r>
        <w:rPr>
          <w:rFonts w:cs="Arial"/>
          <w:sz w:val="24"/>
          <w:szCs w:val="24"/>
          <w:lang w:eastAsia="ar-SA"/>
        </w:rPr>
      </w:r>
    </w:p>
    <w:p>
      <w:pPr>
        <w:pStyle w:val="ConsPlusNormal2"/>
        <w:tabs>
          <w:tab w:val="left" w:pos="0" w:leader="none"/>
          <w:tab w:val="left" w:pos="851" w:leader="none"/>
        </w:tabs>
        <w:suppressAutoHyphens w:val="false"/>
        <w:rPr>
          <w:rFonts w:cs="Arial"/>
          <w:sz w:val="24"/>
          <w:szCs w:val="24"/>
        </w:rPr>
      </w:pPr>
      <w:r>
        <w:rPr>
          <w:rFonts w:cs="Arial"/>
          <w:sz w:val="24"/>
          <w:szCs w:val="24"/>
        </w:rPr>
        <w:t>5.7.11.Дорожную сеть ландшафтно-рекреационных территорий (дороги, аллеи, тропы) следует трассировать по возможности с минимальными уклонами в соответствии с направлениями основных путей движения пешеходов. Ширина дорожки должна быть кратной 0,75 м (ширина полосы движения одного человека).</w:t>
      </w:r>
    </w:p>
    <w:p>
      <w:pPr>
        <w:pStyle w:val="ConsPlusNormal2"/>
        <w:ind w:left="0" w:right="0" w:firstLine="540"/>
        <w:rPr>
          <w:rFonts w:cs="Arial"/>
          <w:sz w:val="24"/>
          <w:szCs w:val="24"/>
        </w:rPr>
      </w:pPr>
      <w:r>
        <w:rPr>
          <w:rFonts w:cs="Arial"/>
          <w:sz w:val="24"/>
          <w:szCs w:val="24"/>
        </w:rPr>
        <w:t>Пешеходные аллеи следует предусматривать в направлении массовых потоков пешеходного движения, предусматривая на них площадки для кратковременного отдыха.</w:t>
      </w:r>
    </w:p>
    <w:p>
      <w:pPr>
        <w:pStyle w:val="ConsPlusNormal2"/>
        <w:ind w:left="0" w:right="0" w:firstLine="540"/>
        <w:rPr>
          <w:rFonts w:cs="Arial"/>
          <w:sz w:val="24"/>
          <w:szCs w:val="24"/>
        </w:rPr>
      </w:pPr>
      <w:r>
        <w:rPr>
          <w:rFonts w:cs="Arial"/>
          <w:sz w:val="24"/>
          <w:szCs w:val="24"/>
        </w:rPr>
        <w:t>Покрытия площадок, дорожно-тропиночной сети в пределах рекреационных территорий следует применять из плиток, щебня и других прочных минеральных материалов, допуская применение асфальтового покрытия в исключительных случаях.</w:t>
      </w:r>
    </w:p>
    <w:p>
      <w:pPr>
        <w:pStyle w:val="ConsPlusNormal2"/>
        <w:tabs>
          <w:tab w:val="left" w:pos="0" w:leader="none"/>
          <w:tab w:val="left" w:pos="851" w:leader="none"/>
        </w:tabs>
        <w:suppressAutoHyphens w:val="false"/>
        <w:rPr>
          <w:rFonts w:cs="Arial"/>
          <w:sz w:val="24"/>
          <w:szCs w:val="24"/>
        </w:rPr>
      </w:pPr>
      <w:r>
        <w:rPr>
          <w:rFonts w:cs="Arial"/>
          <w:sz w:val="24"/>
          <w:szCs w:val="24"/>
        </w:rPr>
        <w:t>5.7.12.Озелененные территории общего пользования должны быть благоустроены и оборудованы малыми архитектурными формами: фонтанами и бассейнами, лестницами, беседками, светильниками и другим. Число светильников следует определять по нормам освещенности территорий.</w:t>
      </w:r>
    </w:p>
    <w:p>
      <w:pPr>
        <w:pStyle w:val="ConsPlusNormal2"/>
        <w:tabs>
          <w:tab w:val="left" w:pos="0" w:leader="none"/>
          <w:tab w:val="left" w:pos="851" w:leader="none"/>
        </w:tabs>
        <w:suppressAutoHyphens w:val="false"/>
        <w:rPr/>
      </w:pPr>
      <w:r>
        <w:rPr>
          <w:rFonts w:cs="Arial"/>
          <w:sz w:val="24"/>
          <w:szCs w:val="24"/>
        </w:rPr>
        <w:t xml:space="preserve">5.7.13.Расстояния от зданий и сооружений до зеленых насаждений следует принимать в соответствии с </w:t>
      </w:r>
      <w:r>
        <w:fldChar w:fldCharType="begin"/>
      </w:r>
      <w:r>
        <w:instrText> HYPERLINK "file:///D:/! Вадим/! www.sharanga.nnov.ru/Sel'skie poseleniya/Kushnur/2017/Re//C:/Users/Специалист/Desktop/Мои документы/декабрь 2017/MNGP2.docx" \l "P492"</w:instrText>
      </w:r>
      <w:r>
        <w:fldChar w:fldCharType="separate"/>
      </w:r>
      <w:r>
        <w:rPr>
          <w:rStyle w:val="Style9"/>
          <w:rFonts w:cs="Arial"/>
          <w:color w:val="00000A"/>
          <w:sz w:val="24"/>
          <w:szCs w:val="24"/>
        </w:rPr>
        <w:t>таблицей 21</w:t>
      </w:r>
      <w:r>
        <w:fldChar w:fldCharType="end"/>
      </w:r>
      <w:r>
        <w:rPr>
          <w:rFonts w:cs="Arial"/>
          <w:sz w:val="24"/>
          <w:szCs w:val="24"/>
        </w:rPr>
        <w:t xml:space="preserve"> при условии беспрепятственного подъезда и работы пожарного автотранспорта; от воздушных линий электропередачи - в соответствии с Правилами устройства электроустановок.</w:t>
      </w:r>
    </w:p>
    <w:p>
      <w:pPr>
        <w:pStyle w:val="ConsPlusNormal2"/>
        <w:jc w:val="right"/>
        <w:rPr>
          <w:rFonts w:cs="Arial"/>
          <w:sz w:val="24"/>
          <w:szCs w:val="24"/>
        </w:rPr>
      </w:pPr>
      <w:bookmarkStart w:id="96" w:name="P492"/>
      <w:bookmarkEnd w:id="96"/>
      <w:r>
        <w:rPr>
          <w:rFonts w:cs="Arial"/>
          <w:sz w:val="24"/>
          <w:szCs w:val="24"/>
        </w:rPr>
        <w:t>Таблица 21</w:t>
      </w:r>
    </w:p>
    <w:tbl>
      <w:tblPr>
        <w:tblW w:w="10150" w:type="dxa"/>
        <w:jc w:val="left"/>
        <w:tblInd w:w="57" w:type="dxa"/>
        <w:tblBorders>
          <w:top w:val="single" w:sz="4" w:space="0" w:color="00000A"/>
          <w:left w:val="single" w:sz="4" w:space="0" w:color="00000A"/>
          <w:bottom w:val="single" w:sz="4" w:space="0" w:color="00000A"/>
          <w:insideH w:val="single" w:sz="4" w:space="0" w:color="00000A"/>
        </w:tblBorders>
        <w:tblCellMar>
          <w:top w:w="102" w:type="dxa"/>
          <w:left w:w="62" w:type="dxa"/>
          <w:bottom w:w="102" w:type="dxa"/>
          <w:right w:w="62" w:type="dxa"/>
        </w:tblCellMar>
      </w:tblPr>
      <w:tblGrid>
        <w:gridCol w:w="6517"/>
        <w:gridCol w:w="1814"/>
        <w:gridCol w:w="1819"/>
      </w:tblGrid>
      <w:tr>
        <w:trPr/>
        <w:tc>
          <w:tcPr>
            <w:tcW w:w="6517" w:type="dxa"/>
            <w:vMerge w:val="restart"/>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Здание, сооружение</w:t>
            </w:r>
          </w:p>
        </w:tc>
        <w:tc>
          <w:tcPr>
            <w:tcW w:w="363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Расстояние (м) от здания, сооружения, объекта до оси</w:t>
            </w:r>
          </w:p>
        </w:tc>
      </w:tr>
      <w:tr>
        <w:trPr/>
        <w:tc>
          <w:tcPr>
            <w:tcW w:w="6517" w:type="dxa"/>
            <w:vMerge w:val="continue"/>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Normal"/>
              <w:snapToGrid w:val="false"/>
              <w:spacing w:lineRule="auto" w:line="240" w:before="0" w:after="0"/>
              <w:rPr>
                <w:rFonts w:ascii="Arial" w:hAnsi="Arial" w:cs="Arial"/>
                <w:b/>
                <w:b/>
                <w:sz w:val="24"/>
                <w:szCs w:val="24"/>
                <w:lang w:eastAsia="ar-SA"/>
              </w:rPr>
            </w:pPr>
            <w:r>
              <w:rPr>
                <w:rFonts w:cs="Arial" w:ascii="Arial" w:hAnsi="Arial"/>
                <w:b/>
                <w:sz w:val="24"/>
                <w:szCs w:val="24"/>
                <w:lang w:eastAsia="ar-SA"/>
              </w:rPr>
            </w:r>
          </w:p>
        </w:tc>
        <w:tc>
          <w:tcPr>
            <w:tcW w:w="1814" w:type="dxa"/>
            <w:tcBorders>
              <w:top w:val="single" w:sz="4" w:space="0" w:color="00000A"/>
              <w:left w:val="single" w:sz="4" w:space="0" w:color="00000A"/>
              <w:bottom w:val="single" w:sz="4" w:space="0" w:color="00000A"/>
              <w:insideH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ствола дерева</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62" w:type="dxa"/>
            </w:tcMar>
          </w:tcPr>
          <w:p>
            <w:pPr>
              <w:pStyle w:val="ConsPlusNormal2"/>
              <w:jc w:val="center"/>
              <w:rPr>
                <w:rFonts w:cs="Arial"/>
                <w:b/>
                <w:b/>
                <w:sz w:val="24"/>
                <w:szCs w:val="24"/>
              </w:rPr>
            </w:pPr>
            <w:r>
              <w:rPr>
                <w:rFonts w:cs="Arial"/>
                <w:b/>
                <w:sz w:val="24"/>
                <w:szCs w:val="24"/>
              </w:rPr>
              <w:t>кустарника</w:t>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Наружная стена здания и сооружения</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5,0</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Край тротуара и садовой дорожки</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0,7</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0,5</w:t>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Край проезжей части улиц, кромка укрепленной полосы обочины дороги или бровка канавы</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Мачта и опора осветительной сети, мостовая опора и эстакада</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4,0</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w:t>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Подошва откоса, террасы и другие</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0,5</w:t>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Подошва или внутренняя грань подпорной стенки</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3,0</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Подземные сети:</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snapToGrid w:val="false"/>
              <w:jc w:val="center"/>
              <w:rPr>
                <w:rFonts w:cs="Arial"/>
                <w:sz w:val="24"/>
                <w:szCs w:val="24"/>
              </w:rPr>
            </w:pPr>
            <w:r>
              <w:rPr>
                <w:rFonts w:cs="Arial"/>
                <w:sz w:val="24"/>
                <w:szCs w:val="24"/>
              </w:rPr>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snapToGrid w:val="false"/>
              <w:jc w:val="center"/>
              <w:rPr>
                <w:rFonts w:cs="Arial"/>
                <w:sz w:val="24"/>
                <w:szCs w:val="24"/>
              </w:rPr>
            </w:pPr>
            <w:r>
              <w:rPr>
                <w:rFonts w:cs="Arial"/>
                <w:sz w:val="24"/>
                <w:szCs w:val="24"/>
              </w:rPr>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газопровод, канализация</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1,5</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w:t>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тепловая сеть (стенка канала, тоннеля или оболочка при бесканальной прокладке)</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1,0</w:t>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водопровод, дренаж</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w:t>
            </w:r>
          </w:p>
        </w:tc>
      </w:tr>
      <w:tr>
        <w:trPr/>
        <w:tc>
          <w:tcPr>
            <w:tcW w:w="6517"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rPr>
                <w:rFonts w:cs="Arial"/>
                <w:sz w:val="24"/>
                <w:szCs w:val="24"/>
              </w:rPr>
            </w:pPr>
            <w:r>
              <w:rPr>
                <w:rFonts w:cs="Arial"/>
                <w:sz w:val="24"/>
                <w:szCs w:val="24"/>
              </w:rPr>
              <w:t>силовой кабель и кабель связи</w:t>
            </w:r>
          </w:p>
        </w:tc>
        <w:tc>
          <w:tcPr>
            <w:tcW w:w="1814" w:type="dxa"/>
            <w:tcBorders>
              <w:top w:val="single" w:sz="4" w:space="0" w:color="00000A"/>
              <w:left w:val="single" w:sz="4" w:space="0" w:color="00000A"/>
              <w:bottom w:val="single" w:sz="4" w:space="0" w:color="00000A"/>
              <w:insideH w:val="single" w:sz="4" w:space="0" w:color="00000A"/>
            </w:tcBorders>
            <w:shd w:fill="auto" w:val="clear"/>
            <w:tcMar>
              <w:left w:w="62" w:type="dxa"/>
            </w:tcMar>
          </w:tcPr>
          <w:p>
            <w:pPr>
              <w:pStyle w:val="ConsPlusNormal2"/>
              <w:jc w:val="center"/>
              <w:rPr>
                <w:rFonts w:cs="Arial"/>
                <w:sz w:val="24"/>
                <w:szCs w:val="24"/>
              </w:rPr>
            </w:pPr>
            <w:r>
              <w:rPr>
                <w:rFonts w:cs="Arial"/>
                <w:sz w:val="24"/>
                <w:szCs w:val="24"/>
              </w:rPr>
              <w:t>2,0</w:t>
            </w:r>
          </w:p>
        </w:tc>
        <w:tc>
          <w:tcPr>
            <w:tcW w:w="181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62" w:type="dxa"/>
            </w:tcMar>
          </w:tcPr>
          <w:p>
            <w:pPr>
              <w:pStyle w:val="ConsPlusNormal2"/>
              <w:jc w:val="center"/>
              <w:rPr>
                <w:rFonts w:cs="Arial"/>
                <w:sz w:val="24"/>
                <w:szCs w:val="24"/>
              </w:rPr>
            </w:pPr>
            <w:r>
              <w:rPr>
                <w:rFonts w:cs="Arial"/>
                <w:sz w:val="24"/>
                <w:szCs w:val="24"/>
              </w:rPr>
              <w:t>0,7</w:t>
            </w:r>
          </w:p>
        </w:tc>
      </w:tr>
    </w:tbl>
    <w:p>
      <w:pPr>
        <w:pStyle w:val="ConsPlusNormal2"/>
        <w:ind w:left="0" w:right="0" w:firstLine="540"/>
        <w:rPr>
          <w:rFonts w:cs="Arial"/>
          <w:i/>
          <w:i/>
          <w:sz w:val="24"/>
          <w:szCs w:val="24"/>
        </w:rPr>
      </w:pPr>
      <w:r>
        <w:rPr>
          <w:rFonts w:cs="Arial"/>
          <w:i/>
          <w:sz w:val="24"/>
          <w:szCs w:val="24"/>
        </w:rPr>
        <w:t>Примечания.</w:t>
      </w:r>
    </w:p>
    <w:p>
      <w:pPr>
        <w:pStyle w:val="ConsPlusNormal2"/>
        <w:ind w:left="0" w:right="0" w:firstLine="540"/>
        <w:rPr>
          <w:rFonts w:cs="Arial"/>
          <w:i/>
          <w:i/>
          <w:sz w:val="24"/>
          <w:szCs w:val="24"/>
        </w:rPr>
      </w:pPr>
      <w:r>
        <w:rPr>
          <w:rFonts w:cs="Arial"/>
          <w:i/>
          <w:sz w:val="24"/>
          <w:szCs w:val="24"/>
        </w:rPr>
        <w:t>1. Приведенные нормы относятся к деревьям с диаметром кроны не более 5 м и должны быть увеличены для деревьев с кроной большего диаметра.</w:t>
      </w:r>
    </w:p>
    <w:p>
      <w:pPr>
        <w:pStyle w:val="ConsPlusNormal2"/>
        <w:ind w:left="0" w:right="0" w:firstLine="540"/>
        <w:rPr>
          <w:rFonts w:cs="Arial"/>
          <w:i/>
          <w:i/>
          <w:sz w:val="24"/>
          <w:szCs w:val="24"/>
        </w:rPr>
      </w:pPr>
      <w:r>
        <w:rPr>
          <w:rFonts w:cs="Arial"/>
          <w:i/>
          <w:sz w:val="24"/>
          <w:szCs w:val="24"/>
        </w:rPr>
        <w:t>2. Деревья, высаживаемые у зданий, не должны препятствовать инсоляции и освещенности жилых и общественных помещений.</w:t>
      </w:r>
    </w:p>
    <w:p>
      <w:pPr>
        <w:pStyle w:val="ConsPlusNormal2"/>
        <w:ind w:left="0" w:right="0" w:firstLine="540"/>
        <w:rPr>
          <w:rFonts w:cs="Arial"/>
          <w:i/>
          <w:i/>
          <w:sz w:val="24"/>
          <w:szCs w:val="24"/>
        </w:rPr>
      </w:pPr>
      <w:r>
        <w:rPr>
          <w:rFonts w:cs="Arial"/>
          <w:i/>
          <w:sz w:val="24"/>
          <w:szCs w:val="24"/>
        </w:rPr>
        <w:t>3. При односторонней юго-западной и южной ориентации жилых помещений необходимо предусматривать дополнительное озеленение, препятствующее перегреву помещений.</w:t>
      </w:r>
    </w:p>
    <w:p>
      <w:pPr>
        <w:pStyle w:val="ConsPlusNormal2"/>
        <w:suppressAutoHyphens w:val="false"/>
        <w:ind w:left="0" w:right="0" w:firstLine="540"/>
        <w:rPr>
          <w:rFonts w:eastAsia="Times New Roman" w:cs="Arial"/>
          <w:i/>
          <w:i/>
          <w:sz w:val="24"/>
          <w:szCs w:val="24"/>
        </w:rPr>
      </w:pPr>
      <w:r>
        <w:rPr>
          <w:rFonts w:eastAsia="Times New Roman" w:cs="Arial"/>
          <w:i/>
          <w:sz w:val="24"/>
          <w:szCs w:val="24"/>
        </w:rPr>
        <w:t>4. Расстояния от воздушных линий электропередачи до деревьев  следует принимать по Правилам устройства электроустановок (ПУЭ).</w:t>
      </w:r>
    </w:p>
    <w:p>
      <w:pPr>
        <w:pStyle w:val="ConsPlusNormal2"/>
        <w:tabs>
          <w:tab w:val="left" w:pos="0" w:leader="none"/>
          <w:tab w:val="left" w:pos="851" w:leader="none"/>
        </w:tabs>
        <w:suppressAutoHyphens w:val="false"/>
        <w:rPr>
          <w:rFonts w:cs="Arial"/>
          <w:sz w:val="24"/>
          <w:szCs w:val="24"/>
        </w:rPr>
      </w:pPr>
      <w:r>
        <w:rPr>
          <w:rFonts w:cs="Arial"/>
          <w:sz w:val="24"/>
          <w:szCs w:val="24"/>
        </w:rPr>
        <w:t>5.7.14.Зона пляжей - организованное место массового отдыха людей, расположенное на участке берега с прилегающей к нему акваторией, специально обустроенное для купания и массового отдыха в рекреационных целях.</w:t>
      </w:r>
    </w:p>
    <w:p>
      <w:pPr>
        <w:pStyle w:val="ConsPlusNormal2"/>
        <w:tabs>
          <w:tab w:val="left" w:pos="0" w:leader="none"/>
          <w:tab w:val="left" w:pos="851" w:leader="none"/>
        </w:tabs>
        <w:suppressAutoHyphens w:val="false"/>
        <w:rPr>
          <w:rFonts w:cs="Arial"/>
          <w:sz w:val="24"/>
          <w:szCs w:val="24"/>
        </w:rPr>
      </w:pPr>
      <w:r>
        <w:rPr>
          <w:rFonts w:cs="Arial"/>
          <w:sz w:val="24"/>
          <w:szCs w:val="24"/>
        </w:rPr>
        <w:t>5.7.15.Размеры территорий речных и озерных пляжей, размещаемых в зонах отдыха, следует принимать не менее 8 кв.м на одного посетителя и 4 кв.м н – для детей. Рассчитывать численность единовременных посетителей на пляжах следует с учетом коэффициентов одновременной загрузки пляжей общего пользования для местного населения – 0,2.</w:t>
      </w:r>
    </w:p>
    <w:p>
      <w:pPr>
        <w:pStyle w:val="ConsPlusNormal2"/>
        <w:tabs>
          <w:tab w:val="left" w:pos="0" w:leader="none"/>
          <w:tab w:val="left" w:pos="851" w:leader="none"/>
        </w:tabs>
        <w:suppressAutoHyphens w:val="false"/>
        <w:rPr>
          <w:rFonts w:cs="Arial"/>
          <w:sz w:val="24"/>
          <w:szCs w:val="24"/>
        </w:rPr>
      </w:pPr>
      <w:r>
        <w:rPr>
          <w:rFonts w:cs="Arial"/>
          <w:sz w:val="24"/>
          <w:szCs w:val="24"/>
        </w:rPr>
        <w:t>5.7.16.Пляжные территории должны соответствовать следующим требованиям:</w:t>
      </w:r>
    </w:p>
    <w:p>
      <w:pPr>
        <w:pStyle w:val="ConsPlusNormal2"/>
        <w:ind w:left="0" w:right="0" w:firstLine="540"/>
        <w:rPr>
          <w:rFonts w:cs="Arial"/>
          <w:sz w:val="24"/>
          <w:szCs w:val="24"/>
        </w:rPr>
      </w:pPr>
      <w:r>
        <w:rPr>
          <w:rFonts w:cs="Arial"/>
          <w:sz w:val="24"/>
          <w:szCs w:val="24"/>
        </w:rPr>
        <w:t>- наличие незагороженной, свободной для прохождения полосы по всей протяженности береговой линии минимальной шириной 20 м;</w:t>
      </w:r>
    </w:p>
    <w:p>
      <w:pPr>
        <w:pStyle w:val="ConsPlusNormal2"/>
        <w:ind w:left="0" w:right="0" w:firstLine="540"/>
        <w:rPr>
          <w:rFonts w:cs="Arial"/>
          <w:sz w:val="24"/>
          <w:szCs w:val="24"/>
        </w:rPr>
      </w:pPr>
      <w:r>
        <w:rPr>
          <w:rFonts w:cs="Arial"/>
          <w:sz w:val="24"/>
          <w:szCs w:val="24"/>
        </w:rPr>
        <w:t>- обеспечение безопасных и комфортных условий купания;</w:t>
      </w:r>
    </w:p>
    <w:p>
      <w:pPr>
        <w:pStyle w:val="ConsPlusNormal2"/>
        <w:ind w:left="0" w:right="0" w:firstLine="540"/>
        <w:rPr>
          <w:rFonts w:cs="Arial"/>
          <w:sz w:val="24"/>
          <w:szCs w:val="24"/>
        </w:rPr>
      </w:pPr>
      <w:r>
        <w:rPr>
          <w:rFonts w:cs="Arial"/>
          <w:sz w:val="24"/>
          <w:szCs w:val="24"/>
        </w:rPr>
        <w:t>- обеспечение территории пляжей инженерным оборудованием (в том числе канализация и водоснабжение), объектами первой медицинской помощи, спасательной службы, охраны правопорядка, камерами хранения, навесами, раздевалками, душевыми кабинами, питьевыми фонтанами и другими объектами, а также контейнерами для сбора мусора.</w:t>
      </w:r>
    </w:p>
    <w:p>
      <w:pPr>
        <w:pStyle w:val="ConsPlusNormal2"/>
        <w:ind w:left="0" w:right="0" w:firstLine="540"/>
        <w:rPr>
          <w:rFonts w:cs="Arial"/>
          <w:sz w:val="24"/>
          <w:szCs w:val="24"/>
        </w:rPr>
      </w:pPr>
      <w:r>
        <w:rPr>
          <w:rFonts w:cs="Arial"/>
          <w:sz w:val="24"/>
          <w:szCs w:val="24"/>
        </w:rPr>
        <w:t>На территории пляжа запрещается строительство и эксплуатация объектов временного и постоянного проживания людей, а также иных объектов, не связанных непосредственно с обслуживанием посетителей пляжей и оказывающих вредное воздействие на экологическое состояние территории акватории.</w:t>
      </w:r>
    </w:p>
    <w:p>
      <w:pPr>
        <w:pStyle w:val="ConsPlusNormal2"/>
        <w:tabs>
          <w:tab w:val="left" w:pos="0" w:leader="none"/>
          <w:tab w:val="left" w:pos="851" w:leader="none"/>
        </w:tabs>
        <w:suppressAutoHyphens w:val="false"/>
        <w:rPr>
          <w:rFonts w:ascii="Arial" w:hAnsi="Arial" w:cs="Arial"/>
        </w:rPr>
      </w:pPr>
      <w:r>
        <w:rPr>
          <w:rFonts w:cs="Arial"/>
          <w:sz w:val="24"/>
          <w:szCs w:val="24"/>
        </w:rPr>
        <w:t>5.7.17.Размеры и режим использования особо охраняемых территорий устанавливаются на основе градостроительных регламентов с учетом законодательства Российской Федерации. Категории особо охраняемых территорий федерального, регионального и местного значения определяются </w:t>
      </w:r>
      <w:hyperlink r:id="rId48">
        <w:r>
          <w:rPr>
            <w:rStyle w:val="Style9"/>
            <w:rFonts w:cs="Arial"/>
            <w:color w:val="00000A"/>
            <w:sz w:val="24"/>
            <w:szCs w:val="24"/>
          </w:rPr>
          <w:t>законом Российской Федерации "Об особо охраняемых природных территориях"</w:t>
        </w:r>
      </w:hyperlink>
    </w:p>
    <w:p>
      <w:pPr>
        <w:pStyle w:val="Style118"/>
        <w:shd w:fill="FFFFFF" w:val="clear"/>
        <w:ind w:left="1428" w:right="0" w:hanging="0"/>
        <w:rPr>
          <w:rFonts w:ascii="Arial" w:hAnsi="Arial" w:cs="Arial"/>
        </w:rPr>
      </w:pPr>
      <w:r>
        <w:rPr>
          <w:rFonts w:cs="Arial" w:ascii="Arial" w:hAnsi="Arial"/>
        </w:rPr>
      </w:r>
    </w:p>
    <w:p>
      <w:pPr>
        <w:pStyle w:val="Style118"/>
        <w:shd w:fill="FFFFFF" w:val="clear"/>
        <w:ind w:left="1428" w:right="0" w:hanging="0"/>
        <w:rPr>
          <w:rFonts w:ascii="Arial" w:hAnsi="Arial" w:cs="Arial"/>
        </w:rPr>
      </w:pPr>
      <w:bookmarkStart w:id="97" w:name="__RefHeading___Toc494965535"/>
      <w:bookmarkEnd w:id="97"/>
      <w:r>
        <w:rPr>
          <w:rFonts w:cs="Arial" w:ascii="Arial" w:hAnsi="Arial"/>
        </w:rPr>
        <w:t>5.8.Зоны специального назначения</w:t>
      </w:r>
    </w:p>
    <w:p>
      <w:pPr>
        <w:pStyle w:val="NoSpacing"/>
        <w:rPr/>
      </w:pPr>
      <w:r>
        <w:rPr>
          <w:rFonts w:eastAsia="Arial" w:cs="Arial" w:ascii="Arial" w:hAnsi="Arial"/>
        </w:rPr>
        <w:t xml:space="preserve">           </w:t>
      </w:r>
      <w:r>
        <w:rPr>
          <w:rFonts w:cs="Arial" w:ascii="Arial" w:hAnsi="Arial"/>
        </w:rPr>
        <w:t>5.8.1.</w:t>
      </w:r>
      <w:r>
        <w:rPr>
          <w:rFonts w:cs="Arial" w:ascii="Arial" w:hAnsi="Arial"/>
          <w:i/>
        </w:rPr>
        <w:t>Зоны размещения кладбищ</w:t>
      </w:r>
    </w:p>
    <w:p>
      <w:pPr>
        <w:pStyle w:val="ConsPlusNormal2"/>
        <w:tabs>
          <w:tab w:val="left" w:pos="851" w:leader="none"/>
        </w:tabs>
        <w:suppressAutoHyphens w:val="false"/>
        <w:rPr>
          <w:rFonts w:cs="Arial"/>
          <w:sz w:val="24"/>
          <w:szCs w:val="24"/>
        </w:rPr>
      </w:pPr>
      <w:r>
        <w:rPr>
          <w:rFonts w:cs="Arial"/>
          <w:sz w:val="24"/>
          <w:szCs w:val="24"/>
        </w:rPr>
        <w:t>5.8.1.1.Размещение, расширение и реконструкция кладбищ, зданий и сооружений похоронного назначения осуществляются в соответствии с действующими санитарными правилами и нормами и настоящими Нормативами.</w:t>
      </w:r>
    </w:p>
    <w:p>
      <w:pPr>
        <w:pStyle w:val="ConsPlusNormal2"/>
        <w:tabs>
          <w:tab w:val="left" w:pos="851" w:leader="none"/>
        </w:tabs>
        <w:suppressAutoHyphens w:val="false"/>
        <w:rPr>
          <w:rFonts w:cs="Arial"/>
          <w:sz w:val="24"/>
          <w:szCs w:val="24"/>
        </w:rPr>
      </w:pPr>
      <w:r>
        <w:rPr>
          <w:rFonts w:cs="Arial"/>
          <w:sz w:val="24"/>
          <w:szCs w:val="24"/>
        </w:rPr>
        <w:t>5.8.1.2.Не разрешается размещать кладбища на территориях:</w:t>
      </w:r>
    </w:p>
    <w:p>
      <w:pPr>
        <w:pStyle w:val="ConsPlusNormal2"/>
        <w:ind w:left="0" w:right="0" w:firstLine="540"/>
        <w:rPr>
          <w:rFonts w:cs="Arial"/>
          <w:sz w:val="24"/>
          <w:szCs w:val="24"/>
        </w:rPr>
      </w:pPr>
      <w:r>
        <w:rPr>
          <w:rFonts w:cs="Arial"/>
          <w:sz w:val="24"/>
          <w:szCs w:val="24"/>
        </w:rPr>
        <w:t>- первого и второго поясов зон санитарной охраны источников централизованного водоснабжения и минеральных источников;</w:t>
      </w:r>
    </w:p>
    <w:p>
      <w:pPr>
        <w:pStyle w:val="ConsPlusNormal2"/>
        <w:ind w:left="0" w:right="0" w:firstLine="540"/>
        <w:rPr>
          <w:rFonts w:cs="Arial"/>
          <w:sz w:val="24"/>
          <w:szCs w:val="24"/>
        </w:rPr>
      </w:pPr>
      <w:r>
        <w:rPr>
          <w:rFonts w:cs="Arial"/>
          <w:sz w:val="24"/>
          <w:szCs w:val="24"/>
        </w:rPr>
        <w:t>- с выходом на поверхность закарстованных, сильнотрещиноватых пород и в местах выклинивания водоносных горизонтов;</w:t>
      </w:r>
    </w:p>
    <w:p>
      <w:pPr>
        <w:pStyle w:val="ConsPlusNormal2"/>
        <w:ind w:left="0" w:right="0" w:firstLine="540"/>
        <w:rPr>
          <w:rFonts w:cs="Arial"/>
          <w:sz w:val="24"/>
          <w:szCs w:val="24"/>
        </w:rPr>
      </w:pPr>
      <w:r>
        <w:rPr>
          <w:rFonts w:cs="Arial"/>
          <w:sz w:val="24"/>
          <w:szCs w:val="24"/>
        </w:rPr>
        <w:t>- со стоянием грунтовых вод менее двух метров от поверхности земли при наиболее высоком их стоянии, а также на затапливаемых, заболоченных участках;</w:t>
      </w:r>
    </w:p>
    <w:p>
      <w:pPr>
        <w:pStyle w:val="ConsPlusNormal2"/>
        <w:ind w:left="0" w:right="0" w:firstLine="540"/>
        <w:rPr>
          <w:rFonts w:cs="Arial"/>
          <w:sz w:val="24"/>
          <w:szCs w:val="24"/>
        </w:rPr>
      </w:pPr>
      <w:r>
        <w:rPr>
          <w:rFonts w:cs="Arial"/>
          <w:sz w:val="24"/>
          <w:szCs w:val="24"/>
        </w:rPr>
        <w:t>- по берегам озер, рек и других открытых водоемов, используемых населением для хозяйственно-бытовых нужд, купания и культурно-оздоровительных целей.</w:t>
      </w:r>
    </w:p>
    <w:p>
      <w:pPr>
        <w:pStyle w:val="ConsPlusNormal2"/>
        <w:tabs>
          <w:tab w:val="left" w:pos="851" w:leader="none"/>
        </w:tabs>
        <w:suppressAutoHyphens w:val="false"/>
        <w:rPr>
          <w:rFonts w:cs="Arial"/>
          <w:sz w:val="24"/>
          <w:szCs w:val="24"/>
        </w:rPr>
      </w:pPr>
      <w:r>
        <w:rPr>
          <w:rFonts w:cs="Arial"/>
          <w:sz w:val="24"/>
          <w:szCs w:val="24"/>
        </w:rPr>
        <w:t>5.8.1.3.Выбор земельного участка под размещение кладбища производится на основе санитарно-эпидемиологической оценки следующих факторов:</w:t>
      </w:r>
    </w:p>
    <w:p>
      <w:pPr>
        <w:pStyle w:val="ConsPlusNormal2"/>
        <w:ind w:left="0" w:right="0" w:firstLine="540"/>
        <w:rPr>
          <w:rFonts w:cs="Arial"/>
          <w:sz w:val="24"/>
          <w:szCs w:val="24"/>
        </w:rPr>
      </w:pPr>
      <w:r>
        <w:rPr>
          <w:rFonts w:cs="Arial"/>
          <w:sz w:val="24"/>
          <w:szCs w:val="24"/>
        </w:rPr>
        <w:t>1) санитарно-эпидемиологической обстановки;</w:t>
      </w:r>
    </w:p>
    <w:p>
      <w:pPr>
        <w:pStyle w:val="ConsPlusNormal2"/>
        <w:ind w:left="0" w:right="0" w:firstLine="540"/>
        <w:rPr>
          <w:rFonts w:cs="Arial"/>
          <w:sz w:val="24"/>
          <w:szCs w:val="24"/>
        </w:rPr>
      </w:pPr>
      <w:r>
        <w:rPr>
          <w:rFonts w:cs="Arial"/>
          <w:sz w:val="24"/>
          <w:szCs w:val="24"/>
        </w:rPr>
        <w:t>2) градостроительного назначения и ландшафтного зонирования территории;</w:t>
      </w:r>
    </w:p>
    <w:p>
      <w:pPr>
        <w:pStyle w:val="ConsPlusNormal2"/>
        <w:ind w:left="0" w:right="0" w:firstLine="540"/>
        <w:rPr>
          <w:rFonts w:cs="Arial"/>
          <w:sz w:val="24"/>
          <w:szCs w:val="24"/>
        </w:rPr>
      </w:pPr>
      <w:r>
        <w:rPr>
          <w:rFonts w:cs="Arial"/>
          <w:sz w:val="24"/>
          <w:szCs w:val="24"/>
        </w:rPr>
        <w:t>3) геологических, гидрогеологических и гидрогеохимических данных;</w:t>
      </w:r>
    </w:p>
    <w:p>
      <w:pPr>
        <w:pStyle w:val="ConsPlusNormal2"/>
        <w:ind w:left="0" w:right="0" w:firstLine="540"/>
        <w:rPr>
          <w:rFonts w:cs="Arial"/>
          <w:sz w:val="24"/>
          <w:szCs w:val="24"/>
        </w:rPr>
      </w:pPr>
      <w:r>
        <w:rPr>
          <w:rFonts w:cs="Arial"/>
          <w:sz w:val="24"/>
          <w:szCs w:val="24"/>
        </w:rPr>
        <w:t>4) почвенно-географических и способности почв и почвогрунтов к самоочищению;</w:t>
      </w:r>
    </w:p>
    <w:p>
      <w:pPr>
        <w:pStyle w:val="ConsPlusNormal2"/>
        <w:ind w:left="0" w:right="0" w:firstLine="540"/>
        <w:rPr>
          <w:rFonts w:cs="Arial"/>
          <w:sz w:val="24"/>
          <w:szCs w:val="24"/>
        </w:rPr>
      </w:pPr>
      <w:r>
        <w:rPr>
          <w:rFonts w:cs="Arial"/>
          <w:sz w:val="24"/>
          <w:szCs w:val="24"/>
        </w:rPr>
        <w:t>5) эрозионного потенциала и миграции загрязнений;</w:t>
      </w:r>
    </w:p>
    <w:p>
      <w:pPr>
        <w:pStyle w:val="ConsPlusNormal2"/>
        <w:ind w:left="0" w:right="0" w:firstLine="540"/>
        <w:rPr>
          <w:rFonts w:cs="Arial"/>
          <w:sz w:val="24"/>
          <w:szCs w:val="24"/>
        </w:rPr>
      </w:pPr>
      <w:r>
        <w:rPr>
          <w:rFonts w:cs="Arial"/>
          <w:sz w:val="24"/>
          <w:szCs w:val="24"/>
        </w:rPr>
        <w:t>6) транспортной доступности.</w:t>
      </w:r>
    </w:p>
    <w:p>
      <w:pPr>
        <w:pStyle w:val="ConsPlusNormal2"/>
        <w:ind w:left="0" w:right="0" w:firstLine="540"/>
        <w:rPr>
          <w:rFonts w:cs="Arial"/>
          <w:sz w:val="24"/>
          <w:szCs w:val="24"/>
        </w:rPr>
      </w:pPr>
      <w:r>
        <w:rPr>
          <w:rFonts w:cs="Arial"/>
          <w:sz w:val="24"/>
          <w:szCs w:val="24"/>
        </w:rPr>
        <w:t>Участок, отводимый под кладбище, должен удовлетворять следующим требованиям:</w:t>
      </w:r>
    </w:p>
    <w:p>
      <w:pPr>
        <w:pStyle w:val="ConsPlusNormal2"/>
        <w:ind w:left="0" w:right="0" w:firstLine="540"/>
        <w:rPr>
          <w:rFonts w:cs="Arial"/>
          <w:sz w:val="24"/>
          <w:szCs w:val="24"/>
        </w:rPr>
      </w:pPr>
      <w:r>
        <w:rPr>
          <w:rFonts w:cs="Arial"/>
          <w:sz w:val="24"/>
          <w:szCs w:val="24"/>
        </w:rPr>
        <w:t>- иметь уклон в сторону, противоположную населенному пункту, открытым водоемам, не затопляться при паводках;</w:t>
      </w:r>
    </w:p>
    <w:p>
      <w:pPr>
        <w:pStyle w:val="ConsPlusNormal2"/>
        <w:ind w:left="0" w:right="0" w:firstLine="540"/>
        <w:rPr>
          <w:rFonts w:cs="Arial"/>
          <w:sz w:val="24"/>
          <w:szCs w:val="24"/>
        </w:rPr>
      </w:pPr>
      <w:r>
        <w:rPr>
          <w:rFonts w:cs="Arial"/>
          <w:sz w:val="24"/>
          <w:szCs w:val="24"/>
        </w:rPr>
        <w:t>- иметь уровень стояния грунтовых вод не менее чем в 2,5 м от поверхности земли при максимальном стоянии грунтовых вод. При уровне выше 2,5 м от поверхности земли участок может быть использован лишь для размещения кладбища для погребения после кремации;</w:t>
      </w:r>
    </w:p>
    <w:p>
      <w:pPr>
        <w:pStyle w:val="ConsPlusNormal2"/>
        <w:ind w:left="0" w:right="0" w:firstLine="540"/>
        <w:rPr>
          <w:rFonts w:cs="Arial"/>
          <w:sz w:val="24"/>
          <w:szCs w:val="24"/>
        </w:rPr>
      </w:pPr>
      <w:r>
        <w:rPr>
          <w:rFonts w:cs="Arial"/>
          <w:sz w:val="24"/>
          <w:szCs w:val="24"/>
        </w:rPr>
        <w:t>- располагаться с подветренной стороны по отношению к жилой территории.</w:t>
      </w:r>
    </w:p>
    <w:p>
      <w:pPr>
        <w:pStyle w:val="ConsPlusNormal2"/>
        <w:tabs>
          <w:tab w:val="left" w:pos="851" w:leader="none"/>
        </w:tabs>
        <w:suppressAutoHyphens w:val="false"/>
        <w:rPr>
          <w:rFonts w:cs="Arial"/>
          <w:sz w:val="24"/>
          <w:szCs w:val="24"/>
        </w:rPr>
      </w:pPr>
      <w:r>
        <w:rPr>
          <w:rFonts w:cs="Arial"/>
          <w:sz w:val="24"/>
          <w:szCs w:val="24"/>
        </w:rPr>
        <w:t>5.8.1.4.Устройство кладбища осуществляется в соответствии с утвержденным проектом, в котором предусматриваются:</w:t>
      </w:r>
    </w:p>
    <w:p>
      <w:pPr>
        <w:pStyle w:val="ConsPlusNormal2"/>
        <w:ind w:left="0" w:right="0" w:firstLine="540"/>
        <w:rPr>
          <w:rFonts w:cs="Arial"/>
          <w:sz w:val="24"/>
          <w:szCs w:val="24"/>
        </w:rPr>
      </w:pPr>
      <w:r>
        <w:rPr>
          <w:rFonts w:cs="Arial"/>
          <w:sz w:val="24"/>
          <w:szCs w:val="24"/>
        </w:rPr>
        <w:t>- обоснованность места размещения кладбища с мероприятиями по обеспечению защиты окружающей среды;</w:t>
      </w:r>
    </w:p>
    <w:p>
      <w:pPr>
        <w:pStyle w:val="ConsPlusNormal2"/>
        <w:ind w:left="0" w:right="0" w:firstLine="540"/>
        <w:rPr>
          <w:rFonts w:cs="Arial"/>
          <w:sz w:val="24"/>
          <w:szCs w:val="24"/>
        </w:rPr>
      </w:pPr>
      <w:r>
        <w:rPr>
          <w:rFonts w:cs="Arial"/>
          <w:sz w:val="24"/>
          <w:szCs w:val="24"/>
        </w:rPr>
        <w:t>- организация и благоустройство санитарно-защитной зоны; характер и площадь зеленых насаждений; организация подъездных путей и автостоянок;</w:t>
      </w:r>
    </w:p>
    <w:p>
      <w:pPr>
        <w:pStyle w:val="ConsPlusNormal2"/>
        <w:ind w:left="0" w:right="0" w:firstLine="540"/>
        <w:rPr>
          <w:rFonts w:cs="Arial"/>
          <w:sz w:val="24"/>
          <w:szCs w:val="24"/>
        </w:rPr>
      </w:pPr>
      <w:r>
        <w:rPr>
          <w:rFonts w:cs="Arial"/>
          <w:sz w:val="24"/>
          <w:szCs w:val="24"/>
        </w:rPr>
        <w:t>- планировочное решение зоны захоронений для всех типов кладбищ с разделением на участки, различающиеся по типу захоронений, при этом площадь мест захоронения должна быть не менее 65 - 70 процентов общей площади кладбища;</w:t>
      </w:r>
    </w:p>
    <w:p>
      <w:pPr>
        <w:pStyle w:val="ConsPlusNormal2"/>
        <w:ind w:left="0" w:right="0" w:firstLine="540"/>
        <w:rPr>
          <w:rFonts w:cs="Arial"/>
          <w:sz w:val="24"/>
          <w:szCs w:val="24"/>
        </w:rPr>
      </w:pPr>
      <w:r>
        <w:rPr>
          <w:rFonts w:cs="Arial"/>
          <w:sz w:val="24"/>
          <w:szCs w:val="24"/>
        </w:rPr>
        <w:t>- разделение территории кладбища на функциональные зоны (входную, ритуальную, административно-хозяйственную, захоронений, зеленой защиты по периметру кладбища);</w:t>
      </w:r>
    </w:p>
    <w:p>
      <w:pPr>
        <w:pStyle w:val="ConsPlusNormal2"/>
        <w:ind w:left="0" w:right="0" w:firstLine="540"/>
        <w:rPr>
          <w:rFonts w:cs="Arial"/>
          <w:sz w:val="24"/>
          <w:szCs w:val="24"/>
        </w:rPr>
      </w:pPr>
      <w:r>
        <w:rPr>
          <w:rFonts w:cs="Arial"/>
          <w:sz w:val="24"/>
          <w:szCs w:val="24"/>
        </w:rPr>
        <w:t>- электроснабжение, благоустройство территории.</w:t>
      </w:r>
    </w:p>
    <w:p>
      <w:pPr>
        <w:pStyle w:val="ConsPlusNormal2"/>
        <w:tabs>
          <w:tab w:val="left" w:pos="851" w:leader="none"/>
        </w:tabs>
        <w:suppressAutoHyphens w:val="false"/>
        <w:rPr>
          <w:rFonts w:cs="Arial"/>
          <w:sz w:val="24"/>
          <w:szCs w:val="24"/>
        </w:rPr>
      </w:pPr>
      <w:r>
        <w:rPr>
          <w:rFonts w:cs="Arial"/>
          <w:sz w:val="24"/>
          <w:szCs w:val="24"/>
        </w:rPr>
        <w:t>5.8.1.5.Размер земельного участка для кладбища определяется с учетом количества жителей конкретного населенного пункта, но не может превышать 20 гектаров. При этом также учитываются перспективный рост численности населения, коэффициент смертности, наличие действующих объектов похоронного обслуживания, принятая схема и способы захоронения, вероисповедание, нормы земельного участка на одно захоронение.</w:t>
      </w:r>
    </w:p>
    <w:p>
      <w:pPr>
        <w:pStyle w:val="ConsPlusNormal2"/>
        <w:tabs>
          <w:tab w:val="left" w:pos="851" w:leader="none"/>
        </w:tabs>
        <w:suppressAutoHyphens w:val="false"/>
        <w:rPr>
          <w:rFonts w:cs="Arial"/>
          <w:sz w:val="24"/>
          <w:szCs w:val="24"/>
        </w:rPr>
      </w:pPr>
      <w:r>
        <w:rPr>
          <w:rFonts w:cs="Arial"/>
          <w:sz w:val="24"/>
          <w:szCs w:val="24"/>
        </w:rPr>
        <w:t>5.8.1.6.Размер участка земли на территориях кладбищ для погребения умершего устанавливается органом местного самоуправления таким образом, чтобы гарантировать погребение на этом же участке земли умершего супруга или близкого родственника.</w:t>
      </w:r>
    </w:p>
    <w:p>
      <w:pPr>
        <w:pStyle w:val="ConsPlusNormal2"/>
        <w:tabs>
          <w:tab w:val="left" w:pos="851" w:leader="none"/>
        </w:tabs>
        <w:suppressAutoHyphens w:val="false"/>
        <w:rPr>
          <w:rFonts w:cs="Arial"/>
          <w:sz w:val="24"/>
          <w:szCs w:val="24"/>
        </w:rPr>
      </w:pPr>
      <w:r>
        <w:rPr>
          <w:rFonts w:cs="Arial"/>
          <w:sz w:val="24"/>
          <w:szCs w:val="24"/>
        </w:rPr>
        <w:t>5.8.1.7.Вновь создаваемые места погребения должны размещаться на расстоянии не менее 100 м от границ селитебной территории.</w:t>
      </w:r>
    </w:p>
    <w:p>
      <w:pPr>
        <w:pStyle w:val="ConsPlusNormal2"/>
        <w:tabs>
          <w:tab w:val="left" w:pos="851" w:leader="none"/>
        </w:tabs>
        <w:suppressAutoHyphens w:val="false"/>
        <w:rPr>
          <w:rFonts w:cs="Arial"/>
          <w:sz w:val="24"/>
          <w:szCs w:val="24"/>
        </w:rPr>
      </w:pPr>
      <w:r>
        <w:rPr>
          <w:rFonts w:cs="Arial"/>
          <w:sz w:val="24"/>
          <w:szCs w:val="24"/>
        </w:rPr>
        <w:t>5.8.1.8.Кладбища с погребением путем предания тела (останков) умершего земле (захоронение в могилу, склеп) размещают на расстоянии:</w:t>
      </w:r>
    </w:p>
    <w:p>
      <w:pPr>
        <w:pStyle w:val="ConsPlusNormal2"/>
        <w:ind w:left="0" w:right="0" w:firstLine="540"/>
        <w:rPr>
          <w:rFonts w:cs="Arial"/>
          <w:sz w:val="24"/>
          <w:szCs w:val="24"/>
        </w:rPr>
      </w:pPr>
      <w:r>
        <w:rPr>
          <w:rFonts w:cs="Arial"/>
          <w:sz w:val="24"/>
          <w:szCs w:val="24"/>
        </w:rPr>
        <w:t>- от жилых, общественных зданий, спортивно-оздоровительных и санаторно-курортных зон:</w:t>
      </w:r>
    </w:p>
    <w:p>
      <w:pPr>
        <w:pStyle w:val="ConsPlusNormal2"/>
        <w:ind w:left="0" w:right="0" w:firstLine="540"/>
        <w:rPr>
          <w:rFonts w:cs="Arial"/>
          <w:sz w:val="24"/>
          <w:szCs w:val="24"/>
        </w:rPr>
      </w:pPr>
      <w:r>
        <w:rPr>
          <w:rFonts w:cs="Arial"/>
          <w:sz w:val="24"/>
          <w:szCs w:val="24"/>
        </w:rPr>
        <w:t>- 500 м - при площади кладбища от 20 до 40 га (размещение кладбища размером территории более 40 га не допускается);</w:t>
      </w:r>
    </w:p>
    <w:p>
      <w:pPr>
        <w:pStyle w:val="ConsPlusNormal2"/>
        <w:ind w:left="0" w:right="0" w:firstLine="540"/>
        <w:rPr>
          <w:rFonts w:cs="Arial"/>
          <w:sz w:val="24"/>
          <w:szCs w:val="24"/>
        </w:rPr>
      </w:pPr>
      <w:r>
        <w:rPr>
          <w:rFonts w:cs="Arial"/>
          <w:sz w:val="24"/>
          <w:szCs w:val="24"/>
        </w:rPr>
        <w:t>- 300 м - при площади кладбища до 20 га;</w:t>
      </w:r>
    </w:p>
    <w:p>
      <w:pPr>
        <w:pStyle w:val="ConsPlusNormal2"/>
        <w:ind w:left="0" w:right="0" w:firstLine="540"/>
        <w:rPr>
          <w:rFonts w:cs="Arial"/>
          <w:sz w:val="24"/>
          <w:szCs w:val="24"/>
        </w:rPr>
      </w:pPr>
      <w:r>
        <w:rPr>
          <w:rFonts w:cs="Arial"/>
          <w:sz w:val="24"/>
          <w:szCs w:val="24"/>
        </w:rPr>
        <w:t>- 50 м - для сельских, закрытых кладбищ и мемориальных комплексов;</w:t>
      </w:r>
    </w:p>
    <w:p>
      <w:pPr>
        <w:pStyle w:val="ConsPlusNormal2"/>
        <w:ind w:left="0" w:right="0" w:firstLine="540"/>
        <w:rPr>
          <w:rFonts w:cs="Arial"/>
          <w:sz w:val="24"/>
          <w:szCs w:val="24"/>
        </w:rPr>
      </w:pPr>
      <w:r>
        <w:rPr>
          <w:rFonts w:cs="Arial"/>
          <w:sz w:val="24"/>
          <w:szCs w:val="24"/>
        </w:rPr>
        <w:t>- от водозаборных сооружений централизованного источника водоснабжения населения не менее 1000 м с подтверждением достаточности расстояния расчетами поясов зон санитарной охраны водоисточника и времени фильтрации;</w:t>
      </w:r>
    </w:p>
    <w:p>
      <w:pPr>
        <w:pStyle w:val="ConsPlusNormal2"/>
        <w:ind w:left="0" w:right="0" w:firstLine="540"/>
        <w:rPr>
          <w:rFonts w:cs="Arial"/>
          <w:sz w:val="24"/>
          <w:szCs w:val="24"/>
        </w:rPr>
      </w:pPr>
      <w:r>
        <w:rPr>
          <w:rFonts w:cs="Arial"/>
          <w:sz w:val="24"/>
          <w:szCs w:val="24"/>
        </w:rPr>
        <w:t>- в сельских населенных пунктах, в которых используются колодцы, каптажи, родники и другие природные источники водоснабжения, при размещении кладбищ выше по потоку грунтовых вод санитарно-защитная зона между кладбищем и населенным пунктом обеспечивается в соответствии с результатами расчетов очистки грунтовых вод и данными лабораторных исследований.</w:t>
      </w:r>
    </w:p>
    <w:p>
      <w:pPr>
        <w:pStyle w:val="ConsPlusNormal2"/>
        <w:ind w:left="0" w:right="0" w:firstLine="540"/>
        <w:rPr>
          <w:rFonts w:cs="Arial"/>
          <w:sz w:val="24"/>
          <w:szCs w:val="24"/>
        </w:rPr>
      </w:pPr>
      <w:r>
        <w:rPr>
          <w:rFonts w:cs="Arial"/>
          <w:sz w:val="24"/>
          <w:szCs w:val="24"/>
        </w:rPr>
        <w:t>Примечания.</w:t>
      </w:r>
    </w:p>
    <w:p>
      <w:pPr>
        <w:pStyle w:val="ConsPlusNormal2"/>
        <w:ind w:left="0" w:right="0" w:firstLine="540"/>
        <w:rPr>
          <w:rFonts w:cs="Arial"/>
          <w:sz w:val="24"/>
          <w:szCs w:val="24"/>
        </w:rPr>
      </w:pPr>
      <w:r>
        <w:rPr>
          <w:rFonts w:cs="Arial"/>
          <w:sz w:val="24"/>
          <w:szCs w:val="24"/>
        </w:rPr>
        <w:t>1. После закрытия кладбища по истечении 25 лет после последнего захоронения расстояние до жилой застройки может быть сокращено до 50 м.</w:t>
      </w:r>
    </w:p>
    <w:p>
      <w:pPr>
        <w:pStyle w:val="ConsPlusNormal2"/>
        <w:ind w:left="0" w:right="0" w:firstLine="540"/>
        <w:rPr>
          <w:rFonts w:cs="Arial"/>
          <w:sz w:val="24"/>
          <w:szCs w:val="24"/>
        </w:rPr>
      </w:pPr>
      <w:r>
        <w:rPr>
          <w:rFonts w:cs="Arial"/>
          <w:sz w:val="24"/>
          <w:szCs w:val="24"/>
        </w:rPr>
        <w:t>2. В сельских населенных пунктах, подлежащих реконструкции, расстояние от кладбищ до стен жилых домов, зданий детских и лечебных учреждений допускается уменьшать по согласованию с местными органами санитарного надзора, но не менее чем до 50 м.</w:t>
      </w:r>
    </w:p>
    <w:p>
      <w:pPr>
        <w:pStyle w:val="ConsPlusNormal2"/>
        <w:ind w:left="0" w:right="0" w:firstLine="540"/>
        <w:rPr>
          <w:rFonts w:cs="Arial"/>
          <w:sz w:val="24"/>
          <w:szCs w:val="24"/>
        </w:rPr>
      </w:pPr>
      <w:r>
        <w:rPr>
          <w:rFonts w:cs="Arial"/>
          <w:sz w:val="24"/>
          <w:szCs w:val="24"/>
        </w:rPr>
      </w:r>
    </w:p>
    <w:p>
      <w:pPr>
        <w:pStyle w:val="ConsPlusNormal2"/>
        <w:tabs>
          <w:tab w:val="left" w:pos="851" w:leader="none"/>
        </w:tabs>
        <w:suppressAutoHyphens w:val="false"/>
        <w:rPr>
          <w:rFonts w:cs="Arial"/>
          <w:sz w:val="24"/>
          <w:szCs w:val="24"/>
        </w:rPr>
      </w:pPr>
      <w:r>
        <w:rPr>
          <w:rFonts w:cs="Arial"/>
          <w:sz w:val="24"/>
          <w:szCs w:val="24"/>
        </w:rPr>
        <w:t>5.8.1.9.Территория санитарно-защитных зон должна быть спланирована, благоустроена и озеленена, иметь транспортные и инженерные коридоры. Процент озеленения определяется расчетным путем из условия участия растительности в регулировании водного режима территории.</w:t>
      </w:r>
    </w:p>
    <w:p>
      <w:pPr>
        <w:pStyle w:val="ConsPlusNormal2"/>
        <w:tabs>
          <w:tab w:val="left" w:pos="851" w:leader="none"/>
        </w:tabs>
        <w:suppressAutoHyphens w:val="false"/>
        <w:rPr>
          <w:rFonts w:cs="Arial"/>
          <w:sz w:val="24"/>
          <w:szCs w:val="24"/>
        </w:rPr>
      </w:pPr>
      <w:r>
        <w:rPr>
          <w:rFonts w:cs="Arial"/>
          <w:sz w:val="24"/>
          <w:szCs w:val="24"/>
        </w:rPr>
        <w:t>5.8.1.10.На территориях санитарно-защитных зон кладбищ, зданий и сооружений похоронного назначения не разрешается строительство зданий и сооружений, не связанных с обслуживанием указанных объектов, за исключением культовых и обрядовых объектов.</w:t>
      </w:r>
    </w:p>
    <w:p>
      <w:pPr>
        <w:pStyle w:val="ConsPlusNormal2"/>
        <w:ind w:left="0" w:right="0" w:firstLine="540"/>
        <w:rPr>
          <w:rFonts w:cs="Arial"/>
          <w:sz w:val="24"/>
          <w:szCs w:val="24"/>
        </w:rPr>
      </w:pPr>
      <w:r>
        <w:rPr>
          <w:rFonts w:cs="Arial"/>
          <w:sz w:val="24"/>
          <w:szCs w:val="24"/>
        </w:rPr>
        <w:t>По территории санитарно-защитных зон и кладбищ запрещается прокладка сетей централизованного хозяйственно-питьевого водоснабжения.</w:t>
      </w:r>
    </w:p>
    <w:p>
      <w:pPr>
        <w:pStyle w:val="ConsPlusNormal2"/>
        <w:tabs>
          <w:tab w:val="left" w:pos="851" w:leader="none"/>
        </w:tabs>
        <w:suppressAutoHyphens w:val="false"/>
        <w:rPr>
          <w:rFonts w:cs="Arial"/>
          <w:sz w:val="24"/>
          <w:szCs w:val="24"/>
        </w:rPr>
      </w:pPr>
      <w:r>
        <w:rPr>
          <w:rFonts w:cs="Arial"/>
          <w:sz w:val="24"/>
          <w:szCs w:val="24"/>
        </w:rPr>
        <w:t>5.8.1.11.На кладбищах и других зданиях и помещениях похоронного назначения следует предусматривать систему водоснабжения. При отсутствии централизованных систем водоснабжения и канализации допускается устройство шахтных колодцев для полива и строительство общественных туалетов выгребного типа в соответствии с требованиями санитарных норм и правил.</w:t>
      </w:r>
    </w:p>
    <w:p>
      <w:pPr>
        <w:pStyle w:val="ConsPlusNormal2"/>
        <w:tabs>
          <w:tab w:val="left" w:pos="851" w:leader="none"/>
        </w:tabs>
        <w:suppressAutoHyphens w:val="false"/>
        <w:rPr>
          <w:rFonts w:cs="Arial"/>
          <w:sz w:val="24"/>
          <w:szCs w:val="24"/>
        </w:rPr>
      </w:pPr>
      <w:r>
        <w:rPr>
          <w:rFonts w:cs="Arial"/>
          <w:sz w:val="24"/>
          <w:szCs w:val="24"/>
        </w:rPr>
        <w:t>5.8.1.12.На участках кладбищ, зданий и сооружений похоронного назначения предусматриваются зона зеленых насаждений шириной не менее 20 метров, стоянки автокатафалков и автотранспорта, урны для сбора мусора, площадки для мусоросборников с подъездами к ним.</w:t>
      </w:r>
    </w:p>
    <w:p>
      <w:pPr>
        <w:pStyle w:val="ConsPlusNormal2"/>
        <w:tabs>
          <w:tab w:val="left" w:pos="851" w:leader="none"/>
        </w:tabs>
        <w:suppressAutoHyphens w:val="false"/>
        <w:rPr>
          <w:rFonts w:cs="Arial"/>
          <w:sz w:val="24"/>
          <w:szCs w:val="24"/>
        </w:rPr>
      </w:pPr>
      <w:r>
        <w:rPr>
          <w:rFonts w:cs="Arial"/>
          <w:sz w:val="24"/>
          <w:szCs w:val="24"/>
        </w:rPr>
        <w:t>5.8.1.13.При переносе кладбищ и захоронений следует проводить рекультивацию территорий и участков. Использование грунтов с ликвидируемых мест захоронений для планировки жилой территории не допускается.</w:t>
      </w:r>
    </w:p>
    <w:p>
      <w:pPr>
        <w:pStyle w:val="ConsPlusNormal2"/>
        <w:ind w:left="0" w:right="0" w:firstLine="540"/>
        <w:rPr>
          <w:rFonts w:cs="Arial"/>
          <w:sz w:val="24"/>
          <w:szCs w:val="24"/>
        </w:rPr>
      </w:pPr>
      <w:r>
        <w:rPr>
          <w:rFonts w:cs="Arial"/>
          <w:sz w:val="24"/>
          <w:szCs w:val="24"/>
        </w:rPr>
        <w:t>Использование территории места погребения разрешается по истечении двадцати лет с момента его переноса. Территория места погребения в этих случаях может быть использована только под зеленые насаждения. Строительство зданий и сооружений на этой территории запрещается.</w:t>
      </w:r>
    </w:p>
    <w:p>
      <w:pPr>
        <w:pStyle w:val="ConsPlusNormal2"/>
        <w:ind w:left="0" w:right="0" w:firstLine="540"/>
        <w:rPr>
          <w:rFonts w:cs="Arial"/>
          <w:sz w:val="24"/>
          <w:szCs w:val="24"/>
        </w:rPr>
      </w:pPr>
      <w:r>
        <w:rPr>
          <w:rFonts w:cs="Arial"/>
          <w:sz w:val="24"/>
          <w:szCs w:val="24"/>
        </w:rPr>
        <w:t>Размер санитарно-защитных зон после переноса кладбищ, а также закрытых кладбищ для новых погребений остается неизменной.</w:t>
      </w:r>
    </w:p>
    <w:p>
      <w:pPr>
        <w:pStyle w:val="ConsPlusNormal2"/>
        <w:tabs>
          <w:tab w:val="left" w:pos="851" w:leader="none"/>
        </w:tabs>
        <w:suppressAutoHyphens w:val="false"/>
        <w:rPr>
          <w:rFonts w:cs="Arial"/>
          <w:sz w:val="24"/>
          <w:szCs w:val="24"/>
        </w:rPr>
      </w:pPr>
      <w:r>
        <w:rPr>
          <w:rFonts w:cs="Arial"/>
          <w:sz w:val="24"/>
          <w:szCs w:val="24"/>
        </w:rPr>
        <w:t>5.8.1.14.Похоронные бюро, бюро-магазины похоронного обслуживания следует размещать в первых этажах организаций коммунально-бытового назначения в пределах жилой застройки на обособленных участках, удобно расположенных для подъезда транспорта, на расстоянии не менее 50 м до жилой застройки, территорий лечебных, детских, образовательных, спортивно-оздоровительных, культурно-просветительных организаций и организаций социального обеспечения населения.</w:t>
      </w:r>
    </w:p>
    <w:p>
      <w:pPr>
        <w:pStyle w:val="ConsPlusNormal2"/>
        <w:tabs>
          <w:tab w:val="left" w:pos="851" w:leader="none"/>
        </w:tabs>
        <w:suppressAutoHyphens w:val="false"/>
        <w:rPr>
          <w:rFonts w:cs="Arial"/>
          <w:sz w:val="24"/>
          <w:szCs w:val="24"/>
        </w:rPr>
      </w:pPr>
      <w:r>
        <w:rPr>
          <w:rFonts w:cs="Arial"/>
          <w:sz w:val="24"/>
          <w:szCs w:val="24"/>
        </w:rPr>
        <w:t>5.8.1.15.Дома траурных обрядов размещают на территории действующих или вновь проектируемых кладбищ, территориях коммунальных зон, обособленных земельных участках в границах жилой застройки и на территории пригородных зон.</w:t>
      </w:r>
    </w:p>
    <w:p>
      <w:pPr>
        <w:pStyle w:val="ConsPlusNormal2"/>
        <w:ind w:left="0" w:right="0" w:firstLine="540"/>
        <w:rPr>
          <w:rFonts w:cs="Arial"/>
          <w:sz w:val="24"/>
          <w:szCs w:val="24"/>
        </w:rPr>
      </w:pPr>
      <w:r>
        <w:rPr>
          <w:rFonts w:cs="Arial"/>
          <w:sz w:val="24"/>
          <w:szCs w:val="24"/>
        </w:rPr>
        <w:t>Расстояние от домов траурных обрядов до жилых зданий, территории лечебных, детских, образовательных, спортивно-оздоровительных, культурно-просветительных организаций и организаций социального обеспечения регламентируется с учетом характера траурного обряда и должно составлять не менее 100 м.</w:t>
      </w:r>
    </w:p>
    <w:p>
      <w:pPr>
        <w:pStyle w:val="NoSpacing"/>
        <w:ind w:left="0" w:right="0" w:firstLine="708"/>
        <w:rPr>
          <w:rFonts w:ascii="Arial" w:hAnsi="Arial" w:cs="Arial"/>
          <w:sz w:val="24"/>
          <w:szCs w:val="24"/>
        </w:rPr>
      </w:pPr>
      <w:r>
        <w:rPr>
          <w:rFonts w:cs="Arial" w:ascii="Arial" w:hAnsi="Arial"/>
          <w:sz w:val="24"/>
          <w:szCs w:val="24"/>
        </w:rPr>
      </w:r>
    </w:p>
    <w:p>
      <w:pPr>
        <w:pStyle w:val="NoSpacing"/>
        <w:rPr/>
      </w:pPr>
      <w:r>
        <w:rPr>
          <w:rFonts w:eastAsia="Arial" w:cs="Arial" w:ascii="Arial" w:hAnsi="Arial"/>
        </w:rPr>
        <w:t xml:space="preserve">            </w:t>
      </w:r>
      <w:r>
        <w:rPr>
          <w:rFonts w:cs="Arial" w:ascii="Arial" w:hAnsi="Arial"/>
        </w:rPr>
        <w:t>5.8.2</w:t>
        <w:tab/>
      </w:r>
      <w:r>
        <w:rPr>
          <w:rFonts w:cs="Arial" w:ascii="Arial" w:hAnsi="Arial"/>
          <w:i/>
          <w:lang w:eastAsia="ar-SA"/>
        </w:rPr>
        <w:t>Зоны размещения скотомогильников</w:t>
      </w:r>
    </w:p>
    <w:p>
      <w:pPr>
        <w:pStyle w:val="NoSpacing"/>
        <w:ind w:left="0" w:right="0" w:firstLine="708"/>
        <w:rPr>
          <w:rFonts w:ascii="Arial" w:hAnsi="Arial" w:cs="Arial"/>
        </w:rPr>
      </w:pPr>
      <w:r>
        <w:rPr>
          <w:rFonts w:cs="Arial" w:ascii="Arial" w:hAnsi="Arial"/>
        </w:rPr>
      </w:r>
    </w:p>
    <w:p>
      <w:pPr>
        <w:pStyle w:val="ConsPlusNormal2"/>
        <w:tabs>
          <w:tab w:val="left" w:pos="851" w:leader="none"/>
        </w:tabs>
        <w:suppressAutoHyphens w:val="false"/>
        <w:rPr>
          <w:rFonts w:cs="Arial"/>
          <w:sz w:val="24"/>
          <w:szCs w:val="24"/>
        </w:rPr>
      </w:pPr>
      <w:r>
        <w:rPr>
          <w:rFonts w:cs="Arial"/>
          <w:sz w:val="24"/>
          <w:szCs w:val="24"/>
        </w:rPr>
        <w:t>5.8.2.1.Скотомогильники (биотермические ямы) предназначены для обеззараживания, уничтожения сжиганием или захоронения биологических отходов (трупов животных и птиц; ветеринарных конфискатов, выявленных на убойных пунктах, хладобойнях, в мясоперерабатывающих организациях, рынках, организациях торговли и других организациях; других отходов, получаемых при переработке пищевого и непищевого сырья животного происхождения).</w:t>
      </w:r>
    </w:p>
    <w:p>
      <w:pPr>
        <w:pStyle w:val="ConsPlusNormal2"/>
        <w:tabs>
          <w:tab w:val="left" w:pos="851" w:leader="none"/>
        </w:tabs>
        <w:suppressAutoHyphens w:val="false"/>
        <w:rPr>
          <w:rFonts w:cs="Arial"/>
          <w:sz w:val="24"/>
          <w:szCs w:val="24"/>
        </w:rPr>
      </w:pPr>
      <w:r>
        <w:rPr>
          <w:rFonts w:cs="Arial"/>
          <w:sz w:val="24"/>
          <w:szCs w:val="24"/>
        </w:rPr>
        <w:t>5.8.2.2.Выбор и отвод земельного участка для строительства скотомогильника или отдельно стоящей биотермической ямы проводит орган местного самоуправления по представлению организации государственной ветеринарной службы при наличии санитарно-эпидемиологического заключения о соответствии предполагаемого использования земельного участка санитарным правилам.</w:t>
      </w:r>
    </w:p>
    <w:p>
      <w:pPr>
        <w:pStyle w:val="ConsPlusNormal2"/>
        <w:tabs>
          <w:tab w:val="left" w:pos="851" w:leader="none"/>
        </w:tabs>
        <w:suppressAutoHyphens w:val="false"/>
        <w:rPr>
          <w:rFonts w:cs="Arial"/>
          <w:sz w:val="24"/>
          <w:szCs w:val="24"/>
        </w:rPr>
      </w:pPr>
      <w:r>
        <w:rPr>
          <w:rFonts w:cs="Arial"/>
          <w:sz w:val="24"/>
          <w:szCs w:val="24"/>
        </w:rPr>
        <w:t>5.8.2.3.Скотомогильники (биотермические ямы) размещают на сухом возвышенном участке земли площадью не менее 600 кв. м. Уровень стояния грунтовых вод должен быть не менее 2 м от поверхности земли.</w:t>
      </w:r>
    </w:p>
    <w:p>
      <w:pPr>
        <w:pStyle w:val="ConsPlusNormal2"/>
        <w:tabs>
          <w:tab w:val="left" w:pos="851" w:leader="none"/>
        </w:tabs>
        <w:suppressAutoHyphens w:val="false"/>
        <w:rPr>
          <w:rFonts w:cs="Arial"/>
          <w:sz w:val="24"/>
          <w:szCs w:val="24"/>
        </w:rPr>
      </w:pPr>
      <w:r>
        <w:rPr>
          <w:rFonts w:cs="Arial"/>
          <w:sz w:val="24"/>
          <w:szCs w:val="24"/>
        </w:rPr>
        <w:t>5.8.2.4.Ширина санитарно-защитной зоны от скотомогильника (биотермической ямы) до:</w:t>
      </w:r>
    </w:p>
    <w:p>
      <w:pPr>
        <w:pStyle w:val="ConsPlusNormal2"/>
        <w:ind w:left="0" w:right="0" w:firstLine="540"/>
        <w:rPr>
          <w:rFonts w:cs="Arial"/>
          <w:sz w:val="24"/>
          <w:szCs w:val="24"/>
        </w:rPr>
      </w:pPr>
      <w:r>
        <w:rPr>
          <w:rFonts w:cs="Arial"/>
          <w:sz w:val="24"/>
          <w:szCs w:val="24"/>
        </w:rPr>
        <w:t>- жилых, общественных зданий, животноводческих ферм (комплексов) - 1000 м;</w:t>
      </w:r>
    </w:p>
    <w:p>
      <w:pPr>
        <w:pStyle w:val="ConsPlusNormal2"/>
        <w:ind w:left="0" w:right="0" w:firstLine="540"/>
        <w:rPr>
          <w:rFonts w:cs="Arial"/>
          <w:sz w:val="24"/>
          <w:szCs w:val="24"/>
        </w:rPr>
      </w:pPr>
      <w:r>
        <w:rPr>
          <w:rFonts w:cs="Arial"/>
          <w:sz w:val="24"/>
          <w:szCs w:val="24"/>
        </w:rPr>
        <w:t>- скотопрогонов и пастбищ - 200 м;</w:t>
      </w:r>
    </w:p>
    <w:p>
      <w:pPr>
        <w:pStyle w:val="ConsPlusNormal2"/>
        <w:ind w:left="0" w:right="0" w:firstLine="540"/>
        <w:rPr>
          <w:rFonts w:cs="Arial"/>
          <w:sz w:val="24"/>
          <w:szCs w:val="24"/>
        </w:rPr>
      </w:pPr>
      <w:r>
        <w:rPr>
          <w:rFonts w:cs="Arial"/>
          <w:sz w:val="24"/>
          <w:szCs w:val="24"/>
        </w:rPr>
        <w:t>- автомобильных, железных дорог в зависимости от их категории - 60 - 300 м.</w:t>
      </w:r>
    </w:p>
    <w:p>
      <w:pPr>
        <w:pStyle w:val="ConsPlusNormal2"/>
        <w:tabs>
          <w:tab w:val="left" w:pos="851" w:leader="none"/>
        </w:tabs>
        <w:suppressAutoHyphens w:val="false"/>
        <w:rPr>
          <w:rFonts w:cs="Arial"/>
          <w:sz w:val="24"/>
          <w:szCs w:val="24"/>
        </w:rPr>
      </w:pPr>
      <w:r>
        <w:rPr>
          <w:rFonts w:cs="Arial"/>
          <w:sz w:val="24"/>
          <w:szCs w:val="24"/>
        </w:rPr>
        <w:t>5.8.2.5.Биотермические ямы, расположенные на территории государственных ветеринарных организаций, входят в состав вспомогательных сооружений. Расстояние между ямой и производственными зданиями ветеринарных организаций, находящимися на этой территории, не регламентируется.</w:t>
      </w:r>
    </w:p>
    <w:p>
      <w:pPr>
        <w:pStyle w:val="ConsPlusNormal2"/>
        <w:tabs>
          <w:tab w:val="left" w:pos="851" w:leader="none"/>
        </w:tabs>
        <w:suppressAutoHyphens w:val="false"/>
        <w:rPr>
          <w:rFonts w:cs="Arial"/>
          <w:sz w:val="24"/>
          <w:szCs w:val="24"/>
        </w:rPr>
      </w:pPr>
      <w:r>
        <w:rPr>
          <w:rFonts w:cs="Arial"/>
          <w:sz w:val="24"/>
          <w:szCs w:val="24"/>
        </w:rPr>
        <w:t>5.8.2.6.Размещение скотомогильников (биотермических ям) в водоохранной, лесопарковой и заповедной зонах категорически запрещается.</w:t>
      </w:r>
    </w:p>
    <w:p>
      <w:pPr>
        <w:pStyle w:val="ConsPlusNormal2"/>
        <w:tabs>
          <w:tab w:val="left" w:pos="851" w:leader="none"/>
        </w:tabs>
        <w:suppressAutoHyphens w:val="false"/>
        <w:rPr>
          <w:rFonts w:cs="Arial"/>
          <w:sz w:val="24"/>
          <w:szCs w:val="24"/>
        </w:rPr>
      </w:pPr>
      <w:r>
        <w:rPr>
          <w:rFonts w:cs="Arial"/>
          <w:sz w:val="24"/>
          <w:szCs w:val="24"/>
        </w:rPr>
        <w:t>5.8.2.7.Территорию скотомогильника (биотермической ямы) проектируют с ограждением глухим забором высотой не менее 2 м с въездными воротами. С внутренней стороны забора по всему периметру проектируется траншея глубиной 0,8 - 1,4 м и шириной не менее 1,5 м и переходной мост через траншею.</w:t>
      </w:r>
    </w:p>
    <w:p>
      <w:pPr>
        <w:pStyle w:val="ConsPlusNormal2"/>
        <w:tabs>
          <w:tab w:val="left" w:pos="851" w:leader="none"/>
        </w:tabs>
        <w:suppressAutoHyphens w:val="false"/>
        <w:rPr/>
      </w:pPr>
      <w:r>
        <w:rPr>
          <w:rFonts w:cs="Arial"/>
          <w:sz w:val="24"/>
          <w:szCs w:val="24"/>
        </w:rPr>
        <w:t xml:space="preserve">     </w:t>
      </w:r>
      <w:r>
        <w:rPr>
          <w:rFonts w:cs="Arial"/>
          <w:sz w:val="24"/>
          <w:szCs w:val="24"/>
        </w:rPr>
        <w:t xml:space="preserve">Рядом со скотомогильником проектируют помещение для вскрытия трупов животных, хранения дезинфицирующих средств, инвентаря, спецодежды и </w:t>
      </w:r>
      <w:r>
        <w:rPr>
          <w:rFonts w:eastAsia="Times New Roman" w:cs="Arial"/>
          <w:sz w:val="24"/>
          <w:szCs w:val="24"/>
        </w:rPr>
        <w:t>инструментов</w:t>
      </w:r>
      <w:r>
        <w:rPr>
          <w:rFonts w:cs="Arial"/>
          <w:sz w:val="24"/>
          <w:szCs w:val="24"/>
        </w:rPr>
        <w:t>.</w:t>
      </w:r>
    </w:p>
    <w:p>
      <w:pPr>
        <w:pStyle w:val="ConsPlusNormal2"/>
        <w:tabs>
          <w:tab w:val="left" w:pos="851" w:leader="none"/>
        </w:tabs>
        <w:suppressAutoHyphens w:val="false"/>
        <w:rPr>
          <w:rFonts w:cs="Arial"/>
          <w:sz w:val="24"/>
          <w:szCs w:val="24"/>
        </w:rPr>
      </w:pPr>
      <w:r>
        <w:rPr>
          <w:rFonts w:cs="Arial"/>
          <w:sz w:val="24"/>
          <w:szCs w:val="24"/>
        </w:rPr>
        <w:t>5.8.2.8.К скотомогильникам (биотермическим ямам) предусматриваются подъездные пути в соответствии с требованиями раздела "Зоны транспортной инфраструктуры" настоящих Нормативов.</w:t>
      </w:r>
    </w:p>
    <w:p>
      <w:pPr>
        <w:pStyle w:val="ConsPlusNormal2"/>
        <w:tabs>
          <w:tab w:val="left" w:pos="851" w:leader="none"/>
        </w:tabs>
        <w:suppressAutoHyphens w:val="false"/>
        <w:rPr>
          <w:rFonts w:cs="Arial"/>
          <w:sz w:val="24"/>
          <w:szCs w:val="24"/>
        </w:rPr>
      </w:pPr>
      <w:r>
        <w:rPr>
          <w:rFonts w:cs="Arial"/>
          <w:sz w:val="24"/>
          <w:szCs w:val="24"/>
        </w:rPr>
        <w:t>5.8.2.9.В исключительных случаях с разрешения главного государственного ветеринарного инспектора Нижегородской области допускается использование территории скотомогильника для промышленного строительства, если с момента последнего захоронения:</w:t>
      </w:r>
    </w:p>
    <w:p>
      <w:pPr>
        <w:pStyle w:val="ConsPlusNormal2"/>
        <w:ind w:left="0" w:right="0" w:firstLine="540"/>
        <w:rPr>
          <w:rFonts w:cs="Arial"/>
          <w:sz w:val="24"/>
          <w:szCs w:val="24"/>
        </w:rPr>
      </w:pPr>
      <w:r>
        <w:rPr>
          <w:rFonts w:cs="Arial"/>
          <w:sz w:val="24"/>
          <w:szCs w:val="24"/>
        </w:rPr>
        <w:t>- в биотермическую яму прошло не менее 2 лет;</w:t>
      </w:r>
    </w:p>
    <w:p>
      <w:pPr>
        <w:pStyle w:val="ConsPlusNormal2"/>
        <w:ind w:left="0" w:right="0" w:firstLine="540"/>
        <w:rPr>
          <w:rFonts w:cs="Arial"/>
          <w:sz w:val="24"/>
          <w:szCs w:val="24"/>
        </w:rPr>
      </w:pPr>
      <w:r>
        <w:rPr>
          <w:rFonts w:cs="Arial"/>
          <w:sz w:val="24"/>
          <w:szCs w:val="24"/>
        </w:rPr>
        <w:t>- в земляную яму - не менее 25 лет.</w:t>
      </w:r>
    </w:p>
    <w:p>
      <w:pPr>
        <w:pStyle w:val="ConsPlusNormal2"/>
        <w:ind w:left="0" w:right="0" w:firstLine="540"/>
        <w:rPr>
          <w:rFonts w:cs="Arial"/>
          <w:sz w:val="24"/>
          <w:szCs w:val="24"/>
        </w:rPr>
      </w:pPr>
      <w:r>
        <w:rPr>
          <w:rFonts w:cs="Arial"/>
          <w:sz w:val="24"/>
          <w:szCs w:val="24"/>
        </w:rPr>
        <w:t>Промышленный объект не должен быть связан с приемом, производством и переработкой продуктов питания и кормов.</w:t>
      </w:r>
    </w:p>
    <w:p>
      <w:pPr>
        <w:pStyle w:val="ConsPlusNormal2"/>
        <w:ind w:left="0" w:right="0" w:firstLine="540"/>
        <w:rPr>
          <w:rFonts w:cs="Arial"/>
          <w:sz w:val="24"/>
          <w:szCs w:val="24"/>
        </w:rPr>
      </w:pPr>
      <w:r>
        <w:rPr>
          <w:rFonts w:cs="Arial"/>
          <w:sz w:val="24"/>
          <w:szCs w:val="24"/>
        </w:rPr>
      </w:r>
    </w:p>
    <w:p>
      <w:pPr>
        <w:pStyle w:val="NoSpacing"/>
        <w:rPr/>
      </w:pPr>
      <w:r>
        <w:rPr>
          <w:rFonts w:eastAsia="Arial" w:cs="Arial" w:ascii="Arial" w:hAnsi="Arial"/>
        </w:rPr>
        <w:t xml:space="preserve">           </w:t>
      </w:r>
      <w:r>
        <w:rPr>
          <w:rFonts w:cs="Arial" w:ascii="Arial" w:hAnsi="Arial"/>
        </w:rPr>
        <w:t xml:space="preserve">5.8.3. </w:t>
      </w:r>
      <w:r>
        <w:rPr>
          <w:rFonts w:cs="Arial" w:ascii="Arial" w:hAnsi="Arial"/>
          <w:i/>
        </w:rPr>
        <w:t>Зоны размещения полигонов для твердых бытовых отходов</w:t>
      </w:r>
    </w:p>
    <w:p>
      <w:pPr>
        <w:pStyle w:val="ConsPlusNormal2"/>
        <w:ind w:left="0" w:right="0" w:firstLine="540"/>
        <w:rPr>
          <w:rFonts w:cs="Arial"/>
          <w:sz w:val="24"/>
          <w:szCs w:val="24"/>
        </w:rPr>
      </w:pPr>
      <w:r>
        <w:rPr>
          <w:rFonts w:cs="Arial"/>
          <w:sz w:val="24"/>
          <w:szCs w:val="24"/>
        </w:rPr>
      </w:r>
    </w:p>
    <w:p>
      <w:pPr>
        <w:pStyle w:val="ConsPlusNormal2"/>
        <w:tabs>
          <w:tab w:val="left" w:pos="851" w:leader="none"/>
        </w:tabs>
        <w:suppressAutoHyphens w:val="false"/>
        <w:rPr>
          <w:rFonts w:cs="Arial"/>
          <w:sz w:val="24"/>
          <w:szCs w:val="24"/>
        </w:rPr>
      </w:pPr>
      <w:r>
        <w:rPr>
          <w:rFonts w:cs="Arial"/>
          <w:sz w:val="24"/>
          <w:szCs w:val="24"/>
        </w:rPr>
        <w:t>5.8.3.1.Полигоны твердых бытовых отходов (далее - ТБО) являются специальными сооружениями, предназначенными для изоляции и обезвреживания ТБО, и должны гарантировать санитарно-эпидемиологическую безопасность населения.</w:t>
      </w:r>
    </w:p>
    <w:p>
      <w:pPr>
        <w:pStyle w:val="ConsPlusNormal2"/>
        <w:ind w:left="0" w:right="0" w:firstLine="540"/>
        <w:rPr>
          <w:rFonts w:cs="Arial"/>
          <w:sz w:val="24"/>
          <w:szCs w:val="24"/>
        </w:rPr>
      </w:pPr>
      <w:r>
        <w:rPr>
          <w:rFonts w:cs="Arial"/>
          <w:sz w:val="24"/>
          <w:szCs w:val="24"/>
        </w:rPr>
        <w:t>Полигоны могут быть организованы для любых по величине населенных пунктов. Рекомендуется проектирование централизованных полигонов для групп населенных пунктов.</w:t>
      </w:r>
    </w:p>
    <w:p>
      <w:pPr>
        <w:pStyle w:val="ConsPlusNormal2"/>
        <w:tabs>
          <w:tab w:val="left" w:pos="851" w:leader="none"/>
        </w:tabs>
        <w:suppressAutoHyphens w:val="false"/>
        <w:rPr>
          <w:rFonts w:cs="Arial"/>
          <w:sz w:val="24"/>
          <w:szCs w:val="24"/>
        </w:rPr>
      </w:pPr>
      <w:r>
        <w:rPr>
          <w:rFonts w:cs="Arial"/>
          <w:sz w:val="24"/>
          <w:szCs w:val="24"/>
        </w:rPr>
        <w:t>5.8.3.2.Полигоны ТБО размещаются за пределами жилой зоны, на обособленных территориях с обеспечением нормативных санитарно-защитных зон.</w:t>
      </w:r>
    </w:p>
    <w:p>
      <w:pPr>
        <w:pStyle w:val="ConsPlusNormal2"/>
        <w:tabs>
          <w:tab w:val="left" w:pos="851" w:leader="none"/>
        </w:tabs>
        <w:suppressAutoHyphens w:val="false"/>
        <w:rPr>
          <w:rFonts w:cs="Arial"/>
          <w:sz w:val="24"/>
          <w:szCs w:val="24"/>
        </w:rPr>
      </w:pPr>
      <w:r>
        <w:rPr>
          <w:rFonts w:cs="Arial"/>
          <w:sz w:val="24"/>
          <w:szCs w:val="24"/>
        </w:rPr>
        <w:t>5.8.3.3.Размер санитарно-защитной зоны от жилой застройки до границ полигона составляет 500 м. Размер санитарно-защитной зоны может увеличиваться при расчете газообразных выбросов в атмосферу. Границы зоны устанавливаются по изолинии 1 ПДК, если она выходит из пределов нормативной зоны.</w:t>
      </w:r>
    </w:p>
    <w:p>
      <w:pPr>
        <w:pStyle w:val="ConsPlusNormal2"/>
        <w:ind w:left="0" w:right="0" w:firstLine="540"/>
        <w:rPr>
          <w:rFonts w:cs="Arial"/>
          <w:sz w:val="24"/>
          <w:szCs w:val="24"/>
        </w:rPr>
      </w:pPr>
      <w:r>
        <w:rPr>
          <w:rFonts w:cs="Arial"/>
          <w:sz w:val="24"/>
          <w:szCs w:val="24"/>
        </w:rPr>
        <w:t>Санитарно-защитная зона должна иметь зеленые насаждения.</w:t>
      </w:r>
    </w:p>
    <w:p>
      <w:pPr>
        <w:pStyle w:val="ConsPlusNormal2"/>
        <w:tabs>
          <w:tab w:val="left" w:pos="851" w:leader="none"/>
        </w:tabs>
        <w:suppressAutoHyphens w:val="false"/>
        <w:rPr>
          <w:rFonts w:cs="Arial"/>
          <w:sz w:val="24"/>
          <w:szCs w:val="24"/>
        </w:rPr>
      </w:pPr>
      <w:r>
        <w:rPr>
          <w:rFonts w:cs="Arial"/>
          <w:sz w:val="24"/>
          <w:szCs w:val="24"/>
        </w:rPr>
        <w:t>5.8.3.4.Не допускается размещение полигонов:</w:t>
      </w:r>
    </w:p>
    <w:p>
      <w:pPr>
        <w:pStyle w:val="ConsPlusNormal2"/>
        <w:ind w:left="0" w:right="0" w:firstLine="540"/>
        <w:rPr>
          <w:rFonts w:cs="Arial"/>
          <w:sz w:val="24"/>
          <w:szCs w:val="24"/>
        </w:rPr>
      </w:pPr>
      <w:r>
        <w:rPr>
          <w:rFonts w:cs="Arial"/>
          <w:sz w:val="24"/>
          <w:szCs w:val="24"/>
        </w:rPr>
        <w:t>- на территории зон санитарной охраны водоисточников и минеральных источников;</w:t>
      </w:r>
    </w:p>
    <w:p>
      <w:pPr>
        <w:pStyle w:val="ConsPlusNormal2"/>
        <w:ind w:left="0" w:right="0" w:firstLine="540"/>
        <w:rPr>
          <w:rFonts w:cs="Arial"/>
          <w:sz w:val="24"/>
          <w:szCs w:val="24"/>
        </w:rPr>
      </w:pPr>
      <w:r>
        <w:rPr>
          <w:rFonts w:cs="Arial"/>
          <w:sz w:val="24"/>
          <w:szCs w:val="24"/>
        </w:rPr>
        <w:t>- в местах выхода на поверхность трещиноватых пород;</w:t>
      </w:r>
    </w:p>
    <w:p>
      <w:pPr>
        <w:pStyle w:val="ConsPlusNormal2"/>
        <w:ind w:left="0" w:right="0" w:firstLine="540"/>
        <w:rPr>
          <w:rFonts w:cs="Arial"/>
          <w:sz w:val="24"/>
          <w:szCs w:val="24"/>
        </w:rPr>
      </w:pPr>
      <w:r>
        <w:rPr>
          <w:rFonts w:cs="Arial"/>
          <w:sz w:val="24"/>
          <w:szCs w:val="24"/>
        </w:rPr>
        <w:t>- в местах выклинивания водоносных горизонтов;</w:t>
      </w:r>
    </w:p>
    <w:p>
      <w:pPr>
        <w:pStyle w:val="ConsPlusNormal2"/>
        <w:ind w:left="0" w:right="0" w:firstLine="540"/>
        <w:rPr>
          <w:rFonts w:cs="Arial"/>
          <w:sz w:val="24"/>
          <w:szCs w:val="24"/>
        </w:rPr>
      </w:pPr>
      <w:r>
        <w:rPr>
          <w:rFonts w:cs="Arial"/>
          <w:sz w:val="24"/>
          <w:szCs w:val="24"/>
        </w:rPr>
        <w:t>- в местах массового отдыха населения и оздоровительных учреждений.</w:t>
      </w:r>
    </w:p>
    <w:p>
      <w:pPr>
        <w:pStyle w:val="ConsPlusNormal2"/>
        <w:ind w:left="0" w:right="0" w:firstLine="540"/>
        <w:rPr>
          <w:rFonts w:cs="Arial"/>
          <w:sz w:val="24"/>
          <w:szCs w:val="24"/>
        </w:rPr>
      </w:pPr>
      <w:r>
        <w:rPr>
          <w:rFonts w:cs="Arial"/>
          <w:sz w:val="24"/>
          <w:szCs w:val="24"/>
        </w:rPr>
        <w:t>При выборе участка для устройства полигона ТБО следует учитывать климатогеографические и почвенные особенности, геологические и гидрологические условия местности.</w:t>
      </w:r>
    </w:p>
    <w:p>
      <w:pPr>
        <w:pStyle w:val="ConsPlusNormal2"/>
        <w:ind w:left="0" w:right="0" w:firstLine="540"/>
        <w:rPr>
          <w:rFonts w:cs="Arial"/>
          <w:sz w:val="24"/>
          <w:szCs w:val="24"/>
        </w:rPr>
      </w:pPr>
      <w:r>
        <w:rPr>
          <w:rFonts w:cs="Arial"/>
          <w:sz w:val="24"/>
          <w:szCs w:val="24"/>
        </w:rPr>
        <w:t>Полигоны ТБО размещаются на участках, где выявлены глины или тяжелые суглинки, а грунтовые воды находятся на глубине более 2 м.</w:t>
      </w:r>
    </w:p>
    <w:p>
      <w:pPr>
        <w:pStyle w:val="ConsPlusNormal2"/>
        <w:tabs>
          <w:tab w:val="left" w:pos="851" w:leader="none"/>
        </w:tabs>
        <w:suppressAutoHyphens w:val="false"/>
        <w:rPr>
          <w:rFonts w:cs="Arial"/>
          <w:sz w:val="24"/>
          <w:szCs w:val="24"/>
        </w:rPr>
      </w:pPr>
      <w:r>
        <w:rPr>
          <w:rFonts w:cs="Arial"/>
          <w:sz w:val="24"/>
          <w:szCs w:val="24"/>
        </w:rPr>
        <w:t>5.8.3.5.Полигон для твердых бытовых отходов размещается на ровной территории, исключающей возможность смыва атмосферными осадками части отходов и загрязнения ими прилегающих земельных площадей и открытых водоемов, вблизи расположенных населенных пунктов. Допускается отвод земельного участка под полигоны ТБО на территории оврагов, начиная с его верховьев, что позволяет обеспечить сбор и удаление талых и ливневых вод путем устройства перехватывающих нагорных каналов для отвода этих вод в открытые водоемы, после сооружений биологической очистки (ПБО).</w:t>
      </w:r>
    </w:p>
    <w:p>
      <w:pPr>
        <w:pStyle w:val="ConsPlusNormal2"/>
        <w:tabs>
          <w:tab w:val="left" w:pos="851" w:leader="none"/>
        </w:tabs>
        <w:suppressAutoHyphens w:val="false"/>
        <w:rPr>
          <w:rFonts w:cs="Arial"/>
          <w:sz w:val="24"/>
          <w:szCs w:val="24"/>
        </w:rPr>
      </w:pPr>
      <w:r>
        <w:rPr>
          <w:rFonts w:cs="Arial"/>
          <w:sz w:val="24"/>
          <w:szCs w:val="24"/>
        </w:rPr>
        <w:t>5.8.3.6.Для полигонов, принимающих менее 120 тыс. куб. м ТБО в год, проектируется траншейная схема складирования ТБО. Траншеи устраиваются перпендикулярно направлению господствующих ветров, что препятствует разносу ТБО.</w:t>
      </w:r>
    </w:p>
    <w:p>
      <w:pPr>
        <w:pStyle w:val="ConsPlusNormal2"/>
        <w:ind w:left="0" w:right="0" w:firstLine="540"/>
        <w:rPr>
          <w:rFonts w:cs="Arial"/>
          <w:sz w:val="24"/>
          <w:szCs w:val="24"/>
        </w:rPr>
      </w:pPr>
      <w:r>
        <w:rPr>
          <w:rFonts w:cs="Arial"/>
          <w:sz w:val="24"/>
          <w:szCs w:val="24"/>
        </w:rPr>
        <w:t>Длина одной траншеи должна устраиваться с учетом времени заполнения траншей:</w:t>
      </w:r>
    </w:p>
    <w:p>
      <w:pPr>
        <w:pStyle w:val="ConsPlusNormal2"/>
        <w:ind w:left="0" w:right="0" w:firstLine="540"/>
        <w:rPr>
          <w:rFonts w:cs="Arial"/>
          <w:sz w:val="24"/>
          <w:szCs w:val="24"/>
        </w:rPr>
      </w:pPr>
      <w:r>
        <w:rPr>
          <w:rFonts w:cs="Arial"/>
          <w:sz w:val="24"/>
          <w:szCs w:val="24"/>
        </w:rPr>
        <w:t>- в период температур выше 0 °C - в течение 1 - 2 месяцев;</w:t>
      </w:r>
    </w:p>
    <w:p>
      <w:pPr>
        <w:pStyle w:val="ConsPlusNormal2"/>
        <w:ind w:left="0" w:right="0" w:firstLine="540"/>
        <w:rPr>
          <w:rFonts w:cs="Arial"/>
          <w:sz w:val="24"/>
          <w:szCs w:val="24"/>
        </w:rPr>
      </w:pPr>
      <w:r>
        <w:rPr>
          <w:rFonts w:cs="Arial"/>
          <w:sz w:val="24"/>
          <w:szCs w:val="24"/>
        </w:rPr>
        <w:t>- в период температур ниже 0 °C - на весь период промерзания грунтов.</w:t>
      </w:r>
    </w:p>
    <w:p>
      <w:pPr>
        <w:pStyle w:val="ConsPlusNormal2"/>
        <w:tabs>
          <w:tab w:val="left" w:pos="851" w:leader="none"/>
        </w:tabs>
        <w:suppressAutoHyphens w:val="false"/>
        <w:ind w:left="567" w:right="0" w:hanging="0"/>
        <w:rPr>
          <w:rFonts w:cs="Arial"/>
          <w:sz w:val="24"/>
          <w:szCs w:val="24"/>
        </w:rPr>
      </w:pPr>
      <w:r>
        <w:rPr>
          <w:rFonts w:cs="Arial"/>
          <w:sz w:val="24"/>
          <w:szCs w:val="24"/>
        </w:rPr>
        <w:t>5.8.3.7.Полигон проектируют из двух взаимосвязанных территориальных частей: территории, занятой под складирование ТБО, и территории для размещения хозяйственно-бытовых объектов.</w:t>
      </w:r>
    </w:p>
    <w:p>
      <w:pPr>
        <w:pStyle w:val="ConsPlusNormal2"/>
        <w:tabs>
          <w:tab w:val="left" w:pos="851" w:leader="none"/>
        </w:tabs>
        <w:suppressAutoHyphens w:val="false"/>
        <w:rPr/>
      </w:pPr>
      <w:r>
        <w:rPr>
          <w:rFonts w:cs="Arial"/>
          <w:sz w:val="24"/>
          <w:szCs w:val="24"/>
        </w:rPr>
        <w:t xml:space="preserve">5.8.3.8.Хозяйственная зона проектируется для размещения производственно-бытового здания для персонала, гаража или навеса для размещения машин и механизмов. Для персонала предусматриваются обеспечение питьевой и хозяйственно-бытовой водой в необходимом количестве, комната для приема пищи, туалет в соответствии с требованиями </w:t>
      </w:r>
      <w:r>
        <w:fldChar w:fldCharType="begin"/>
      </w:r>
      <w:r>
        <w:instrText> HYPERLINK "file:///D:/! Вадим/! www.sharanga.nnov.ru/Sel'skie poseleniya/Kushnur/2017/Re//C:/Users/Специалист/Desktop/Мои документы/декабрь 2017/MNGP2.docx" \l "P583"</w:instrText>
      </w:r>
      <w:r>
        <w:fldChar w:fldCharType="separate"/>
      </w:r>
      <w:r>
        <w:rPr>
          <w:rStyle w:val="Style9"/>
          <w:rFonts w:cs="Arial"/>
          <w:color w:val="00000A"/>
          <w:sz w:val="24"/>
          <w:szCs w:val="24"/>
        </w:rPr>
        <w:t xml:space="preserve">раздела </w:t>
      </w:r>
      <w:r>
        <w:fldChar w:fldCharType="end"/>
      </w:r>
      <w:r>
        <w:rPr>
          <w:rFonts w:cs="Arial"/>
          <w:sz w:val="24"/>
          <w:szCs w:val="24"/>
        </w:rPr>
        <w:t xml:space="preserve"> "Зоны инженерной инфраструктуры" настоящих Нормативов.</w:t>
      </w:r>
    </w:p>
    <w:p>
      <w:pPr>
        <w:pStyle w:val="ConsPlusNormal2"/>
        <w:tabs>
          <w:tab w:val="left" w:pos="851" w:leader="none"/>
        </w:tabs>
        <w:suppressAutoHyphens w:val="false"/>
        <w:rPr>
          <w:rFonts w:cs="Arial"/>
          <w:sz w:val="24"/>
          <w:szCs w:val="24"/>
        </w:rPr>
      </w:pPr>
      <w:r>
        <w:rPr>
          <w:rFonts w:cs="Arial"/>
          <w:sz w:val="24"/>
          <w:szCs w:val="24"/>
        </w:rPr>
        <w:t>5.8.3.9.Территория хозяйственной зоны бетонируется или асфальтируется, освещается, имеет легкое ограждение.</w:t>
      </w:r>
    </w:p>
    <w:p>
      <w:pPr>
        <w:pStyle w:val="ConsPlusNormal2"/>
        <w:tabs>
          <w:tab w:val="left" w:pos="851" w:leader="none"/>
        </w:tabs>
        <w:suppressAutoHyphens w:val="false"/>
        <w:rPr>
          <w:rFonts w:cs="Arial"/>
          <w:sz w:val="24"/>
          <w:szCs w:val="24"/>
        </w:rPr>
      </w:pPr>
      <w:r>
        <w:rPr>
          <w:rFonts w:cs="Arial"/>
          <w:sz w:val="24"/>
          <w:szCs w:val="24"/>
        </w:rPr>
        <w:t>5.8.3.10.По периметру всей территории полигона ТБО проектируются легкое ограждение или осушительная траншея глубиной более 2 м или вал высотой не более 2 м. В ограде полигона устраивается шлагбаум у производственно-бытового здания.</w:t>
      </w:r>
    </w:p>
    <w:p>
      <w:pPr>
        <w:pStyle w:val="ConsPlusNormal2"/>
        <w:tabs>
          <w:tab w:val="left" w:pos="851" w:leader="none"/>
        </w:tabs>
        <w:suppressAutoHyphens w:val="false"/>
        <w:rPr>
          <w:rFonts w:cs="Arial"/>
          <w:sz w:val="24"/>
          <w:szCs w:val="24"/>
        </w:rPr>
      </w:pPr>
      <w:r>
        <w:rPr>
          <w:rFonts w:cs="Arial"/>
          <w:sz w:val="24"/>
          <w:szCs w:val="24"/>
        </w:rPr>
        <w:t>5.8.3.11.На выезде из полигона предусматривается контрольно-дезинфицирующая установка с устройством бетонной ванны для ходовой части мусоровозов. Размеры ванны должны обеспечивать обработку ходовой части мусоровозов.</w:t>
      </w:r>
    </w:p>
    <w:p>
      <w:pPr>
        <w:pStyle w:val="ConsPlusNormal2"/>
        <w:tabs>
          <w:tab w:val="left" w:pos="851" w:leader="none"/>
        </w:tabs>
        <w:suppressAutoHyphens w:val="false"/>
        <w:rPr>
          <w:rFonts w:cs="Arial"/>
          <w:sz w:val="24"/>
          <w:szCs w:val="24"/>
        </w:rPr>
      </w:pPr>
      <w:r>
        <w:rPr>
          <w:rFonts w:cs="Arial"/>
          <w:sz w:val="24"/>
          <w:szCs w:val="24"/>
        </w:rPr>
        <w:t>5.8.3.12.В зеленой зоне полигона проектируются контрольные скважины, в том числе: одна контрольная скважина - выше полигона по потоку грунтовых вод, 1 - 2 скважины - ниже полигона для учета влияния складирования ТБО на грунтовые воды.</w:t>
      </w:r>
    </w:p>
    <w:p>
      <w:pPr>
        <w:pStyle w:val="ConsPlusNormal2"/>
        <w:tabs>
          <w:tab w:val="left" w:pos="851" w:leader="none"/>
        </w:tabs>
        <w:suppressAutoHyphens w:val="false"/>
        <w:rPr>
          <w:rFonts w:cs="Arial"/>
          <w:sz w:val="24"/>
          <w:szCs w:val="24"/>
        </w:rPr>
      </w:pPr>
      <w:r>
        <w:rPr>
          <w:rFonts w:cs="Arial"/>
          <w:sz w:val="24"/>
          <w:szCs w:val="24"/>
        </w:rPr>
        <w:t>5.8.3.13.Сооружения по контролю качества грунтовых и поверхностных вод должны иметь подъезды для автотранспорта.</w:t>
      </w:r>
    </w:p>
    <w:p>
      <w:pPr>
        <w:pStyle w:val="ConsPlusNormal2"/>
        <w:tabs>
          <w:tab w:val="left" w:pos="851" w:leader="none"/>
        </w:tabs>
        <w:suppressAutoHyphens w:val="false"/>
        <w:rPr/>
      </w:pPr>
      <w:r>
        <w:rPr>
          <w:rFonts w:cs="Arial"/>
          <w:sz w:val="24"/>
          <w:szCs w:val="24"/>
        </w:rPr>
        <w:t xml:space="preserve">5.8.3.14.К полигонам ТБО проектируются подъездные пути в соответствии с требованиями </w:t>
      </w:r>
      <w:r>
        <w:fldChar w:fldCharType="begin"/>
      </w:r>
      <w:r>
        <w:instrText> HYPERLINK "file:///D:/! Вадим/! www.sharanga.nnov.ru/Sel'skie poseleniya/Kushnur/2017/Re//C:/Users/Специалист/Desktop/Мои документы/декабрь 2017/MNGP2.docx" \l "P1624"</w:instrText>
      </w:r>
      <w:r>
        <w:fldChar w:fldCharType="separate"/>
      </w:r>
      <w:r>
        <w:rPr>
          <w:rStyle w:val="Style9"/>
          <w:rFonts w:cs="Arial"/>
          <w:color w:val="00000A"/>
          <w:sz w:val="24"/>
          <w:szCs w:val="24"/>
        </w:rPr>
        <w:t>раздела</w:t>
      </w:r>
      <w:r>
        <w:fldChar w:fldCharType="end"/>
      </w:r>
      <w:r>
        <w:rPr>
          <w:rFonts w:cs="Arial"/>
          <w:sz w:val="24"/>
          <w:szCs w:val="24"/>
        </w:rPr>
        <w:t xml:space="preserve"> "Зоны транспортной инфраструктуры" настоящих Нормативов.</w:t>
      </w:r>
    </w:p>
    <w:p>
      <w:pPr>
        <w:pStyle w:val="ConsPlusNormal2"/>
        <w:tabs>
          <w:tab w:val="left" w:pos="851" w:leader="none"/>
        </w:tabs>
        <w:suppressAutoHyphens w:val="false"/>
        <w:ind w:left="567" w:right="0" w:hanging="0"/>
        <w:rPr>
          <w:rFonts w:cs="Arial"/>
          <w:sz w:val="24"/>
          <w:szCs w:val="24"/>
        </w:rPr>
      </w:pPr>
      <w:r>
        <w:rPr>
          <w:rFonts w:cs="Arial"/>
          <w:sz w:val="24"/>
          <w:szCs w:val="24"/>
        </w:rPr>
      </w:r>
    </w:p>
    <w:p>
      <w:pPr>
        <w:pStyle w:val="Style118"/>
        <w:shd w:fill="FFFFFF" w:val="clear"/>
        <w:ind w:left="993" w:right="0" w:hanging="0"/>
        <w:rPr>
          <w:rFonts w:ascii="Arial" w:hAnsi="Arial" w:cs="Arial"/>
        </w:rPr>
      </w:pPr>
      <w:bookmarkStart w:id="98" w:name="__RefHeading___Toc494965536"/>
      <w:bookmarkEnd w:id="98"/>
      <w:r>
        <w:rPr>
          <w:rFonts w:cs="Arial" w:ascii="Arial" w:hAnsi="Arial"/>
        </w:rPr>
        <w:t>5.9.Зоны сельскохозяйственного назначения</w:t>
      </w:r>
    </w:p>
    <w:p>
      <w:pPr>
        <w:pStyle w:val="ConsPlusNormal2"/>
        <w:tabs>
          <w:tab w:val="left" w:pos="851" w:leader="none"/>
        </w:tabs>
        <w:suppressAutoHyphens w:val="false"/>
        <w:ind w:left="567" w:right="0" w:hanging="0"/>
        <w:rPr>
          <w:rFonts w:cs="Arial"/>
          <w:sz w:val="24"/>
          <w:szCs w:val="24"/>
        </w:rPr>
      </w:pPr>
      <w:r>
        <w:rPr>
          <w:rFonts w:cs="Arial"/>
          <w:sz w:val="24"/>
          <w:szCs w:val="24"/>
        </w:rPr>
      </w:r>
    </w:p>
    <w:p>
      <w:pPr>
        <w:pStyle w:val="5551"/>
        <w:rPr>
          <w:rFonts w:ascii="Arial" w:hAnsi="Arial" w:cs="Arial"/>
          <w:lang w:eastAsia="ar-SA"/>
        </w:rPr>
      </w:pPr>
      <w:r>
        <w:rPr>
          <w:rFonts w:cs="Arial" w:ascii="Arial" w:hAnsi="Arial"/>
          <w:lang w:eastAsia="ar-SA"/>
        </w:rPr>
        <w:t>В состав зон сельскохозяйственного использования могут включаться:</w:t>
      </w:r>
    </w:p>
    <w:p>
      <w:pPr>
        <w:pStyle w:val="NoSpacing"/>
        <w:numPr>
          <w:ilvl w:val="0"/>
          <w:numId w:val="14"/>
        </w:numPr>
        <w:jc w:val="both"/>
        <w:rPr>
          <w:rFonts w:ascii="Arial" w:hAnsi="Arial" w:cs="Arial"/>
          <w:sz w:val="24"/>
          <w:szCs w:val="24"/>
          <w:lang w:eastAsia="ar-SA"/>
        </w:rPr>
      </w:pPr>
      <w:r>
        <w:rPr>
          <w:rFonts w:cs="Arial" w:ascii="Arial" w:hAnsi="Arial"/>
          <w:sz w:val="24"/>
          <w:szCs w:val="24"/>
          <w:lang w:eastAsia="ar-SA"/>
        </w:rPr>
        <w:t>зоны сельскохозяйственных угодий - пашни, сенокосы, пастбища, залежи, земли, занятые многолетними насаждениями (садами, виноградниками и другими);</w:t>
      </w:r>
    </w:p>
    <w:p>
      <w:pPr>
        <w:pStyle w:val="NoSpacing"/>
        <w:numPr>
          <w:ilvl w:val="0"/>
          <w:numId w:val="14"/>
        </w:numPr>
        <w:jc w:val="both"/>
        <w:rPr>
          <w:rFonts w:ascii="Arial" w:hAnsi="Arial" w:cs="Arial"/>
          <w:sz w:val="24"/>
          <w:szCs w:val="24"/>
          <w:lang w:eastAsia="ar-SA"/>
        </w:rPr>
      </w:pPr>
      <w:r>
        <w:rPr>
          <w:rFonts w:cs="Arial" w:ascii="Arial" w:hAnsi="Arial"/>
          <w:sz w:val="24"/>
          <w:szCs w:val="24"/>
          <w:lang w:eastAsia="ar-SA"/>
        </w:rPr>
        <w:t>зоны, занятые объектами сельскохозяйственного назначения и предназначенные для ведения сельского хозяйства, садоводства, личного подсобного хозяйства, развития объектов сельскохозяйственного назначения.</w:t>
      </w:r>
    </w:p>
    <w:p>
      <w:pPr>
        <w:pStyle w:val="NoSpacing"/>
        <w:ind w:left="0" w:right="0" w:firstLine="708"/>
        <w:rPr/>
      </w:pPr>
      <w:r>
        <w:rPr>
          <w:rFonts w:cs="Arial" w:ascii="Arial" w:hAnsi="Arial"/>
          <w:sz w:val="24"/>
          <w:szCs w:val="24"/>
        </w:rPr>
        <w:t xml:space="preserve">Показатели для зон сельскохозяйственного назначения определяются в соответствии с требованиями Земельного кодекса, Градостроительного кодекса, </w:t>
      </w:r>
      <w:r>
        <w:rPr>
          <w:rFonts w:eastAsia="SimSun" w:cs="Arial" w:ascii="Arial" w:hAnsi="Arial"/>
          <w:kern w:val="2"/>
          <w:sz w:val="24"/>
          <w:szCs w:val="24"/>
          <w:lang w:eastAsia="ar-SA"/>
        </w:rPr>
        <w:t>СП 42.13330.2011*. Планировка и застройка городских и сельских поселений, региональных нормативов градостроительного проектирования Нижегородской области, МНГП Шарангского муниципального района.</w:t>
      </w:r>
    </w:p>
    <w:p>
      <w:pPr>
        <w:pStyle w:val="NoSpacing"/>
        <w:ind w:left="0" w:right="0" w:firstLine="708"/>
        <w:rPr>
          <w:rFonts w:ascii="Arial" w:hAnsi="Arial" w:eastAsia="Times New Roman" w:cs="Arial"/>
          <w:sz w:val="24"/>
          <w:szCs w:val="24"/>
          <w:lang w:eastAsia="ru-RU"/>
        </w:rPr>
      </w:pPr>
      <w:r>
        <w:rPr>
          <w:rFonts w:eastAsia="Times New Roman" w:cs="Arial" w:ascii="Arial" w:hAnsi="Arial"/>
          <w:sz w:val="24"/>
          <w:szCs w:val="24"/>
          <w:lang w:eastAsia="ru-RU"/>
        </w:rPr>
      </w:r>
    </w:p>
    <w:p>
      <w:pPr>
        <w:pStyle w:val="Style118"/>
        <w:shd w:fill="FFFFFF" w:val="clear"/>
        <w:ind w:left="1428" w:right="0" w:hanging="0"/>
        <w:rPr>
          <w:rFonts w:ascii="Arial" w:hAnsi="Arial" w:cs="Arial"/>
        </w:rPr>
      </w:pPr>
      <w:bookmarkStart w:id="99" w:name="__RefHeading___Toc494965537"/>
      <w:bookmarkEnd w:id="99"/>
      <w:r>
        <w:rPr>
          <w:rFonts w:cs="Arial" w:ascii="Arial" w:hAnsi="Arial"/>
        </w:rPr>
        <w:t>5.10.Особо охраняемые территории</w:t>
      </w:r>
    </w:p>
    <w:p>
      <w:pPr>
        <w:pStyle w:val="ConsPlusNormal2"/>
        <w:rPr/>
      </w:pPr>
      <w:r>
        <w:rPr>
          <w:rFonts w:cs="Arial"/>
          <w:i/>
          <w:sz w:val="24"/>
          <w:szCs w:val="24"/>
        </w:rPr>
        <w:t xml:space="preserve">           </w:t>
      </w:r>
      <w:r>
        <w:rPr>
          <w:rFonts w:cs="Arial"/>
          <w:i/>
          <w:sz w:val="24"/>
          <w:szCs w:val="24"/>
        </w:rPr>
        <w:t>5.10.1. Общие требования</w:t>
      </w:r>
    </w:p>
    <w:p>
      <w:pPr>
        <w:pStyle w:val="ConsPlusNormal2"/>
        <w:tabs>
          <w:tab w:val="left" w:pos="851" w:leader="none"/>
          <w:tab w:val="left" w:pos="993" w:leader="none"/>
        </w:tabs>
        <w:suppressAutoHyphens w:val="false"/>
        <w:rPr>
          <w:rFonts w:cs="Arial"/>
          <w:sz w:val="24"/>
          <w:szCs w:val="24"/>
        </w:rPr>
      </w:pPr>
      <w:r>
        <w:rPr>
          <w:rFonts w:cs="Arial"/>
          <w:sz w:val="24"/>
          <w:szCs w:val="24"/>
        </w:rPr>
        <w:t>5.10.1.1.В особо охраняемые территории включаются земельные участки, имеющие особое природоохранное, научное, историко-культурное, эстетическое, рекреационное и иное особо ценное значение.</w:t>
      </w:r>
    </w:p>
    <w:p>
      <w:pPr>
        <w:pStyle w:val="ConsPlusNormal2"/>
        <w:tabs>
          <w:tab w:val="left" w:pos="851" w:leader="none"/>
        </w:tabs>
        <w:suppressAutoHyphens w:val="false"/>
        <w:ind w:left="550" w:right="0" w:hanging="0"/>
        <w:rPr>
          <w:rFonts w:cs="Arial"/>
          <w:sz w:val="24"/>
          <w:szCs w:val="24"/>
        </w:rPr>
      </w:pPr>
      <w:r>
        <w:rPr>
          <w:rFonts w:cs="Arial"/>
          <w:sz w:val="24"/>
          <w:szCs w:val="24"/>
        </w:rPr>
        <w:t>К землям особо охраняемых территорий относятся земли:</w:t>
      </w:r>
    </w:p>
    <w:p>
      <w:pPr>
        <w:pStyle w:val="ConsPlusNormal2"/>
        <w:ind w:left="0" w:right="0" w:firstLine="540"/>
        <w:rPr>
          <w:rFonts w:cs="Arial"/>
          <w:sz w:val="24"/>
          <w:szCs w:val="24"/>
        </w:rPr>
      </w:pPr>
      <w:r>
        <w:rPr>
          <w:rFonts w:cs="Arial"/>
          <w:sz w:val="24"/>
          <w:szCs w:val="24"/>
        </w:rPr>
        <w:t>- особо охраняемых природных территорий;</w:t>
      </w:r>
    </w:p>
    <w:p>
      <w:pPr>
        <w:pStyle w:val="ConsPlusNormal2"/>
        <w:ind w:left="0" w:right="0" w:firstLine="540"/>
        <w:rPr>
          <w:rFonts w:cs="Arial"/>
          <w:sz w:val="24"/>
          <w:szCs w:val="24"/>
        </w:rPr>
      </w:pPr>
      <w:r>
        <w:rPr>
          <w:rFonts w:cs="Arial"/>
          <w:sz w:val="24"/>
          <w:szCs w:val="24"/>
        </w:rPr>
        <w:t>- природоохранного назначения;</w:t>
      </w:r>
    </w:p>
    <w:p>
      <w:pPr>
        <w:pStyle w:val="ConsPlusNormal2"/>
        <w:ind w:left="0" w:right="0" w:firstLine="540"/>
        <w:rPr>
          <w:rFonts w:cs="Arial"/>
          <w:sz w:val="24"/>
          <w:szCs w:val="24"/>
        </w:rPr>
      </w:pPr>
      <w:r>
        <w:rPr>
          <w:rFonts w:cs="Arial"/>
          <w:sz w:val="24"/>
          <w:szCs w:val="24"/>
        </w:rPr>
        <w:t>- рекреационного назначения;</w:t>
      </w:r>
    </w:p>
    <w:p>
      <w:pPr>
        <w:pStyle w:val="ConsPlusNormal2"/>
        <w:ind w:left="0" w:right="0" w:firstLine="540"/>
        <w:rPr>
          <w:rFonts w:cs="Arial"/>
          <w:sz w:val="24"/>
          <w:szCs w:val="24"/>
        </w:rPr>
      </w:pPr>
      <w:r>
        <w:rPr>
          <w:rFonts w:cs="Arial"/>
          <w:sz w:val="24"/>
          <w:szCs w:val="24"/>
        </w:rPr>
        <w:t>- историко-культурного назначения;</w:t>
      </w:r>
    </w:p>
    <w:p>
      <w:pPr>
        <w:pStyle w:val="ConsPlusNormal2"/>
        <w:ind w:left="0" w:right="0" w:firstLine="540"/>
        <w:rPr/>
      </w:pPr>
      <w:r>
        <w:rPr>
          <w:rFonts w:cs="Arial"/>
          <w:sz w:val="24"/>
          <w:szCs w:val="24"/>
        </w:rPr>
        <w:t xml:space="preserve">- иные особо ценные земли в соответствии с Земельным </w:t>
      </w:r>
      <w:hyperlink r:id="rId49">
        <w:r>
          <w:rPr>
            <w:rStyle w:val="Style9"/>
            <w:rFonts w:cs="Arial"/>
            <w:sz w:val="24"/>
            <w:szCs w:val="24"/>
          </w:rPr>
          <w:t>кодексом</w:t>
        </w:r>
      </w:hyperlink>
      <w:r>
        <w:rPr>
          <w:rFonts w:cs="Arial"/>
          <w:sz w:val="24"/>
          <w:szCs w:val="24"/>
        </w:rPr>
        <w:t xml:space="preserve"> Российской Федерации, федеральными законами.</w:t>
      </w:r>
    </w:p>
    <w:p>
      <w:pPr>
        <w:pStyle w:val="ConsPlusNormal2"/>
        <w:tabs>
          <w:tab w:val="left" w:pos="851" w:leader="none"/>
          <w:tab w:val="left" w:pos="993" w:leader="none"/>
        </w:tabs>
        <w:suppressAutoHyphens w:val="false"/>
        <w:rPr>
          <w:rFonts w:cs="Arial"/>
          <w:sz w:val="24"/>
          <w:szCs w:val="24"/>
        </w:rPr>
      </w:pPr>
      <w:r>
        <w:rPr>
          <w:rFonts w:cs="Arial"/>
          <w:sz w:val="24"/>
          <w:szCs w:val="24"/>
        </w:rPr>
        <w:t>5.10.1.2.Правительство Российской Федерации, соответствующие органы исполнительной власти субъектов Российской Федерации, органы местного самоуправления могут устанавливать и иные категории особо охраняемых природных территорий (территории, на которых находятся памятники садово-паркового искусства, охраняемые береговые линии, охраняемые речные системы, охраняемые природные ландшафты, биологические станции, микрозаповедники и другие).</w:t>
      </w:r>
    </w:p>
    <w:p>
      <w:pPr>
        <w:pStyle w:val="ConsPlusNormal2"/>
        <w:tabs>
          <w:tab w:val="left" w:pos="851" w:leader="none"/>
          <w:tab w:val="left" w:pos="993" w:leader="none"/>
        </w:tabs>
        <w:suppressAutoHyphens w:val="false"/>
        <w:rPr>
          <w:rFonts w:cs="Arial"/>
          <w:sz w:val="24"/>
          <w:szCs w:val="24"/>
        </w:rPr>
      </w:pPr>
      <w:r>
        <w:rPr>
          <w:rFonts w:cs="Arial"/>
          <w:sz w:val="24"/>
          <w:szCs w:val="24"/>
        </w:rPr>
        <w:t>5.10.1.3.Порядок отнесения земель к землям особо охраняемых территорий регионального и местного значения, порядок использования и охраны земель особо охраняемых территорий регионального и местного значения устанавливаются органами государственной власти Нижегородской области и органами местного самоуправления в соответствии с федеральными законами, законами Нижегородской области и нормативными правовыми актами органа местного самоуправления.</w:t>
      </w:r>
    </w:p>
    <w:p>
      <w:pPr>
        <w:pStyle w:val="ConsPlusNormal2"/>
        <w:ind w:left="0" w:right="0" w:firstLine="540"/>
        <w:rPr>
          <w:rFonts w:cs="Arial"/>
          <w:sz w:val="24"/>
          <w:szCs w:val="24"/>
        </w:rPr>
      </w:pPr>
      <w:r>
        <w:rPr>
          <w:rFonts w:cs="Arial"/>
          <w:sz w:val="24"/>
          <w:szCs w:val="24"/>
        </w:rPr>
      </w:r>
    </w:p>
    <w:p>
      <w:pPr>
        <w:pStyle w:val="ConsPlusNormal2"/>
        <w:rPr/>
      </w:pPr>
      <w:r>
        <w:rPr>
          <w:rFonts w:cs="Arial"/>
          <w:i/>
          <w:sz w:val="24"/>
          <w:szCs w:val="24"/>
        </w:rPr>
        <w:t xml:space="preserve">           </w:t>
      </w:r>
      <w:r>
        <w:rPr>
          <w:rFonts w:cs="Arial"/>
          <w:i/>
          <w:sz w:val="24"/>
          <w:szCs w:val="24"/>
        </w:rPr>
        <w:t>5.10.2. Земли водоохранных зон водных объектов</w:t>
      </w:r>
    </w:p>
    <w:p>
      <w:pPr>
        <w:pStyle w:val="ConsPlusNormal2"/>
        <w:tabs>
          <w:tab w:val="left" w:pos="851" w:leader="none"/>
        </w:tabs>
        <w:suppressAutoHyphens w:val="false"/>
        <w:rPr>
          <w:rFonts w:cs="Arial"/>
          <w:sz w:val="24"/>
          <w:szCs w:val="24"/>
        </w:rPr>
      </w:pPr>
      <w:r>
        <w:rPr>
          <w:rFonts w:cs="Arial"/>
          <w:sz w:val="24"/>
          <w:szCs w:val="24"/>
        </w:rPr>
        <w:t>5.10.2.1.Водоохранными зонами являются территории, которые примыкают к береговой линии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pPr>
        <w:pStyle w:val="ConsPlusNormal2"/>
        <w:ind w:left="0" w:right="0" w:firstLine="540"/>
        <w:rPr>
          <w:rFonts w:cs="Arial"/>
          <w:sz w:val="24"/>
          <w:szCs w:val="24"/>
        </w:rPr>
      </w:pPr>
      <w:r>
        <w:rPr>
          <w:rFonts w:cs="Arial"/>
          <w:sz w:val="24"/>
          <w:szCs w:val="24"/>
        </w:rPr>
        <w:t>В границах водоохранных зон устанавливаются прибрежные защитные полосы, на территориях которых вводятся дополнительные ограничения хозяйственной и иной деятельности.</w:t>
      </w:r>
    </w:p>
    <w:p>
      <w:pPr>
        <w:pStyle w:val="ConsPlusNormal2"/>
        <w:tabs>
          <w:tab w:val="left" w:pos="851" w:leader="none"/>
        </w:tabs>
        <w:suppressAutoHyphens w:val="false"/>
        <w:rPr/>
      </w:pPr>
      <w:r>
        <w:rPr>
          <w:rFonts w:cs="Arial"/>
          <w:sz w:val="24"/>
          <w:szCs w:val="24"/>
        </w:rPr>
        <w:t xml:space="preserve">5.10.2.2.Согласно Водному </w:t>
      </w:r>
      <w:hyperlink r:id="rId50">
        <w:r>
          <w:rPr>
            <w:rStyle w:val="Style9"/>
            <w:rFonts w:cs="Arial"/>
            <w:color w:val="00000A"/>
            <w:sz w:val="24"/>
            <w:szCs w:val="24"/>
          </w:rPr>
          <w:t>кодексу</w:t>
        </w:r>
      </w:hyperlink>
      <w:r>
        <w:rPr>
          <w:rFonts w:cs="Arial"/>
          <w:sz w:val="24"/>
          <w:szCs w:val="24"/>
        </w:rPr>
        <w:t xml:space="preserve"> Российской Федерации ширина водоохраной зоны рек или ручьев устанавливается от их истока для рек или ручьев протяженностью:</w:t>
      </w:r>
    </w:p>
    <w:p>
      <w:pPr>
        <w:pStyle w:val="ConsPlusNormal2"/>
        <w:ind w:left="0" w:right="0" w:firstLine="540"/>
        <w:rPr>
          <w:rFonts w:cs="Arial"/>
          <w:sz w:val="24"/>
          <w:szCs w:val="24"/>
        </w:rPr>
      </w:pPr>
      <w:r>
        <w:rPr>
          <w:rFonts w:cs="Arial"/>
          <w:sz w:val="24"/>
          <w:szCs w:val="24"/>
        </w:rPr>
        <w:t>- до десяти километров - в размере 50 метров;</w:t>
      </w:r>
    </w:p>
    <w:p>
      <w:pPr>
        <w:pStyle w:val="ConsPlusNormal2"/>
        <w:ind w:left="0" w:right="0" w:firstLine="540"/>
        <w:rPr>
          <w:rFonts w:cs="Arial"/>
          <w:sz w:val="24"/>
          <w:szCs w:val="24"/>
        </w:rPr>
      </w:pPr>
      <w:r>
        <w:rPr>
          <w:rFonts w:cs="Arial"/>
          <w:sz w:val="24"/>
          <w:szCs w:val="24"/>
        </w:rPr>
        <w:t>- от десяти до пятидесяти километров - в размере 100 метров.</w:t>
      </w:r>
    </w:p>
    <w:p>
      <w:pPr>
        <w:pStyle w:val="ConsPlusNormal2"/>
        <w:ind w:left="0" w:right="0" w:firstLine="540"/>
        <w:rPr>
          <w:rFonts w:cs="Arial"/>
          <w:sz w:val="24"/>
          <w:szCs w:val="24"/>
        </w:rPr>
      </w:pPr>
      <w:r>
        <w:rPr>
          <w:rFonts w:cs="Arial"/>
          <w:sz w:val="24"/>
          <w:szCs w:val="24"/>
        </w:rPr>
        <w:t>Для реки, ручья протяженностью менее десяти километров от истока до устья водоохранная зона совпадает с прибрежной защитной полосой. Радиус водоохраной зоны для истоков реки, ручья устанавливается в размере пятидесяти метров.</w:t>
      </w:r>
    </w:p>
    <w:p>
      <w:pPr>
        <w:pStyle w:val="ConsPlusNormal2"/>
        <w:ind w:left="0" w:right="0" w:firstLine="540"/>
        <w:rPr>
          <w:rFonts w:cs="Arial"/>
          <w:sz w:val="24"/>
          <w:szCs w:val="24"/>
        </w:rPr>
      </w:pPr>
      <w:r>
        <w:rPr>
          <w:rFonts w:cs="Arial"/>
          <w:sz w:val="24"/>
          <w:szCs w:val="24"/>
        </w:rPr>
        <w:t>В границах водоохранных зон запрещается:</w:t>
      </w:r>
    </w:p>
    <w:p>
      <w:pPr>
        <w:pStyle w:val="ConsPlusNormal2"/>
        <w:ind w:left="0" w:right="0" w:firstLine="540"/>
        <w:rPr>
          <w:rFonts w:cs="Arial"/>
          <w:sz w:val="24"/>
          <w:szCs w:val="24"/>
        </w:rPr>
      </w:pPr>
      <w:r>
        <w:rPr>
          <w:rFonts w:cs="Arial"/>
          <w:sz w:val="24"/>
          <w:szCs w:val="24"/>
        </w:rPr>
        <w:t>- использование сточных вод для удобрения почв;</w:t>
      </w:r>
    </w:p>
    <w:p>
      <w:pPr>
        <w:pStyle w:val="ConsPlusNormal2"/>
        <w:ind w:left="0" w:right="0" w:firstLine="540"/>
        <w:rPr>
          <w:rFonts w:cs="Arial"/>
          <w:sz w:val="24"/>
          <w:szCs w:val="24"/>
        </w:rPr>
      </w:pPr>
      <w:r>
        <w:rPr>
          <w:rFonts w:cs="Arial"/>
          <w:sz w:val="24"/>
          <w:szCs w:val="24"/>
        </w:rPr>
        <w:t>- размещение кладбищ, скотомогильников, мест захоронения отходов производства и потребления, радиоактивных, химических, взрывчатых, токсичных, отравляющих и ядовитых веществ;</w:t>
      </w:r>
    </w:p>
    <w:p>
      <w:pPr>
        <w:pStyle w:val="ConsPlusNormal2"/>
        <w:ind w:left="0" w:right="0" w:firstLine="540"/>
        <w:rPr>
          <w:rFonts w:cs="Arial"/>
          <w:sz w:val="24"/>
          <w:szCs w:val="24"/>
        </w:rPr>
      </w:pPr>
      <w:r>
        <w:rPr>
          <w:rFonts w:cs="Arial"/>
          <w:sz w:val="24"/>
          <w:szCs w:val="24"/>
        </w:rPr>
        <w:t>- осуществление авиационных мер по борьбе с вредителями и болезнями растений;</w:t>
      </w:r>
    </w:p>
    <w:p>
      <w:pPr>
        <w:pStyle w:val="ConsPlusNormal2"/>
        <w:ind w:left="0" w:right="0" w:firstLine="540"/>
        <w:rPr>
          <w:rFonts w:cs="Arial"/>
          <w:sz w:val="24"/>
          <w:szCs w:val="24"/>
        </w:rPr>
      </w:pPr>
      <w:r>
        <w:rPr>
          <w:rFonts w:cs="Arial"/>
          <w:sz w:val="24"/>
          <w:szCs w:val="24"/>
        </w:rPr>
        <w:t>-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pPr>
        <w:pStyle w:val="ConsPlusNormal2"/>
        <w:ind w:left="0" w:right="0" w:firstLine="540"/>
        <w:rPr>
          <w:rFonts w:cs="Arial"/>
          <w:sz w:val="24"/>
          <w:szCs w:val="24"/>
        </w:rPr>
      </w:pPr>
      <w:r>
        <w:rPr>
          <w:rFonts w:cs="Arial"/>
          <w:sz w:val="24"/>
          <w:szCs w:val="24"/>
        </w:rPr>
        <w:t>В границах водоохранных зон допускаются проектирование, размещение,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и истощения вод в соответствии с водным законодательством и законодательством в области охраны окружающей среды.</w:t>
      </w:r>
    </w:p>
    <w:p>
      <w:pPr>
        <w:pStyle w:val="ConsPlusNormal2"/>
        <w:ind w:left="0" w:right="0" w:firstLine="540"/>
        <w:rPr>
          <w:rFonts w:cs="Arial"/>
          <w:sz w:val="24"/>
          <w:szCs w:val="24"/>
        </w:rPr>
      </w:pPr>
      <w:r>
        <w:rPr>
          <w:rFonts w:cs="Arial"/>
          <w:sz w:val="24"/>
          <w:szCs w:val="24"/>
        </w:rPr>
        <w:t>В границах прибрежных защитных полос наряду с указанными ограничениями запрещаются:</w:t>
      </w:r>
    </w:p>
    <w:p>
      <w:pPr>
        <w:pStyle w:val="ConsPlusNormal2"/>
        <w:ind w:left="0" w:right="0" w:firstLine="540"/>
        <w:rPr>
          <w:rFonts w:cs="Arial"/>
          <w:sz w:val="24"/>
          <w:szCs w:val="24"/>
        </w:rPr>
      </w:pPr>
      <w:r>
        <w:rPr>
          <w:rFonts w:cs="Arial"/>
          <w:sz w:val="24"/>
          <w:szCs w:val="24"/>
        </w:rPr>
        <w:t>- распашка земель;</w:t>
      </w:r>
    </w:p>
    <w:p>
      <w:pPr>
        <w:pStyle w:val="ConsPlusNormal2"/>
        <w:ind w:left="0" w:right="0" w:firstLine="540"/>
        <w:rPr>
          <w:rFonts w:cs="Arial"/>
          <w:sz w:val="24"/>
          <w:szCs w:val="24"/>
        </w:rPr>
      </w:pPr>
      <w:r>
        <w:rPr>
          <w:rFonts w:cs="Arial"/>
          <w:sz w:val="24"/>
          <w:szCs w:val="24"/>
        </w:rPr>
        <w:t>- размещение отвалов размываемых грунтов;</w:t>
      </w:r>
    </w:p>
    <w:p>
      <w:pPr>
        <w:pStyle w:val="ConsPlusNormal2"/>
        <w:ind w:left="0" w:right="0" w:firstLine="540"/>
        <w:rPr>
          <w:rFonts w:cs="Arial"/>
          <w:sz w:val="24"/>
          <w:szCs w:val="24"/>
        </w:rPr>
      </w:pPr>
      <w:r>
        <w:rPr>
          <w:rFonts w:cs="Arial"/>
          <w:sz w:val="24"/>
          <w:szCs w:val="24"/>
        </w:rPr>
        <w:t>- выпас сельскохозяйственных животных и организация для них летних лагерей.</w:t>
      </w:r>
    </w:p>
    <w:p>
      <w:pPr>
        <w:pStyle w:val="ConsPlusNormal2"/>
        <w:tabs>
          <w:tab w:val="left" w:pos="851" w:leader="none"/>
        </w:tabs>
        <w:suppressAutoHyphens w:val="false"/>
        <w:rPr/>
      </w:pPr>
      <w:r>
        <w:rPr>
          <w:rFonts w:cs="Arial"/>
          <w:sz w:val="24"/>
          <w:szCs w:val="24"/>
        </w:rPr>
        <w:t xml:space="preserve">5.10.2.3.Разработка проектов планировки территории населенных пунктов и размещения объектов жилищного, гражданского и производственного назначения вблизи водных объектов осуществляется в соответствии с требованиями Водного </w:t>
      </w:r>
      <w:hyperlink r:id="rId51">
        <w:r>
          <w:rPr>
            <w:rStyle w:val="Style9"/>
            <w:rFonts w:cs="Arial"/>
            <w:color w:val="00000A"/>
            <w:sz w:val="24"/>
            <w:szCs w:val="24"/>
          </w:rPr>
          <w:t>кодекса</w:t>
        </w:r>
      </w:hyperlink>
      <w:r>
        <w:rPr>
          <w:rFonts w:cs="Arial"/>
          <w:sz w:val="24"/>
          <w:szCs w:val="24"/>
        </w:rPr>
        <w:t xml:space="preserve"> Российской Федерации.</w:t>
      </w:r>
    </w:p>
    <w:p>
      <w:pPr>
        <w:pStyle w:val="ConsPlusNormal2"/>
        <w:tabs>
          <w:tab w:val="left" w:pos="851" w:leader="none"/>
        </w:tabs>
        <w:suppressAutoHyphens w:val="false"/>
        <w:rPr>
          <w:rFonts w:cs="Arial"/>
          <w:sz w:val="24"/>
          <w:szCs w:val="24"/>
        </w:rPr>
      </w:pPr>
      <w:r>
        <w:rPr>
          <w:rFonts w:cs="Arial"/>
          <w:sz w:val="24"/>
          <w:szCs w:val="24"/>
        </w:rPr>
        <w:t>5.10.2.4.Основные характеристики наиболее значительных рек Кушнурского сельсовета (длиной более 10 км.) приведены в таблице 22</w:t>
      </w:r>
    </w:p>
    <w:p>
      <w:pPr>
        <w:pStyle w:val="ConsPlusNormal2"/>
        <w:tabs>
          <w:tab w:val="left" w:pos="851" w:leader="none"/>
        </w:tabs>
        <w:suppressAutoHyphens w:val="false"/>
        <w:ind w:left="567" w:right="0" w:hanging="0"/>
        <w:jc w:val="right"/>
        <w:rPr>
          <w:rFonts w:cs="Arial"/>
          <w:sz w:val="24"/>
          <w:szCs w:val="24"/>
        </w:rPr>
      </w:pPr>
      <w:r>
        <w:rPr>
          <w:rFonts w:cs="Arial"/>
          <w:sz w:val="24"/>
          <w:szCs w:val="24"/>
        </w:rPr>
        <w:t>Таблица 22</w:t>
      </w:r>
    </w:p>
    <w:p>
      <w:pPr>
        <w:pStyle w:val="ConsPlusNormal2"/>
        <w:tabs>
          <w:tab w:val="left" w:pos="851" w:leader="none"/>
        </w:tabs>
        <w:suppressAutoHyphens w:val="false"/>
        <w:ind w:left="567" w:right="0" w:hanging="0"/>
        <w:jc w:val="center"/>
        <w:rPr>
          <w:rFonts w:cs="Arial"/>
          <w:sz w:val="24"/>
          <w:szCs w:val="24"/>
        </w:rPr>
      </w:pPr>
      <w:r>
        <w:rPr>
          <w:rFonts w:cs="Arial"/>
          <w:sz w:val="24"/>
          <w:szCs w:val="24"/>
        </w:rPr>
        <w:t>Ширина водоохраной зоны наиболее значительных рек Кушнурского сельсовета Шарангского района</w:t>
      </w:r>
    </w:p>
    <w:tbl>
      <w:tblPr>
        <w:tblW w:w="10112" w:type="dxa"/>
        <w:jc w:val="left"/>
        <w:tblInd w:w="0" w:type="dxa"/>
        <w:tblBorders>
          <w:top w:val="single" w:sz="4" w:space="0" w:color="00000A"/>
          <w:left w:val="single" w:sz="4" w:space="0" w:color="00000A"/>
          <w:bottom w:val="single" w:sz="4" w:space="0" w:color="00000A"/>
          <w:insideH w:val="single" w:sz="4" w:space="0" w:color="00000A"/>
        </w:tblBorders>
        <w:tblCellMar>
          <w:top w:w="0" w:type="dxa"/>
          <w:left w:w="108" w:type="dxa"/>
          <w:bottom w:w="0" w:type="dxa"/>
          <w:right w:w="108" w:type="dxa"/>
        </w:tblCellMar>
      </w:tblPr>
      <w:tblGrid>
        <w:gridCol w:w="759"/>
        <w:gridCol w:w="2653"/>
        <w:gridCol w:w="2505"/>
        <w:gridCol w:w="2358"/>
        <w:gridCol w:w="1837"/>
      </w:tblGrid>
      <w:tr>
        <w:trPr/>
        <w:tc>
          <w:tcPr>
            <w:tcW w:w="759" w:type="dxa"/>
            <w:tcBorders>
              <w:top w:val="single" w:sz="4" w:space="0" w:color="00000A"/>
              <w:left w:val="single" w:sz="4" w:space="0" w:color="00000A"/>
              <w:bottom w:val="single" w:sz="4" w:space="0" w:color="00000A"/>
              <w:insideH w:val="single" w:sz="4" w:space="0" w:color="00000A"/>
            </w:tcBorders>
            <w:shd w:fill="EEECE1" w:val="clear"/>
            <w:tcMar>
              <w:left w:w="108" w:type="dxa"/>
            </w:tcMar>
            <w:vAlign w:val="center"/>
          </w:tcPr>
          <w:p>
            <w:pPr>
              <w:pStyle w:val="ConsNonformat1"/>
              <w:widowControl/>
              <w:jc w:val="center"/>
              <w:rPr/>
            </w:pPr>
            <w:r>
              <w:rPr>
                <w:rFonts w:cs="Arial" w:ascii="Arial" w:hAnsi="Arial"/>
                <w:sz w:val="24"/>
                <w:szCs w:val="24"/>
              </w:rPr>
              <w:t>№</w:t>
            </w:r>
            <w:r>
              <w:rPr>
                <w:rFonts w:eastAsia="Arial" w:cs="Arial" w:ascii="Arial" w:hAnsi="Arial"/>
                <w:sz w:val="24"/>
                <w:szCs w:val="24"/>
              </w:rPr>
              <w:t xml:space="preserve"> </w:t>
            </w:r>
            <w:r>
              <w:rPr>
                <w:rFonts w:cs="Arial" w:ascii="Arial" w:hAnsi="Arial"/>
                <w:sz w:val="24"/>
                <w:szCs w:val="24"/>
              </w:rPr>
              <w:t>п/п</w:t>
            </w:r>
          </w:p>
        </w:tc>
        <w:tc>
          <w:tcPr>
            <w:tcW w:w="2653" w:type="dxa"/>
            <w:tcBorders>
              <w:top w:val="single" w:sz="4" w:space="0" w:color="00000A"/>
              <w:left w:val="single" w:sz="4" w:space="0" w:color="00000A"/>
              <w:bottom w:val="single" w:sz="4" w:space="0" w:color="00000A"/>
              <w:insideH w:val="single" w:sz="4" w:space="0" w:color="00000A"/>
            </w:tcBorders>
            <w:shd w:fill="EEECE1" w:val="clear"/>
            <w:tcMar>
              <w:left w:w="108" w:type="dxa"/>
            </w:tcMar>
            <w:vAlign w:val="center"/>
          </w:tcPr>
          <w:p>
            <w:pPr>
              <w:pStyle w:val="ConsNonformat1"/>
              <w:widowControl/>
              <w:jc w:val="center"/>
              <w:rPr>
                <w:rFonts w:ascii="Arial" w:hAnsi="Arial" w:cs="Arial"/>
                <w:sz w:val="24"/>
                <w:szCs w:val="24"/>
              </w:rPr>
            </w:pPr>
            <w:r>
              <w:rPr>
                <w:rFonts w:cs="Arial" w:ascii="Arial" w:hAnsi="Arial"/>
                <w:sz w:val="24"/>
                <w:szCs w:val="24"/>
              </w:rPr>
              <w:t>Название водотока</w:t>
            </w:r>
          </w:p>
        </w:tc>
        <w:tc>
          <w:tcPr>
            <w:tcW w:w="2505" w:type="dxa"/>
            <w:tcBorders>
              <w:top w:val="single" w:sz="4" w:space="0" w:color="00000A"/>
              <w:left w:val="single" w:sz="4" w:space="0" w:color="00000A"/>
              <w:bottom w:val="single" w:sz="4" w:space="0" w:color="00000A"/>
              <w:insideH w:val="single" w:sz="4" w:space="0" w:color="00000A"/>
            </w:tcBorders>
            <w:shd w:fill="EEECE1" w:val="clear"/>
            <w:tcMar>
              <w:left w:w="108" w:type="dxa"/>
            </w:tcMar>
            <w:vAlign w:val="center"/>
          </w:tcPr>
          <w:p>
            <w:pPr>
              <w:pStyle w:val="ConsNonformat1"/>
              <w:widowControl/>
              <w:jc w:val="center"/>
              <w:rPr>
                <w:rFonts w:ascii="Arial" w:hAnsi="Arial" w:cs="Arial"/>
                <w:sz w:val="24"/>
                <w:szCs w:val="24"/>
              </w:rPr>
            </w:pPr>
            <w:r>
              <w:rPr>
                <w:rFonts w:cs="Arial" w:ascii="Arial" w:hAnsi="Arial"/>
                <w:sz w:val="24"/>
                <w:szCs w:val="24"/>
              </w:rPr>
              <w:t>Общая протяженность (км)</w:t>
            </w:r>
          </w:p>
        </w:tc>
        <w:tc>
          <w:tcPr>
            <w:tcW w:w="2358" w:type="dxa"/>
            <w:tcBorders>
              <w:top w:val="single" w:sz="4" w:space="0" w:color="00000A"/>
              <w:left w:val="single" w:sz="4" w:space="0" w:color="00000A"/>
              <w:bottom w:val="single" w:sz="4" w:space="0" w:color="00000A"/>
              <w:insideH w:val="single" w:sz="4" w:space="0" w:color="00000A"/>
            </w:tcBorders>
            <w:shd w:fill="EEECE1" w:val="clear"/>
            <w:tcMar>
              <w:left w:w="108" w:type="dxa"/>
            </w:tcMar>
          </w:tcPr>
          <w:p>
            <w:pPr>
              <w:pStyle w:val="ConsNonformat1"/>
              <w:widowControl/>
              <w:jc w:val="center"/>
              <w:rPr>
                <w:rFonts w:ascii="Arial" w:hAnsi="Arial" w:cs="Arial"/>
                <w:sz w:val="24"/>
                <w:szCs w:val="24"/>
              </w:rPr>
            </w:pPr>
            <w:r>
              <w:rPr>
                <w:rFonts w:cs="Arial" w:ascii="Arial" w:hAnsi="Arial"/>
                <w:sz w:val="24"/>
                <w:szCs w:val="24"/>
              </w:rPr>
              <w:t>Ширина водохранной зоны, м</w:t>
            </w:r>
          </w:p>
        </w:tc>
        <w:tc>
          <w:tcPr>
            <w:tcW w:w="18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8" w:type="dxa"/>
            </w:tcMar>
          </w:tcPr>
          <w:p>
            <w:pPr>
              <w:pStyle w:val="ConsNonformat1"/>
              <w:widowControl/>
              <w:jc w:val="center"/>
              <w:rPr>
                <w:rFonts w:ascii="Arial" w:hAnsi="Arial" w:cs="Arial"/>
                <w:sz w:val="24"/>
                <w:szCs w:val="24"/>
              </w:rPr>
            </w:pPr>
            <w:r>
              <w:rPr>
                <w:rFonts w:cs="Arial" w:ascii="Arial" w:hAnsi="Arial"/>
                <w:sz w:val="24"/>
                <w:szCs w:val="24"/>
              </w:rPr>
              <w:t>Ширина береговой полосы,м</w:t>
            </w:r>
          </w:p>
        </w:tc>
      </w:tr>
      <w:tr>
        <w:trPr>
          <w:trHeight w:val="284" w:hRule="exact"/>
        </w:trPr>
        <w:tc>
          <w:tcPr>
            <w:tcW w:w="759"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276"/>
              <w:jc w:val="center"/>
              <w:rPr>
                <w:rFonts w:ascii="Arial" w:hAnsi="Arial" w:cs="Arial"/>
                <w:sz w:val="24"/>
                <w:szCs w:val="24"/>
              </w:rPr>
            </w:pPr>
            <w:r>
              <w:rPr>
                <w:rFonts w:cs="Arial" w:ascii="Arial" w:hAnsi="Arial"/>
                <w:sz w:val="24"/>
                <w:szCs w:val="24"/>
              </w:rPr>
              <w:t>1</w:t>
            </w:r>
          </w:p>
        </w:tc>
        <w:tc>
          <w:tcPr>
            <w:tcW w:w="2653"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276"/>
              <w:rPr>
                <w:rFonts w:ascii="Arial" w:hAnsi="Arial" w:cs="Arial"/>
                <w:sz w:val="24"/>
                <w:szCs w:val="24"/>
              </w:rPr>
            </w:pPr>
            <w:r>
              <w:rPr>
                <w:rFonts w:cs="Arial" w:ascii="Arial" w:hAnsi="Arial"/>
                <w:sz w:val="24"/>
                <w:szCs w:val="24"/>
              </w:rPr>
              <w:t>2</w:t>
            </w:r>
          </w:p>
        </w:tc>
        <w:tc>
          <w:tcPr>
            <w:tcW w:w="250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276"/>
              <w:jc w:val="center"/>
              <w:rPr>
                <w:rFonts w:ascii="Arial" w:hAnsi="Arial" w:cs="Arial"/>
                <w:sz w:val="24"/>
                <w:szCs w:val="24"/>
              </w:rPr>
            </w:pPr>
            <w:r>
              <w:rPr>
                <w:rFonts w:cs="Arial" w:ascii="Arial" w:hAnsi="Arial"/>
                <w:sz w:val="24"/>
                <w:szCs w:val="24"/>
              </w:rPr>
              <w:t>3</w:t>
            </w:r>
          </w:p>
        </w:tc>
        <w:tc>
          <w:tcPr>
            <w:tcW w:w="2358"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276"/>
              <w:jc w:val="center"/>
              <w:rPr>
                <w:rFonts w:ascii="Arial" w:hAnsi="Arial" w:cs="Arial"/>
                <w:sz w:val="24"/>
                <w:szCs w:val="24"/>
              </w:rPr>
            </w:pPr>
            <w:r>
              <w:rPr>
                <w:rFonts w:cs="Arial" w:ascii="Arial" w:hAnsi="Arial"/>
                <w:sz w:val="24"/>
                <w:szCs w:val="24"/>
              </w:rPr>
              <w:t>4</w:t>
            </w:r>
          </w:p>
        </w:tc>
        <w:tc>
          <w:tcPr>
            <w:tcW w:w="18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Nonformat1"/>
              <w:widowControl/>
              <w:spacing w:lineRule="auto" w:line="276"/>
              <w:jc w:val="center"/>
              <w:rPr>
                <w:rFonts w:ascii="Arial" w:hAnsi="Arial" w:cs="Arial"/>
                <w:sz w:val="24"/>
                <w:szCs w:val="24"/>
              </w:rPr>
            </w:pPr>
            <w:r>
              <w:rPr>
                <w:rFonts w:cs="Arial" w:ascii="Arial" w:hAnsi="Arial"/>
                <w:sz w:val="24"/>
                <w:szCs w:val="24"/>
              </w:rPr>
              <w:t>5</w:t>
            </w:r>
          </w:p>
        </w:tc>
      </w:tr>
      <w:tr>
        <w:trPr>
          <w:trHeight w:val="308" w:hRule="atLeast"/>
        </w:trPr>
        <w:tc>
          <w:tcPr>
            <w:tcW w:w="759"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360"/>
              <w:jc w:val="center"/>
              <w:rPr>
                <w:rFonts w:ascii="Arial" w:hAnsi="Arial" w:cs="Arial"/>
                <w:sz w:val="24"/>
                <w:szCs w:val="24"/>
              </w:rPr>
            </w:pPr>
            <w:r>
              <w:rPr>
                <w:rFonts w:cs="Arial" w:ascii="Arial" w:hAnsi="Arial"/>
                <w:sz w:val="24"/>
                <w:szCs w:val="24"/>
              </w:rPr>
              <w:t>1</w:t>
            </w:r>
          </w:p>
        </w:tc>
        <w:tc>
          <w:tcPr>
            <w:tcW w:w="2653"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360"/>
              <w:rPr>
                <w:rFonts w:ascii="Arial" w:hAnsi="Arial" w:cs="Arial"/>
                <w:sz w:val="24"/>
                <w:szCs w:val="24"/>
              </w:rPr>
            </w:pPr>
            <w:r>
              <w:rPr>
                <w:rFonts w:cs="Arial" w:ascii="Arial" w:hAnsi="Arial"/>
                <w:sz w:val="24"/>
                <w:szCs w:val="24"/>
              </w:rPr>
              <w:t>Рутка</w:t>
            </w:r>
          </w:p>
        </w:tc>
        <w:tc>
          <w:tcPr>
            <w:tcW w:w="250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360"/>
              <w:jc w:val="center"/>
              <w:rPr>
                <w:rFonts w:ascii="Arial" w:hAnsi="Arial" w:cs="Arial"/>
                <w:sz w:val="24"/>
                <w:szCs w:val="24"/>
              </w:rPr>
            </w:pPr>
            <w:r>
              <w:rPr>
                <w:rFonts w:cs="Arial" w:ascii="Arial" w:hAnsi="Arial"/>
                <w:sz w:val="24"/>
                <w:szCs w:val="24"/>
              </w:rPr>
              <w:t>153</w:t>
            </w:r>
          </w:p>
        </w:tc>
        <w:tc>
          <w:tcPr>
            <w:tcW w:w="2358"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360"/>
              <w:jc w:val="center"/>
              <w:rPr>
                <w:rFonts w:ascii="Arial" w:hAnsi="Arial" w:cs="Arial"/>
                <w:sz w:val="24"/>
                <w:szCs w:val="24"/>
              </w:rPr>
            </w:pPr>
            <w:r>
              <w:rPr>
                <w:rFonts w:cs="Arial" w:ascii="Arial" w:hAnsi="Arial"/>
                <w:sz w:val="24"/>
                <w:szCs w:val="24"/>
              </w:rPr>
              <w:t>200</w:t>
            </w:r>
          </w:p>
        </w:tc>
        <w:tc>
          <w:tcPr>
            <w:tcW w:w="18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Nonformat1"/>
              <w:widowControl/>
              <w:spacing w:lineRule="auto" w:line="360"/>
              <w:jc w:val="center"/>
              <w:rPr>
                <w:rFonts w:ascii="Arial" w:hAnsi="Arial" w:cs="Arial"/>
                <w:sz w:val="24"/>
                <w:szCs w:val="24"/>
              </w:rPr>
            </w:pPr>
            <w:r>
              <w:rPr>
                <w:rFonts w:cs="Arial" w:ascii="Arial" w:hAnsi="Arial"/>
                <w:sz w:val="24"/>
                <w:szCs w:val="24"/>
              </w:rPr>
              <w:t>20</w:t>
            </w:r>
          </w:p>
        </w:tc>
      </w:tr>
      <w:tr>
        <w:trPr>
          <w:trHeight w:val="475" w:hRule="exact"/>
        </w:trPr>
        <w:tc>
          <w:tcPr>
            <w:tcW w:w="759"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360"/>
              <w:jc w:val="center"/>
              <w:rPr>
                <w:rFonts w:ascii="Arial" w:hAnsi="Arial" w:cs="Arial"/>
                <w:sz w:val="24"/>
                <w:szCs w:val="24"/>
              </w:rPr>
            </w:pPr>
            <w:r>
              <w:rPr>
                <w:rFonts w:cs="Arial" w:ascii="Arial" w:hAnsi="Arial"/>
                <w:sz w:val="24"/>
                <w:szCs w:val="24"/>
              </w:rPr>
              <w:t>2</w:t>
            </w:r>
          </w:p>
        </w:tc>
        <w:tc>
          <w:tcPr>
            <w:tcW w:w="2653"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360"/>
              <w:rPr>
                <w:rFonts w:ascii="Arial" w:hAnsi="Arial" w:cs="Arial"/>
                <w:sz w:val="24"/>
                <w:szCs w:val="24"/>
              </w:rPr>
            </w:pPr>
            <w:r>
              <w:rPr>
                <w:rFonts w:cs="Arial" w:ascii="Arial" w:hAnsi="Arial"/>
                <w:sz w:val="24"/>
                <w:szCs w:val="24"/>
              </w:rPr>
              <w:t>Куга</w:t>
            </w:r>
          </w:p>
        </w:tc>
        <w:tc>
          <w:tcPr>
            <w:tcW w:w="2505"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360"/>
              <w:jc w:val="center"/>
              <w:rPr>
                <w:rFonts w:ascii="Arial" w:hAnsi="Arial" w:cs="Arial"/>
                <w:sz w:val="24"/>
                <w:szCs w:val="24"/>
              </w:rPr>
            </w:pPr>
            <w:r>
              <w:rPr>
                <w:rFonts w:cs="Arial" w:ascii="Arial" w:hAnsi="Arial"/>
                <w:sz w:val="24"/>
                <w:szCs w:val="24"/>
              </w:rPr>
              <w:t>18</w:t>
            </w:r>
          </w:p>
        </w:tc>
        <w:tc>
          <w:tcPr>
            <w:tcW w:w="2358" w:type="dxa"/>
            <w:tcBorders>
              <w:top w:val="single" w:sz="4" w:space="0" w:color="00000A"/>
              <w:left w:val="single" w:sz="4" w:space="0" w:color="00000A"/>
              <w:bottom w:val="single" w:sz="4" w:space="0" w:color="00000A"/>
              <w:insideH w:val="single" w:sz="4" w:space="0" w:color="00000A"/>
            </w:tcBorders>
            <w:shd w:fill="auto" w:val="clear"/>
            <w:tcMar>
              <w:left w:w="108" w:type="dxa"/>
            </w:tcMar>
          </w:tcPr>
          <w:p>
            <w:pPr>
              <w:pStyle w:val="ConsNonformat1"/>
              <w:widowControl/>
              <w:spacing w:lineRule="auto" w:line="360"/>
              <w:jc w:val="center"/>
              <w:rPr>
                <w:rFonts w:ascii="Arial" w:hAnsi="Arial" w:cs="Arial"/>
                <w:sz w:val="24"/>
                <w:szCs w:val="24"/>
              </w:rPr>
            </w:pPr>
            <w:r>
              <w:rPr>
                <w:rFonts w:cs="Arial" w:ascii="Arial" w:hAnsi="Arial"/>
                <w:sz w:val="24"/>
                <w:szCs w:val="24"/>
              </w:rPr>
              <w:t>100</w:t>
            </w:r>
          </w:p>
        </w:tc>
        <w:tc>
          <w:tcPr>
            <w:tcW w:w="18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tcPr>
          <w:p>
            <w:pPr>
              <w:pStyle w:val="ConsNonformat1"/>
              <w:widowControl/>
              <w:spacing w:lineRule="auto" w:line="360"/>
              <w:jc w:val="center"/>
              <w:rPr>
                <w:rFonts w:ascii="Arial" w:hAnsi="Arial" w:cs="Arial"/>
                <w:sz w:val="24"/>
                <w:szCs w:val="24"/>
              </w:rPr>
            </w:pPr>
            <w:r>
              <w:rPr>
                <w:rFonts w:cs="Arial" w:ascii="Arial" w:hAnsi="Arial"/>
                <w:sz w:val="24"/>
                <w:szCs w:val="24"/>
              </w:rPr>
              <w:t>20</w:t>
            </w:r>
          </w:p>
        </w:tc>
      </w:tr>
    </w:tbl>
    <w:p>
      <w:pPr>
        <w:pStyle w:val="ConsPlusNormal2"/>
        <w:tabs>
          <w:tab w:val="left" w:pos="851" w:leader="none"/>
        </w:tabs>
        <w:suppressAutoHyphens w:val="false"/>
        <w:ind w:left="567" w:right="0" w:hanging="0"/>
        <w:rPr/>
      </w:pPr>
      <w:r>
        <w:rPr>
          <w:rFonts w:cs="Arial"/>
          <w:sz w:val="24"/>
          <w:szCs w:val="24"/>
        </w:rPr>
        <w:t xml:space="preserve">  </w:t>
      </w:r>
      <w:r>
        <w:rPr>
          <w:rFonts w:cs="Arial"/>
          <w:sz w:val="24"/>
          <w:szCs w:val="24"/>
        </w:rPr>
        <w:t>5.10.2.5.Ширина водоохраной зоны озер устанавливается в размере 50 м</w:t>
      </w:r>
    </w:p>
    <w:p>
      <w:pPr>
        <w:pStyle w:val="ConsPlusNormal2"/>
        <w:tabs>
          <w:tab w:val="left" w:pos="851" w:leader="none"/>
        </w:tabs>
        <w:suppressAutoHyphens w:val="false"/>
        <w:ind w:left="567" w:right="0" w:hanging="0"/>
        <w:rPr>
          <w:rFonts w:cs="Arial"/>
          <w:sz w:val="24"/>
          <w:szCs w:val="24"/>
        </w:rPr>
      </w:pPr>
      <w:r>
        <w:rPr>
          <w:rFonts w:cs="Arial"/>
          <w:sz w:val="24"/>
          <w:szCs w:val="24"/>
        </w:rPr>
      </w:r>
    </w:p>
    <w:p>
      <w:pPr>
        <w:pStyle w:val="ConsPlusNormal2"/>
        <w:rPr/>
      </w:pPr>
      <w:r>
        <w:rPr>
          <w:rFonts w:cs="Arial"/>
          <w:i/>
          <w:sz w:val="24"/>
          <w:szCs w:val="24"/>
        </w:rPr>
        <w:t xml:space="preserve">           </w:t>
      </w:r>
      <w:r>
        <w:rPr>
          <w:rFonts w:cs="Arial"/>
          <w:i/>
          <w:sz w:val="24"/>
          <w:szCs w:val="24"/>
        </w:rPr>
        <w:t>5.10.3. Земли защитных лесов</w:t>
      </w:r>
    </w:p>
    <w:p>
      <w:pPr>
        <w:pStyle w:val="ConsPlusNormal2"/>
        <w:tabs>
          <w:tab w:val="left" w:pos="851" w:leader="none"/>
        </w:tabs>
        <w:suppressAutoHyphens w:val="false"/>
        <w:rPr>
          <w:rFonts w:cs="Arial"/>
          <w:sz w:val="24"/>
          <w:szCs w:val="24"/>
        </w:rPr>
      </w:pPr>
      <w:r>
        <w:rPr>
          <w:rFonts w:cs="Arial"/>
          <w:sz w:val="24"/>
          <w:szCs w:val="24"/>
        </w:rPr>
        <w:t>5.10.3.1.К защитным лесам относятся леса, которые подлежат освоению в целях сохранения средообразующих, водоохранных, защитных, санитарно-гигиенических, оздоровительных и иных полезных функций лесов с одновременным использованием лесов при условии, если это использование совместимо с целевым назначением защитных лесов и выполняемыми ими полезными функциями.</w:t>
      </w:r>
    </w:p>
    <w:p>
      <w:pPr>
        <w:pStyle w:val="ConsPlusNormal2"/>
        <w:tabs>
          <w:tab w:val="left" w:pos="851" w:leader="none"/>
        </w:tabs>
        <w:suppressAutoHyphens w:val="false"/>
        <w:rPr>
          <w:rFonts w:cs="Arial"/>
          <w:sz w:val="24"/>
          <w:szCs w:val="24"/>
        </w:rPr>
      </w:pPr>
      <w:r>
        <w:rPr>
          <w:rFonts w:cs="Arial"/>
          <w:sz w:val="24"/>
          <w:szCs w:val="24"/>
        </w:rPr>
        <w:t>5.10.3.2.С учетом особенностей правового режима защитных лесов определяются следующие категории указанных лесов:</w:t>
      </w:r>
    </w:p>
    <w:p>
      <w:pPr>
        <w:pStyle w:val="ConsPlusNormal2"/>
        <w:ind w:left="0" w:right="0" w:firstLine="540"/>
        <w:rPr>
          <w:rFonts w:cs="Arial"/>
          <w:sz w:val="24"/>
          <w:szCs w:val="24"/>
        </w:rPr>
      </w:pPr>
      <w:r>
        <w:rPr>
          <w:rFonts w:cs="Arial"/>
          <w:sz w:val="24"/>
          <w:szCs w:val="24"/>
        </w:rPr>
        <w:t>- леса, расположенные на особо охраняемых природных территориях;</w:t>
      </w:r>
    </w:p>
    <w:p>
      <w:pPr>
        <w:pStyle w:val="ConsPlusNormal2"/>
        <w:ind w:left="0" w:right="0" w:firstLine="540"/>
        <w:rPr>
          <w:rFonts w:cs="Arial"/>
          <w:sz w:val="24"/>
          <w:szCs w:val="24"/>
        </w:rPr>
      </w:pPr>
      <w:r>
        <w:rPr>
          <w:rFonts w:cs="Arial"/>
          <w:sz w:val="24"/>
          <w:szCs w:val="24"/>
        </w:rPr>
        <w:t>- леса, расположенные в водоохранных зонах;</w:t>
      </w:r>
    </w:p>
    <w:p>
      <w:pPr>
        <w:pStyle w:val="ConsPlusNormal2"/>
        <w:ind w:left="0" w:right="0" w:firstLine="540"/>
        <w:rPr>
          <w:rFonts w:cs="Arial"/>
          <w:sz w:val="24"/>
          <w:szCs w:val="24"/>
        </w:rPr>
      </w:pPr>
      <w:r>
        <w:rPr>
          <w:rFonts w:cs="Arial"/>
          <w:sz w:val="24"/>
          <w:szCs w:val="24"/>
        </w:rPr>
        <w:t>- леса, выполняющие функции защиты природных и иных объектов;</w:t>
      </w:r>
    </w:p>
    <w:p>
      <w:pPr>
        <w:pStyle w:val="ConsPlusNormal2"/>
        <w:ind w:left="0" w:right="0" w:firstLine="540"/>
        <w:rPr>
          <w:rFonts w:cs="Arial"/>
          <w:sz w:val="24"/>
          <w:szCs w:val="24"/>
        </w:rPr>
      </w:pPr>
      <w:r>
        <w:rPr>
          <w:rFonts w:cs="Arial"/>
          <w:sz w:val="24"/>
          <w:szCs w:val="24"/>
        </w:rPr>
        <w:t>- леса, расположенные в первом и втором поясах зон санитарной источников питьевого и хозяйственно-бытового водоснабжения;</w:t>
      </w:r>
    </w:p>
    <w:p>
      <w:pPr>
        <w:pStyle w:val="ConsPlusNormal2"/>
        <w:ind w:left="0" w:right="0" w:firstLine="540"/>
        <w:rPr>
          <w:rFonts w:cs="Arial"/>
          <w:sz w:val="24"/>
          <w:szCs w:val="24"/>
        </w:rPr>
      </w:pPr>
      <w:r>
        <w:rPr>
          <w:rFonts w:cs="Arial"/>
          <w:sz w:val="24"/>
          <w:szCs w:val="24"/>
        </w:rPr>
        <w:t>- защитные полосы лесов, расположенные вдоль автомобильных дорого общего пользования, находящихся в собственности субъектов Российской Федерации;</w:t>
      </w:r>
    </w:p>
    <w:p>
      <w:pPr>
        <w:pStyle w:val="ConsPlusNormal2"/>
        <w:ind w:left="0" w:right="0" w:firstLine="540"/>
        <w:rPr>
          <w:rFonts w:cs="Arial"/>
          <w:sz w:val="24"/>
          <w:szCs w:val="24"/>
        </w:rPr>
      </w:pPr>
      <w:r>
        <w:rPr>
          <w:rFonts w:cs="Arial"/>
          <w:sz w:val="24"/>
          <w:szCs w:val="24"/>
        </w:rPr>
        <w:t>- зеленые зоны, лесопарки;</w:t>
      </w:r>
    </w:p>
    <w:p>
      <w:pPr>
        <w:pStyle w:val="ConsPlusNormal2"/>
        <w:ind w:left="0" w:right="0" w:firstLine="540"/>
        <w:rPr>
          <w:rFonts w:cs="Arial"/>
          <w:sz w:val="24"/>
          <w:szCs w:val="24"/>
        </w:rPr>
      </w:pPr>
      <w:r>
        <w:rPr>
          <w:rFonts w:cs="Arial"/>
          <w:sz w:val="24"/>
          <w:szCs w:val="24"/>
        </w:rPr>
        <w:t>- государственные защитные лесные полосы;</w:t>
      </w:r>
    </w:p>
    <w:p>
      <w:pPr>
        <w:pStyle w:val="ConsPlusNormal2"/>
        <w:ind w:left="0" w:right="0" w:firstLine="540"/>
        <w:rPr>
          <w:rFonts w:cs="Arial"/>
          <w:sz w:val="24"/>
          <w:szCs w:val="24"/>
        </w:rPr>
      </w:pPr>
      <w:r>
        <w:rPr>
          <w:rFonts w:cs="Arial"/>
          <w:sz w:val="24"/>
          <w:szCs w:val="24"/>
        </w:rPr>
        <w:t>- противоэрозионные леса;</w:t>
      </w:r>
    </w:p>
    <w:p>
      <w:pPr>
        <w:pStyle w:val="ConsPlusNormal2"/>
        <w:ind w:left="0" w:right="0" w:firstLine="540"/>
        <w:rPr>
          <w:rFonts w:cs="Arial"/>
          <w:sz w:val="24"/>
          <w:szCs w:val="24"/>
        </w:rPr>
      </w:pPr>
      <w:r>
        <w:rPr>
          <w:rFonts w:cs="Arial"/>
          <w:sz w:val="24"/>
          <w:szCs w:val="24"/>
        </w:rPr>
        <w:t>- запретные полосы лесов, расположенные вдоль водных объектов.</w:t>
      </w:r>
    </w:p>
    <w:p>
      <w:pPr>
        <w:pStyle w:val="ConsPlusNormal2"/>
        <w:tabs>
          <w:tab w:val="left" w:pos="851" w:leader="none"/>
        </w:tabs>
        <w:suppressAutoHyphens w:val="false"/>
        <w:rPr>
          <w:rFonts w:cs="Arial"/>
          <w:sz w:val="24"/>
          <w:szCs w:val="24"/>
        </w:rPr>
      </w:pPr>
      <w:r>
        <w:rPr>
          <w:rFonts w:cs="Arial"/>
          <w:sz w:val="24"/>
          <w:szCs w:val="24"/>
        </w:rPr>
        <w:t>5.10.3.3.К особо защитным участкам лесов относятся:</w:t>
      </w:r>
    </w:p>
    <w:p>
      <w:pPr>
        <w:pStyle w:val="ConsPlusNormal2"/>
        <w:ind w:left="0" w:right="0" w:firstLine="540"/>
        <w:rPr>
          <w:rFonts w:cs="Arial"/>
          <w:sz w:val="24"/>
          <w:szCs w:val="24"/>
        </w:rPr>
      </w:pPr>
      <w:r>
        <w:rPr>
          <w:rFonts w:cs="Arial"/>
          <w:sz w:val="24"/>
          <w:szCs w:val="24"/>
        </w:rPr>
        <w:t>- берегозащитные, почвозащитные участки лесов, расположенных вдоль водных объектов, склонов оврагов;</w:t>
      </w:r>
    </w:p>
    <w:p>
      <w:pPr>
        <w:pStyle w:val="ConsPlusNormal2"/>
        <w:ind w:left="0" w:right="0" w:firstLine="540"/>
        <w:rPr>
          <w:rFonts w:cs="Arial"/>
          <w:sz w:val="24"/>
          <w:szCs w:val="24"/>
        </w:rPr>
      </w:pPr>
      <w:r>
        <w:rPr>
          <w:rFonts w:cs="Arial"/>
          <w:sz w:val="24"/>
          <w:szCs w:val="24"/>
        </w:rPr>
        <w:t>- другие особо защитные участки лесов.</w:t>
      </w:r>
    </w:p>
    <w:p>
      <w:pPr>
        <w:pStyle w:val="ConsPlusNormal2"/>
        <w:tabs>
          <w:tab w:val="left" w:pos="851" w:leader="none"/>
        </w:tabs>
        <w:suppressAutoHyphens w:val="false"/>
        <w:rPr>
          <w:rFonts w:cs="Arial"/>
          <w:sz w:val="24"/>
          <w:szCs w:val="24"/>
        </w:rPr>
      </w:pPr>
      <w:r>
        <w:rPr>
          <w:rFonts w:cs="Arial"/>
          <w:sz w:val="24"/>
          <w:szCs w:val="24"/>
        </w:rPr>
        <w:t>5.10.3.4.Параметры особо защитных участков лесов утверждаются департаментом лесного хозяйства Нижегородской области на основании материалов лесоустройства или специального обследования. Перечень особо защитных участков лесов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лесного хозяйства.</w:t>
      </w:r>
    </w:p>
    <w:p>
      <w:pPr>
        <w:pStyle w:val="ConsPlusNormal2"/>
        <w:tabs>
          <w:tab w:val="left" w:pos="851" w:leader="none"/>
        </w:tabs>
        <w:suppressAutoHyphens w:val="false"/>
        <w:rPr/>
      </w:pPr>
      <w:r>
        <w:rPr>
          <w:rFonts w:cs="Arial"/>
          <w:sz w:val="24"/>
          <w:szCs w:val="24"/>
        </w:rPr>
        <w:t xml:space="preserve">5.10.3.5.Границы участков лесного фонда, порядок использования лесов устанавливаются в соответствии с Лесным </w:t>
      </w:r>
      <w:hyperlink r:id="rId52">
        <w:r>
          <w:rPr>
            <w:rStyle w:val="Style9"/>
            <w:rFonts w:cs="Arial"/>
            <w:color w:val="00000A"/>
            <w:sz w:val="24"/>
            <w:szCs w:val="24"/>
          </w:rPr>
          <w:t>кодексом</w:t>
        </w:r>
      </w:hyperlink>
      <w:r>
        <w:rPr>
          <w:rFonts w:cs="Arial"/>
          <w:sz w:val="24"/>
          <w:szCs w:val="24"/>
        </w:rPr>
        <w:t xml:space="preserve"> Российской Федерации.</w:t>
      </w:r>
    </w:p>
    <w:p>
      <w:pPr>
        <w:pStyle w:val="ConsPlusNormal2"/>
        <w:tabs>
          <w:tab w:val="left" w:pos="851" w:leader="none"/>
        </w:tabs>
        <w:suppressAutoHyphens w:val="false"/>
        <w:rPr>
          <w:rFonts w:cs="Arial"/>
          <w:sz w:val="24"/>
          <w:szCs w:val="24"/>
        </w:rPr>
      </w:pPr>
      <w:r>
        <w:rPr>
          <w:rFonts w:cs="Arial"/>
          <w:sz w:val="24"/>
          <w:szCs w:val="24"/>
        </w:rPr>
        <w:t>5.10.3.6.На землях лесов запрещается любая деятельность, несовместимая с их назначением.</w:t>
      </w:r>
    </w:p>
    <w:p>
      <w:pPr>
        <w:pStyle w:val="ConsPlusNormal2"/>
        <w:ind w:left="0" w:right="0" w:firstLine="540"/>
        <w:rPr>
          <w:rFonts w:cs="Arial"/>
          <w:sz w:val="24"/>
          <w:szCs w:val="24"/>
        </w:rPr>
      </w:pPr>
      <w:r>
        <w:rPr>
          <w:rFonts w:cs="Arial"/>
          <w:sz w:val="24"/>
          <w:szCs w:val="24"/>
        </w:rPr>
        <w:t>На землях лесов могут осуществляться следующие виды деятельности:</w:t>
      </w:r>
    </w:p>
    <w:p>
      <w:pPr>
        <w:pStyle w:val="ConsPlusNormal2"/>
        <w:ind w:left="0" w:right="0" w:firstLine="540"/>
        <w:rPr>
          <w:rFonts w:cs="Arial"/>
          <w:sz w:val="24"/>
          <w:szCs w:val="24"/>
        </w:rPr>
      </w:pPr>
      <w:r>
        <w:rPr>
          <w:rFonts w:cs="Arial"/>
          <w:sz w:val="24"/>
          <w:szCs w:val="24"/>
        </w:rPr>
        <w:t>- проведение рубок главного пользования - в лесах первой группы;</w:t>
      </w:r>
    </w:p>
    <w:p>
      <w:pPr>
        <w:pStyle w:val="ConsPlusNormal2"/>
        <w:ind w:left="0" w:right="0" w:firstLine="540"/>
        <w:rPr>
          <w:rFonts w:cs="Arial"/>
          <w:sz w:val="24"/>
          <w:szCs w:val="24"/>
        </w:rPr>
      </w:pPr>
      <w:r>
        <w:rPr>
          <w:rFonts w:cs="Arial"/>
          <w:sz w:val="24"/>
          <w:szCs w:val="24"/>
        </w:rPr>
        <w:t>- проведение рубок промежуточного пользования и прочих рубок - в лесопарковых частях зеленых зон, государственных защитных лесных полосах, противоэрозионных и запретных полосах лесов;</w:t>
      </w:r>
    </w:p>
    <w:p>
      <w:pPr>
        <w:pStyle w:val="ConsPlusNormal2"/>
        <w:ind w:left="0" w:right="0" w:firstLine="540"/>
        <w:rPr>
          <w:rFonts w:cs="Arial"/>
          <w:sz w:val="24"/>
          <w:szCs w:val="24"/>
        </w:rPr>
      </w:pPr>
      <w:r>
        <w:rPr>
          <w:rFonts w:cs="Arial"/>
          <w:sz w:val="24"/>
          <w:szCs w:val="24"/>
        </w:rPr>
        <w:t>- проведение рубок ухода, санитарных рубок, рубок реконструкции и обновления, прочих рубок - в лесах, расположенных на землях поселений;</w:t>
      </w:r>
    </w:p>
    <w:p>
      <w:pPr>
        <w:pStyle w:val="ConsPlusNormal2"/>
        <w:ind w:left="0" w:right="0" w:firstLine="540"/>
        <w:rPr>
          <w:rFonts w:cs="Arial"/>
          <w:sz w:val="24"/>
          <w:szCs w:val="24"/>
        </w:rPr>
      </w:pPr>
      <w:r>
        <w:rPr>
          <w:rFonts w:cs="Arial"/>
          <w:sz w:val="24"/>
          <w:szCs w:val="24"/>
        </w:rPr>
        <w:t>- заготовка живицы, второстепенных лесных ресурсов (пней, коры, бересты и других);</w:t>
      </w:r>
    </w:p>
    <w:p>
      <w:pPr>
        <w:pStyle w:val="ConsPlusNormal2"/>
        <w:ind w:left="0" w:right="0" w:firstLine="540"/>
        <w:rPr>
          <w:rFonts w:cs="Arial"/>
          <w:sz w:val="24"/>
          <w:szCs w:val="24"/>
        </w:rPr>
      </w:pPr>
      <w:r>
        <w:rPr>
          <w:rFonts w:cs="Arial"/>
          <w:sz w:val="24"/>
          <w:szCs w:val="24"/>
        </w:rPr>
        <w:t>- побочное лесопользование (сенокошение, выпас скота, размещение ульев и пасек, заготовка древесных соков, заготовка и сбор дикорастущих плодов, ягод, орехов, грибов, других пищевых лесных ресурсов, лекарственных растений и технического сырья и другое);</w:t>
      </w:r>
    </w:p>
    <w:p>
      <w:pPr>
        <w:pStyle w:val="ConsPlusNormal2"/>
        <w:ind w:left="0" w:right="0" w:firstLine="540"/>
        <w:rPr>
          <w:rFonts w:cs="Arial"/>
          <w:sz w:val="24"/>
          <w:szCs w:val="24"/>
        </w:rPr>
      </w:pPr>
      <w:r>
        <w:rPr>
          <w:rFonts w:cs="Arial"/>
          <w:sz w:val="24"/>
          <w:szCs w:val="24"/>
        </w:rPr>
        <w:t>- пользование участками лесного фонда для нужд охотничьего хозяйства;</w:t>
      </w:r>
    </w:p>
    <w:p>
      <w:pPr>
        <w:pStyle w:val="ConsPlusNormal2"/>
        <w:ind w:left="0" w:right="0" w:firstLine="540"/>
        <w:rPr>
          <w:rFonts w:cs="Arial"/>
          <w:sz w:val="24"/>
          <w:szCs w:val="24"/>
        </w:rPr>
      </w:pPr>
      <w:r>
        <w:rPr>
          <w:rFonts w:cs="Arial"/>
          <w:sz w:val="24"/>
          <w:szCs w:val="24"/>
        </w:rPr>
        <w:t>- пользование участками лесов для научно-исследовательских, культурно-оздоровительных, туристических и спортивных целей.</w:t>
      </w:r>
    </w:p>
    <w:p>
      <w:pPr>
        <w:pStyle w:val="ConsPlusNormal2"/>
        <w:tabs>
          <w:tab w:val="left" w:pos="851" w:leader="none"/>
        </w:tabs>
        <w:suppressAutoHyphens w:val="false"/>
        <w:rPr>
          <w:rFonts w:cs="Arial"/>
          <w:sz w:val="24"/>
          <w:szCs w:val="24"/>
        </w:rPr>
      </w:pPr>
      <w:r>
        <w:rPr>
          <w:rFonts w:cs="Arial"/>
          <w:sz w:val="24"/>
          <w:szCs w:val="24"/>
        </w:rPr>
        <w:t>5.10.3.7.Вдоль автомобильных дорог, на землях сельскохозяйственного назначения, в прибрежных зонах водных объектов могут создаваться полосы лесных насаждений, выполняющие защитные функции, в том числе снегозадерживающие, ветроослабляющие, пескозащитные, полезащитные, почвоукрепительные, берегоукрепительные, водоохранные, озеленительные и другие.</w:t>
      </w:r>
    </w:p>
    <w:p>
      <w:pPr>
        <w:pStyle w:val="ConsPlusNormal2"/>
        <w:tabs>
          <w:tab w:val="left" w:pos="851" w:leader="none"/>
        </w:tabs>
        <w:suppressAutoHyphens w:val="false"/>
        <w:rPr/>
      </w:pPr>
      <w:r>
        <w:rPr>
          <w:rFonts w:cs="Arial"/>
          <w:sz w:val="24"/>
          <w:szCs w:val="24"/>
        </w:rPr>
        <w:t xml:space="preserve">5.10.3.8.Почвоукрепительные лесонасаждения следует предусматривать для защиты автомобильных дорог и сооружений на них от воздействий развивающихся оврагов, оползней, осыпей, водных потоков и других опасных природных процессов. Почвоукрепительные насаждения проектируются не только на территории, подверженной деформации грунтов, но и на потенциально опасных местах, а также на участках зарождения и формирования стока, при необходимости они применяются в комплексе с инженерными сооружениями, предусмотренными </w:t>
      </w:r>
      <w:r>
        <w:fldChar w:fldCharType="begin"/>
      </w:r>
      <w:r>
        <w:instrText> HYPERLINK "file:///D:/! Вадим/! www.sharanga.nnov.ru/Sel'skie poseleniya/Kushnur/2017/Re//C:/Users/Специалист/Desktop/Мои документы/декабрь 2017/MNGP2.docx" \l "P2230"</w:instrText>
      </w:r>
      <w:r>
        <w:fldChar w:fldCharType="separate"/>
      </w:r>
      <w:r>
        <w:rPr>
          <w:rStyle w:val="Style9"/>
          <w:rFonts w:cs="Arial"/>
          <w:color w:val="00000A"/>
          <w:sz w:val="24"/>
          <w:szCs w:val="24"/>
        </w:rPr>
        <w:t xml:space="preserve">разделом </w:t>
      </w:r>
      <w:r>
        <w:fldChar w:fldCharType="end"/>
      </w:r>
      <w:r>
        <w:rPr>
          <w:rFonts w:cs="Arial"/>
          <w:sz w:val="24"/>
          <w:szCs w:val="24"/>
        </w:rPr>
        <w:t xml:space="preserve"> "Инженерная подготовка и защита территории" настоящих Нормативов.</w:t>
      </w:r>
    </w:p>
    <w:p>
      <w:pPr>
        <w:pStyle w:val="ConsPlusNormal2"/>
        <w:tabs>
          <w:tab w:val="left" w:pos="851" w:leader="none"/>
        </w:tabs>
        <w:suppressAutoHyphens w:val="false"/>
        <w:rPr>
          <w:rFonts w:cs="Arial"/>
          <w:sz w:val="24"/>
          <w:szCs w:val="24"/>
        </w:rPr>
      </w:pPr>
      <w:r>
        <w:rPr>
          <w:rFonts w:cs="Arial"/>
          <w:sz w:val="24"/>
          <w:szCs w:val="24"/>
        </w:rPr>
        <w:t>5.10.3.9.Полезащитные лесные полосы предусматриваются на мелиоративных системах.</w:t>
      </w:r>
    </w:p>
    <w:p>
      <w:pPr>
        <w:pStyle w:val="ConsPlusNormal2"/>
        <w:ind w:left="0" w:right="0" w:firstLine="540"/>
        <w:rPr>
          <w:rFonts w:cs="Arial"/>
          <w:sz w:val="24"/>
          <w:szCs w:val="24"/>
        </w:rPr>
      </w:pPr>
      <w:r>
        <w:rPr>
          <w:rFonts w:cs="Arial"/>
          <w:sz w:val="24"/>
          <w:szCs w:val="24"/>
        </w:rPr>
        <w:t>Площадь, предусматриваемая под создание полезащитных лесополос, должна составлять не более 4 процентов площади орошения. Площадь лесополос вдоль магистральных и распределительных каналов следует устанавливать в зависимости от длины каналов и ширины лесополосы с учетом создания свободного доступа для чистки и ремонта. Длина лесополосы должна составлять не менее 60 процентов от длины канала.</w:t>
      </w:r>
    </w:p>
    <w:p>
      <w:pPr>
        <w:pStyle w:val="ConsPlusNormal2"/>
        <w:ind w:left="0" w:right="0" w:firstLine="540"/>
        <w:rPr>
          <w:rFonts w:cs="Arial"/>
          <w:sz w:val="24"/>
          <w:szCs w:val="24"/>
        </w:rPr>
      </w:pPr>
      <w:r>
        <w:rPr>
          <w:rFonts w:cs="Arial"/>
          <w:sz w:val="24"/>
          <w:szCs w:val="24"/>
        </w:rPr>
        <w:t>Полезащитные лесные полосы следует располагать в двух взаимно перпендикулярных направлениях:</w:t>
      </w:r>
    </w:p>
    <w:p>
      <w:pPr>
        <w:pStyle w:val="ConsPlusNormal2"/>
        <w:ind w:left="0" w:right="0" w:firstLine="540"/>
        <w:rPr>
          <w:rFonts w:cs="Arial"/>
          <w:sz w:val="24"/>
          <w:szCs w:val="24"/>
        </w:rPr>
      </w:pPr>
      <w:r>
        <w:rPr>
          <w:rFonts w:cs="Arial"/>
          <w:sz w:val="24"/>
          <w:szCs w:val="24"/>
        </w:rPr>
        <w:t>- продольном (основное) - поперек преобладающих в данной местности ветров;</w:t>
      </w:r>
    </w:p>
    <w:p>
      <w:pPr>
        <w:pStyle w:val="ConsPlusNormal2"/>
        <w:ind w:left="0" w:right="0" w:firstLine="540"/>
        <w:rPr>
          <w:rFonts w:cs="Arial"/>
          <w:sz w:val="24"/>
          <w:szCs w:val="24"/>
        </w:rPr>
      </w:pPr>
      <w:r>
        <w:rPr>
          <w:rFonts w:cs="Arial"/>
          <w:sz w:val="24"/>
          <w:szCs w:val="24"/>
        </w:rPr>
        <w:t>- поперечном (вспомогательные) - перпендикулярно продольным.</w:t>
      </w:r>
    </w:p>
    <w:p>
      <w:pPr>
        <w:pStyle w:val="ConsPlusNormal2"/>
        <w:tabs>
          <w:tab w:val="left" w:pos="851" w:leader="none"/>
        </w:tabs>
        <w:suppressAutoHyphens w:val="false"/>
        <w:rPr>
          <w:rFonts w:cs="Arial"/>
          <w:sz w:val="24"/>
          <w:szCs w:val="24"/>
        </w:rPr>
      </w:pPr>
      <w:r>
        <w:rPr>
          <w:rFonts w:cs="Arial"/>
          <w:sz w:val="24"/>
          <w:szCs w:val="24"/>
        </w:rPr>
        <w:t>5.10.3.10.Расстояние между продольными лесными полосами не должно превышать 800 м, между поперечными - 200 м.</w:t>
      </w:r>
    </w:p>
    <w:p>
      <w:pPr>
        <w:pStyle w:val="ConsPlusNormal2"/>
        <w:tabs>
          <w:tab w:val="left" w:pos="851" w:leader="none"/>
        </w:tabs>
        <w:suppressAutoHyphens w:val="false"/>
        <w:rPr>
          <w:rFonts w:cs="Arial"/>
          <w:sz w:val="24"/>
          <w:szCs w:val="24"/>
        </w:rPr>
      </w:pPr>
      <w:r>
        <w:rPr>
          <w:rFonts w:cs="Arial"/>
          <w:sz w:val="24"/>
          <w:szCs w:val="24"/>
        </w:rPr>
        <w:t>5.10.3.11.Продольные полезащитные полосы надлежит предусматривать трехрядными, а поперечные - двухрядными.</w:t>
      </w:r>
    </w:p>
    <w:p>
      <w:pPr>
        <w:pStyle w:val="ConsPlusNormal2"/>
        <w:tabs>
          <w:tab w:val="left" w:pos="851" w:leader="none"/>
        </w:tabs>
        <w:suppressAutoHyphens w:val="false"/>
        <w:rPr>
          <w:rFonts w:cs="Arial"/>
          <w:sz w:val="24"/>
          <w:szCs w:val="24"/>
        </w:rPr>
      </w:pPr>
      <w:r>
        <w:rPr>
          <w:rFonts w:cs="Arial"/>
          <w:sz w:val="24"/>
          <w:szCs w:val="24"/>
        </w:rPr>
        <w:t>5.10.3.12.Водоохранные лесные насаждения для защиты магистральных каналов и их ветвей необходимо проектировать трехрядными с одной стороны канала и двухрядными с каждой стороны. Вдоль одной стороны открытых коллекторов следует предусматривать лесные полосы из трех рядов. Вдоль крупных магистральных каналов и коллекторов лесные полосы надлежит принимать из 4 - 5 рядов с одной стороны или с обеих сторон.</w:t>
      </w:r>
    </w:p>
    <w:p>
      <w:pPr>
        <w:pStyle w:val="ConsPlusNormal2"/>
        <w:tabs>
          <w:tab w:val="left" w:pos="851" w:leader="none"/>
        </w:tabs>
        <w:suppressAutoHyphens w:val="false"/>
        <w:rPr>
          <w:rFonts w:cs="Arial"/>
          <w:sz w:val="24"/>
          <w:szCs w:val="24"/>
        </w:rPr>
      </w:pPr>
      <w:r>
        <w:rPr>
          <w:rFonts w:cs="Arial"/>
          <w:sz w:val="24"/>
          <w:szCs w:val="24"/>
        </w:rPr>
        <w:t>5.10.3.13.Защитные лесные полосы по границам орошаемых земель с участками интенсивной эрозии почвы следует предусматривать многорядными (4 - 5 рядов).</w:t>
      </w:r>
    </w:p>
    <w:p>
      <w:pPr>
        <w:pStyle w:val="ConsPlusNormal2"/>
        <w:tabs>
          <w:tab w:val="left" w:pos="851" w:leader="none"/>
        </w:tabs>
        <w:suppressAutoHyphens w:val="false"/>
        <w:rPr>
          <w:rFonts w:cs="Arial"/>
          <w:sz w:val="24"/>
          <w:szCs w:val="24"/>
        </w:rPr>
      </w:pPr>
      <w:r>
        <w:rPr>
          <w:rFonts w:cs="Arial"/>
          <w:sz w:val="24"/>
          <w:szCs w:val="24"/>
        </w:rPr>
        <w:t>5.10.3.14.Защитные насаждения вокруг прудов и водоемов следует проектировать из одного, двух, или трех поясов:</w:t>
      </w:r>
    </w:p>
    <w:p>
      <w:pPr>
        <w:pStyle w:val="ConsPlusNormal2"/>
        <w:ind w:left="0" w:right="0" w:firstLine="540"/>
        <w:rPr>
          <w:rFonts w:cs="Arial"/>
          <w:sz w:val="24"/>
          <w:szCs w:val="24"/>
        </w:rPr>
      </w:pPr>
      <w:r>
        <w:rPr>
          <w:rFonts w:cs="Arial"/>
          <w:sz w:val="24"/>
          <w:szCs w:val="24"/>
        </w:rPr>
        <w:t>- берегоукрепительный (первый пояс) - в зоне расчетного подпорного уровня;</w:t>
      </w:r>
    </w:p>
    <w:p>
      <w:pPr>
        <w:pStyle w:val="ConsPlusNormal2"/>
        <w:ind w:left="0" w:right="0" w:firstLine="540"/>
        <w:rPr>
          <w:rFonts w:cs="Arial"/>
          <w:sz w:val="24"/>
          <w:szCs w:val="24"/>
        </w:rPr>
      </w:pPr>
      <w:r>
        <w:rPr>
          <w:rFonts w:cs="Arial"/>
          <w:sz w:val="24"/>
          <w:szCs w:val="24"/>
        </w:rPr>
        <w:t>- ветроломные и дренирующие посадки (второй пояс) - между отметками расчетного и форсированного подпорных уровней;</w:t>
      </w:r>
    </w:p>
    <w:p>
      <w:pPr>
        <w:pStyle w:val="ConsPlusNormal2"/>
        <w:ind w:left="0" w:right="0" w:firstLine="540"/>
        <w:rPr>
          <w:rFonts w:cs="Arial"/>
          <w:sz w:val="24"/>
          <w:szCs w:val="24"/>
        </w:rPr>
      </w:pPr>
      <w:r>
        <w:rPr>
          <w:rFonts w:cs="Arial"/>
          <w:sz w:val="24"/>
          <w:szCs w:val="24"/>
        </w:rPr>
        <w:t>- противоэрозионный (третий пояс) - выше форсированного уровня.</w:t>
      </w:r>
    </w:p>
    <w:p>
      <w:pPr>
        <w:pStyle w:val="ConsPlusNormal2"/>
        <w:tabs>
          <w:tab w:val="left" w:pos="851" w:leader="none"/>
        </w:tabs>
        <w:suppressAutoHyphens w:val="false"/>
        <w:rPr>
          <w:rFonts w:cs="Arial"/>
          <w:sz w:val="24"/>
          <w:szCs w:val="24"/>
        </w:rPr>
      </w:pPr>
      <w:r>
        <w:rPr>
          <w:rFonts w:cs="Arial"/>
          <w:sz w:val="24"/>
          <w:szCs w:val="24"/>
        </w:rPr>
        <w:t>5.10.3.15.Расстояния от границ жилой застройки, водоемов, сельскохозяйственных угодий, автомобильных дорог, железнодорожных путей и сооружений на них до защитных насаждений принимаются в соответствии с действующими правилами и нормами.</w:t>
      </w:r>
    </w:p>
    <w:p>
      <w:pPr>
        <w:pStyle w:val="ConsPlusNormal2"/>
        <w:tabs>
          <w:tab w:val="left" w:pos="851" w:leader="none"/>
        </w:tabs>
        <w:suppressAutoHyphens w:val="false"/>
        <w:ind w:left="567" w:right="0" w:hanging="0"/>
        <w:rPr>
          <w:rFonts w:cs="Arial"/>
          <w:sz w:val="24"/>
          <w:szCs w:val="24"/>
        </w:rPr>
      </w:pPr>
      <w:r>
        <w:rPr>
          <w:rFonts w:cs="Arial"/>
          <w:sz w:val="24"/>
          <w:szCs w:val="24"/>
        </w:rPr>
      </w:r>
    </w:p>
    <w:p>
      <w:pPr>
        <w:pStyle w:val="ConsPlusNormal2"/>
        <w:rPr/>
      </w:pPr>
      <w:r>
        <w:rPr>
          <w:rFonts w:cs="Arial"/>
          <w:i/>
          <w:sz w:val="24"/>
          <w:szCs w:val="24"/>
        </w:rPr>
        <w:t xml:space="preserve">           </w:t>
      </w:r>
      <w:r>
        <w:rPr>
          <w:rFonts w:cs="Arial"/>
          <w:i/>
          <w:sz w:val="24"/>
          <w:szCs w:val="24"/>
        </w:rPr>
        <w:t>5.10.4. Особо охраняемые природные территории</w:t>
      </w:r>
    </w:p>
    <w:p>
      <w:pPr>
        <w:pStyle w:val="ConsPlusNormal2"/>
        <w:tabs>
          <w:tab w:val="left" w:pos="851" w:leader="none"/>
        </w:tabs>
        <w:suppressAutoHyphens w:val="false"/>
        <w:rPr>
          <w:rFonts w:cs="Arial"/>
          <w:sz w:val="24"/>
          <w:szCs w:val="24"/>
        </w:rPr>
      </w:pPr>
      <w:r>
        <w:rPr>
          <w:rFonts w:cs="Arial"/>
          <w:sz w:val="24"/>
          <w:szCs w:val="24"/>
        </w:rPr>
        <w:t>5.10.4.1.На территории Кушнурского сельсовета расположены особо охраняемые природные территории:</w:t>
      </w:r>
    </w:p>
    <w:tbl>
      <w:tblPr>
        <w:tblW w:w="10360" w:type="dxa"/>
        <w:jc w:val="left"/>
        <w:tblInd w:w="-181" w:type="dxa"/>
        <w:tblBorders>
          <w:top w:val="single" w:sz="4" w:space="0" w:color="00000A"/>
          <w:left w:val="single" w:sz="4" w:space="0" w:color="00000A"/>
          <w:bottom w:val="single" w:sz="4" w:space="0" w:color="00000A"/>
          <w:insideH w:val="single" w:sz="4" w:space="0" w:color="00000A"/>
        </w:tblBorders>
        <w:tblCellMar>
          <w:top w:w="0" w:type="dxa"/>
          <w:left w:w="108" w:type="dxa"/>
          <w:bottom w:w="0" w:type="dxa"/>
          <w:right w:w="108" w:type="dxa"/>
        </w:tblCellMar>
      </w:tblPr>
      <w:tblGrid>
        <w:gridCol w:w="711"/>
        <w:gridCol w:w="3261"/>
        <w:gridCol w:w="2126"/>
        <w:gridCol w:w="2551"/>
        <w:gridCol w:w="1711"/>
      </w:tblGrid>
      <w:tr>
        <w:trPr/>
        <w:tc>
          <w:tcPr>
            <w:tcW w:w="711" w:type="dxa"/>
            <w:tcBorders>
              <w:top w:val="single" w:sz="4" w:space="0" w:color="00000A"/>
              <w:left w:val="single" w:sz="4" w:space="0" w:color="00000A"/>
              <w:bottom w:val="single" w:sz="4" w:space="0" w:color="00000A"/>
              <w:insideH w:val="single" w:sz="4" w:space="0" w:color="00000A"/>
            </w:tcBorders>
            <w:shd w:fill="EEECE1" w:val="clear"/>
            <w:tcMar>
              <w:left w:w="108" w:type="dxa"/>
            </w:tcMar>
            <w:vAlign w:val="center"/>
          </w:tcPr>
          <w:p>
            <w:pPr>
              <w:pStyle w:val="ConsNonformat1"/>
              <w:widowControl/>
              <w:jc w:val="center"/>
              <w:rPr/>
            </w:pPr>
            <w:r>
              <w:rPr>
                <w:rFonts w:cs="Arial" w:ascii="Arial" w:hAnsi="Arial"/>
                <w:b/>
                <w:sz w:val="24"/>
                <w:szCs w:val="24"/>
              </w:rPr>
              <w:t>№</w:t>
            </w:r>
            <w:r>
              <w:rPr>
                <w:rFonts w:eastAsia="Arial" w:cs="Arial" w:ascii="Arial" w:hAnsi="Arial"/>
                <w:b/>
                <w:sz w:val="24"/>
                <w:szCs w:val="24"/>
              </w:rPr>
              <w:t xml:space="preserve"> </w:t>
            </w:r>
            <w:r>
              <w:rPr>
                <w:rFonts w:cs="Arial" w:ascii="Arial" w:hAnsi="Arial"/>
                <w:b/>
                <w:sz w:val="24"/>
                <w:szCs w:val="24"/>
              </w:rPr>
              <w:t>п/п</w:t>
            </w:r>
          </w:p>
          <w:p>
            <w:pPr>
              <w:pStyle w:val="ConsNonformat1"/>
              <w:widowControl/>
              <w:jc w:val="center"/>
              <w:rPr>
                <w:rFonts w:ascii="Arial" w:hAnsi="Arial" w:cs="Arial"/>
                <w:b/>
                <w:b/>
                <w:sz w:val="24"/>
                <w:szCs w:val="24"/>
              </w:rPr>
            </w:pPr>
            <w:r>
              <w:rPr>
                <w:rFonts w:cs="Arial" w:ascii="Arial" w:hAnsi="Arial"/>
                <w:b/>
                <w:sz w:val="24"/>
                <w:szCs w:val="24"/>
              </w:rPr>
            </w:r>
          </w:p>
        </w:tc>
        <w:tc>
          <w:tcPr>
            <w:tcW w:w="3261" w:type="dxa"/>
            <w:tcBorders>
              <w:top w:val="single" w:sz="4" w:space="0" w:color="00000A"/>
              <w:left w:val="single" w:sz="4" w:space="0" w:color="00000A"/>
              <w:bottom w:val="single" w:sz="4" w:space="0" w:color="00000A"/>
              <w:insideH w:val="single" w:sz="4" w:space="0" w:color="00000A"/>
            </w:tcBorders>
            <w:shd w:fill="EEECE1" w:val="clear"/>
            <w:tcMar>
              <w:left w:w="108" w:type="dxa"/>
            </w:tcMar>
            <w:vAlign w:val="center"/>
          </w:tcPr>
          <w:p>
            <w:pPr>
              <w:pStyle w:val="ConsNonformat1"/>
              <w:widowControl/>
              <w:jc w:val="center"/>
              <w:rPr>
                <w:rFonts w:ascii="Arial" w:hAnsi="Arial" w:cs="Arial"/>
                <w:b/>
                <w:b/>
                <w:sz w:val="24"/>
                <w:szCs w:val="24"/>
              </w:rPr>
            </w:pPr>
            <w:r>
              <w:rPr>
                <w:rFonts w:cs="Arial" w:ascii="Arial" w:hAnsi="Arial"/>
                <w:b/>
                <w:sz w:val="24"/>
                <w:szCs w:val="24"/>
              </w:rPr>
              <w:t>Название</w:t>
            </w:r>
          </w:p>
        </w:tc>
        <w:tc>
          <w:tcPr>
            <w:tcW w:w="2126" w:type="dxa"/>
            <w:tcBorders>
              <w:top w:val="single" w:sz="4" w:space="0" w:color="00000A"/>
              <w:left w:val="single" w:sz="4" w:space="0" w:color="00000A"/>
              <w:bottom w:val="single" w:sz="4" w:space="0" w:color="00000A"/>
              <w:insideH w:val="single" w:sz="4" w:space="0" w:color="00000A"/>
            </w:tcBorders>
            <w:shd w:fill="EEECE1" w:val="clear"/>
            <w:tcMar>
              <w:left w:w="108" w:type="dxa"/>
            </w:tcMar>
            <w:vAlign w:val="center"/>
          </w:tcPr>
          <w:p>
            <w:pPr>
              <w:pStyle w:val="ConsNonformat1"/>
              <w:widowControl/>
              <w:jc w:val="center"/>
              <w:rPr>
                <w:rFonts w:ascii="Arial" w:hAnsi="Arial" w:cs="Arial"/>
                <w:b/>
                <w:b/>
                <w:sz w:val="24"/>
                <w:szCs w:val="24"/>
              </w:rPr>
            </w:pPr>
            <w:r>
              <w:rPr>
                <w:rFonts w:cs="Arial" w:ascii="Arial" w:hAnsi="Arial"/>
                <w:b/>
                <w:sz w:val="24"/>
                <w:szCs w:val="24"/>
              </w:rPr>
              <w:t>Категория</w:t>
            </w:r>
          </w:p>
        </w:tc>
        <w:tc>
          <w:tcPr>
            <w:tcW w:w="2551" w:type="dxa"/>
            <w:tcBorders>
              <w:top w:val="single" w:sz="4" w:space="0" w:color="00000A"/>
              <w:left w:val="single" w:sz="4" w:space="0" w:color="00000A"/>
              <w:bottom w:val="single" w:sz="4" w:space="0" w:color="00000A"/>
              <w:insideH w:val="single" w:sz="4" w:space="0" w:color="00000A"/>
            </w:tcBorders>
            <w:shd w:fill="EEECE1" w:val="clear"/>
            <w:tcMar>
              <w:left w:w="108" w:type="dxa"/>
            </w:tcMar>
            <w:vAlign w:val="center"/>
          </w:tcPr>
          <w:p>
            <w:pPr>
              <w:pStyle w:val="ConsNonformat1"/>
              <w:widowControl/>
              <w:jc w:val="center"/>
              <w:rPr>
                <w:rFonts w:ascii="Arial" w:hAnsi="Arial" w:cs="Arial"/>
                <w:b/>
                <w:b/>
                <w:sz w:val="24"/>
                <w:szCs w:val="24"/>
              </w:rPr>
            </w:pPr>
            <w:r>
              <w:rPr>
                <w:rFonts w:cs="Arial" w:ascii="Arial" w:hAnsi="Arial"/>
                <w:b/>
                <w:sz w:val="24"/>
                <w:szCs w:val="24"/>
              </w:rPr>
              <w:t>Профиль</w:t>
            </w:r>
          </w:p>
        </w:tc>
        <w:tc>
          <w:tcPr>
            <w:tcW w:w="17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8" w:type="dxa"/>
            </w:tcMar>
            <w:vAlign w:val="center"/>
          </w:tcPr>
          <w:p>
            <w:pPr>
              <w:pStyle w:val="ConsNonformat1"/>
              <w:widowControl/>
              <w:jc w:val="center"/>
              <w:rPr>
                <w:rFonts w:ascii="Arial" w:hAnsi="Arial" w:cs="Arial"/>
                <w:b/>
                <w:b/>
                <w:sz w:val="24"/>
                <w:szCs w:val="24"/>
              </w:rPr>
            </w:pPr>
            <w:r>
              <w:rPr>
                <w:rFonts w:cs="Arial" w:ascii="Arial" w:hAnsi="Arial"/>
                <w:b/>
                <w:sz w:val="24"/>
                <w:szCs w:val="24"/>
              </w:rPr>
              <w:t>Площадь ООПТ, га</w:t>
            </w:r>
          </w:p>
        </w:tc>
      </w:tr>
      <w:tr>
        <w:trPr/>
        <w:tc>
          <w:tcPr>
            <w:tcW w:w="71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jc w:val="center"/>
              <w:rPr>
                <w:rFonts w:ascii="Arial" w:hAnsi="Arial" w:cs="Arial"/>
                <w:sz w:val="24"/>
                <w:szCs w:val="24"/>
              </w:rPr>
            </w:pPr>
            <w:r>
              <w:rPr>
                <w:rFonts w:cs="Arial" w:ascii="Arial" w:hAnsi="Arial"/>
                <w:sz w:val="24"/>
                <w:szCs w:val="24"/>
              </w:rPr>
              <w:t>1</w:t>
            </w:r>
          </w:p>
        </w:tc>
        <w:tc>
          <w:tcPr>
            <w:tcW w:w="326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jc w:val="center"/>
              <w:rPr>
                <w:rFonts w:ascii="Arial" w:hAnsi="Arial" w:cs="Arial"/>
                <w:sz w:val="24"/>
                <w:szCs w:val="24"/>
              </w:rPr>
            </w:pPr>
            <w:r>
              <w:rPr>
                <w:rFonts w:cs="Arial" w:ascii="Arial" w:hAnsi="Arial"/>
                <w:sz w:val="24"/>
                <w:szCs w:val="24"/>
              </w:rPr>
              <w:t>2</w:t>
            </w:r>
          </w:p>
        </w:tc>
        <w:tc>
          <w:tcPr>
            <w:tcW w:w="2126"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jc w:val="center"/>
              <w:rPr>
                <w:rFonts w:ascii="Arial" w:hAnsi="Arial" w:cs="Arial"/>
                <w:sz w:val="24"/>
                <w:szCs w:val="24"/>
              </w:rPr>
            </w:pPr>
            <w:r>
              <w:rPr>
                <w:rFonts w:cs="Arial" w:ascii="Arial" w:hAnsi="Arial"/>
                <w:sz w:val="24"/>
                <w:szCs w:val="24"/>
              </w:rPr>
              <w:t>3</w:t>
            </w:r>
          </w:p>
        </w:tc>
        <w:tc>
          <w:tcPr>
            <w:tcW w:w="255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jc w:val="center"/>
              <w:rPr>
                <w:rFonts w:ascii="Arial" w:hAnsi="Arial" w:cs="Arial"/>
                <w:sz w:val="24"/>
                <w:szCs w:val="24"/>
              </w:rPr>
            </w:pPr>
            <w:r>
              <w:rPr>
                <w:rFonts w:cs="Arial" w:ascii="Arial" w:hAnsi="Arial"/>
                <w:sz w:val="24"/>
                <w:szCs w:val="24"/>
              </w:rPr>
              <w:t>4</w:t>
            </w:r>
          </w:p>
        </w:tc>
        <w:tc>
          <w:tcPr>
            <w:tcW w:w="17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ConsNonformat1"/>
              <w:widowControl/>
              <w:jc w:val="center"/>
              <w:rPr>
                <w:rFonts w:ascii="Arial" w:hAnsi="Arial" w:cs="Arial"/>
                <w:sz w:val="24"/>
                <w:szCs w:val="24"/>
              </w:rPr>
            </w:pPr>
            <w:r>
              <w:rPr>
                <w:rFonts w:cs="Arial" w:ascii="Arial" w:hAnsi="Arial"/>
                <w:sz w:val="24"/>
                <w:szCs w:val="24"/>
              </w:rPr>
              <w:t>5</w:t>
            </w:r>
          </w:p>
        </w:tc>
      </w:tr>
      <w:tr>
        <w:trPr/>
        <w:tc>
          <w:tcPr>
            <w:tcW w:w="71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1</w:t>
            </w:r>
          </w:p>
        </w:tc>
        <w:tc>
          <w:tcPr>
            <w:tcW w:w="326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Марийская священная роща Козлянурская Первая</w:t>
            </w:r>
          </w:p>
        </w:tc>
        <w:tc>
          <w:tcPr>
            <w:tcW w:w="2126"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памятник природы</w:t>
            </w:r>
          </w:p>
        </w:tc>
        <w:tc>
          <w:tcPr>
            <w:tcW w:w="255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природно-исторический</w:t>
            </w:r>
          </w:p>
        </w:tc>
        <w:tc>
          <w:tcPr>
            <w:tcW w:w="17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0,3</w:t>
            </w:r>
          </w:p>
        </w:tc>
      </w:tr>
      <w:tr>
        <w:trPr/>
        <w:tc>
          <w:tcPr>
            <w:tcW w:w="71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2</w:t>
            </w:r>
          </w:p>
        </w:tc>
        <w:tc>
          <w:tcPr>
            <w:tcW w:w="326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Марийская священная роща Козлянурская Вторая</w:t>
            </w:r>
          </w:p>
        </w:tc>
        <w:tc>
          <w:tcPr>
            <w:tcW w:w="2126"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памятник природы</w:t>
            </w:r>
          </w:p>
        </w:tc>
        <w:tc>
          <w:tcPr>
            <w:tcW w:w="255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природно-исторический</w:t>
            </w:r>
          </w:p>
        </w:tc>
        <w:tc>
          <w:tcPr>
            <w:tcW w:w="17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0,3</w:t>
            </w:r>
          </w:p>
        </w:tc>
      </w:tr>
      <w:tr>
        <w:trPr/>
        <w:tc>
          <w:tcPr>
            <w:tcW w:w="71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3</w:t>
            </w:r>
          </w:p>
        </w:tc>
        <w:tc>
          <w:tcPr>
            <w:tcW w:w="326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Марийская священная роща Кушнурская Первая</w:t>
            </w:r>
          </w:p>
        </w:tc>
        <w:tc>
          <w:tcPr>
            <w:tcW w:w="2126"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памятник природы</w:t>
            </w:r>
          </w:p>
        </w:tc>
        <w:tc>
          <w:tcPr>
            <w:tcW w:w="255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природно-исторический</w:t>
            </w:r>
          </w:p>
        </w:tc>
        <w:tc>
          <w:tcPr>
            <w:tcW w:w="17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0,3</w:t>
            </w:r>
          </w:p>
        </w:tc>
      </w:tr>
      <w:tr>
        <w:trPr/>
        <w:tc>
          <w:tcPr>
            <w:tcW w:w="71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4</w:t>
            </w:r>
          </w:p>
        </w:tc>
        <w:tc>
          <w:tcPr>
            <w:tcW w:w="326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Марийская священная роща Кушнурская Вторая</w:t>
            </w:r>
          </w:p>
        </w:tc>
        <w:tc>
          <w:tcPr>
            <w:tcW w:w="2126"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памятник природы</w:t>
            </w:r>
          </w:p>
        </w:tc>
        <w:tc>
          <w:tcPr>
            <w:tcW w:w="2551" w:type="dxa"/>
            <w:tcBorders>
              <w:top w:val="single" w:sz="4" w:space="0" w:color="00000A"/>
              <w:left w:val="single" w:sz="4" w:space="0" w:color="00000A"/>
              <w:bottom w:val="single" w:sz="4" w:space="0" w:color="00000A"/>
              <w:insideH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природно-исторический</w:t>
            </w:r>
          </w:p>
        </w:tc>
        <w:tc>
          <w:tcPr>
            <w:tcW w:w="17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0,3</w:t>
            </w:r>
          </w:p>
        </w:tc>
      </w:tr>
    </w:tbl>
    <w:p>
      <w:pPr>
        <w:pStyle w:val="ConsPlusNormal2"/>
        <w:tabs>
          <w:tab w:val="left" w:pos="851" w:leader="none"/>
        </w:tabs>
        <w:suppressAutoHyphens w:val="false"/>
        <w:ind w:left="567" w:right="0" w:hanging="0"/>
        <w:rPr>
          <w:rFonts w:cs="Arial"/>
          <w:sz w:val="24"/>
          <w:szCs w:val="24"/>
          <w:lang w:eastAsia="ar-SA"/>
        </w:rPr>
      </w:pPr>
      <w:r>
        <w:rPr>
          <w:rFonts w:cs="Arial"/>
          <w:sz w:val="24"/>
          <w:szCs w:val="24"/>
          <w:lang w:eastAsia="ar-SA"/>
        </w:rPr>
      </w:r>
    </w:p>
    <w:p>
      <w:pPr>
        <w:pStyle w:val="ConsPlusNormal2"/>
        <w:tabs>
          <w:tab w:val="left" w:pos="851" w:leader="none"/>
        </w:tabs>
        <w:suppressAutoHyphens w:val="false"/>
        <w:rPr>
          <w:rFonts w:cs="Arial"/>
          <w:sz w:val="24"/>
          <w:szCs w:val="24"/>
        </w:rPr>
      </w:pPr>
      <w:r>
        <w:rPr>
          <w:rFonts w:cs="Arial"/>
          <w:sz w:val="24"/>
          <w:szCs w:val="24"/>
        </w:rPr>
        <w:t>5.10.4.2.Цифровые коды запрещенных видов деятельности на ООПТ Нижегородской области</w:t>
      </w:r>
    </w:p>
    <w:p>
      <w:pPr>
        <w:pStyle w:val="ConsPlusNormal2"/>
        <w:tabs>
          <w:tab w:val="left" w:pos="851" w:leader="none"/>
        </w:tabs>
        <w:suppressAutoHyphens w:val="false"/>
        <w:ind w:left="567" w:right="0" w:hanging="0"/>
        <w:rPr>
          <w:rFonts w:cs="Arial"/>
          <w:sz w:val="24"/>
          <w:szCs w:val="24"/>
        </w:rPr>
      </w:pPr>
      <w:r>
        <w:rPr>
          <w:rFonts w:cs="Arial"/>
          <w:sz w:val="24"/>
          <w:szCs w:val="24"/>
        </w:rPr>
      </w:r>
    </w:p>
    <w:tbl>
      <w:tblPr>
        <w:tblW w:w="10358" w:type="dxa"/>
        <w:jc w:val="left"/>
        <w:tblInd w:w="-274" w:type="dxa"/>
        <w:tblBorders>
          <w:top w:val="single" w:sz="4" w:space="0" w:color="00000A"/>
          <w:left w:val="single" w:sz="4" w:space="0" w:color="00000A"/>
          <w:bottom w:val="single" w:sz="4" w:space="0" w:color="00000A"/>
          <w:insideH w:val="single" w:sz="4" w:space="0" w:color="00000A"/>
        </w:tblBorders>
        <w:tblCellMar>
          <w:top w:w="15" w:type="dxa"/>
          <w:left w:w="10" w:type="dxa"/>
          <w:bottom w:w="0" w:type="dxa"/>
          <w:right w:w="15" w:type="dxa"/>
        </w:tblCellMar>
      </w:tblPr>
      <w:tblGrid>
        <w:gridCol w:w="993"/>
        <w:gridCol w:w="9365"/>
      </w:tblGrid>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EEECE1" w:val="clear"/>
            <w:tcMar>
              <w:left w:w="10" w:type="dxa"/>
            </w:tcMar>
            <w:vAlign w:val="center"/>
          </w:tcPr>
          <w:p>
            <w:pPr>
              <w:pStyle w:val="ConsNonformat1"/>
              <w:widowControl/>
              <w:ind w:left="127" w:right="0" w:hanging="0"/>
              <w:jc w:val="center"/>
              <w:rPr>
                <w:rFonts w:ascii="Arial" w:hAnsi="Arial" w:cs="Arial"/>
                <w:b/>
                <w:b/>
                <w:sz w:val="24"/>
                <w:szCs w:val="24"/>
              </w:rPr>
            </w:pPr>
            <w:r>
              <w:rPr>
                <w:rFonts w:cs="Arial" w:ascii="Arial" w:hAnsi="Arial"/>
                <w:b/>
                <w:sz w:val="24"/>
                <w:szCs w:val="24"/>
              </w:rPr>
              <w:t>Код</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 w:type="dxa"/>
            </w:tcMar>
            <w:vAlign w:val="center"/>
          </w:tcPr>
          <w:p>
            <w:pPr>
              <w:pStyle w:val="ConsNonformat1"/>
              <w:widowControl/>
              <w:spacing w:lineRule="auto" w:line="276"/>
              <w:ind w:left="127" w:right="127" w:hanging="0"/>
              <w:jc w:val="center"/>
              <w:rPr>
                <w:rFonts w:ascii="Arial" w:hAnsi="Arial" w:cs="Arial"/>
                <w:b/>
                <w:b/>
                <w:sz w:val="24"/>
                <w:szCs w:val="24"/>
              </w:rPr>
            </w:pPr>
            <w:r>
              <w:rPr>
                <w:rFonts w:cs="Arial" w:ascii="Arial" w:hAnsi="Arial"/>
                <w:b/>
                <w:sz w:val="24"/>
                <w:szCs w:val="24"/>
              </w:rPr>
              <w:t>Вид деятельности</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Ограничения землепользования и градостроительства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передача земель другим юридическим и физическим лицам с изменением установленного режима использования земель</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приватизация земель</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продажа земель</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аренда земель</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1.5</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размещение новых населённых пунктов и промышленных предприятий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1.6</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размещение свалок и полигонов для захоронения и уничтожения различных отходов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1.7</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размещение дачных посёлков и коттеджей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1.8</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предоставление земельных участков для садоводства и огородничества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1.9</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мелиоративные работы все виды</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1.10</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распашка земель</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1.11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распашка лесных земель и сенокосов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1.12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перевод лесных земель в нелесные</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1.13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перевод сенокосных угодий в пастбищные</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Ограничения строительства и реконструкции зданий, сооружений, коммуникаций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строительство любое</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строительство объектов, не относящихся к функционированию ООПТ</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строительство без специального разрешения</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ремонт и реконструкция зданий и сооружений без специального разрешения</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2.5</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прокладывание любых коммуникаций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2.6</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прокладывание любых коммуникаций без специального разрешения</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2.7</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строительство запруд, плотин, водозаборов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2.8</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ремонт и реконструкция существующей мелиоративной сети</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Ограничения недропользования</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3.1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добыча любых полезных ископаемых</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3.2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геологоразведочные изыскания</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3.3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взрывные работы</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3.4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бурение скважин</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Ограничения водопользования</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изменение гидрологического режима (забор воды из водоемов, сброс воды в водоемы, регулирование водотоков, спрямление русел рек и ручьев, устройство запруд и т.д.);</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любое новое водопользование</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уничтожение водоемов и их частей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замочка лыка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Ограничения загрязнений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сброс любых сточных вод</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складирование и захоронение любых отходов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засорение и захламление территории</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мойка машин</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5.5</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применение любых ядохимикатов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5.6</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химический уход за лесом</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5.7</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применение минеральных удобрений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5.8</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применение органических удобрений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Ограничения лесного хозяйства, лесопользования и других видов использования растений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рубки леса все виды</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рубки леса кроме санитарных рубок и рубок ухода по специальному регламенту</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рубки леса кроме санитарных рубок и рубок ухода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рубки главного пользования все виды</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6.5</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рубки главного пользования сплошные</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6.6</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рубки санитарные сплошные</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6.7</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уничтожение и повреждение живых деревьев и (или) кустарников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6.8</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подсочка деревьев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6.9</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заготовка березового сока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6.10</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заготовка луба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заготовка веточного корма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уничтожение и повреждение деревьев и кустарников в прибрежных полосах водоемов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уничтожение и повреждение болотной, прибрежно-водной и водной растительности, мохового покрова, сплавин</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выжигание сухой травянистой растительности (палы)</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6.15</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сенокошение</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6.16</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сбор и заготовка лекарственных и иных растений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6.17</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облесение территории</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6.18</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облесение территории не входящей в государственный лесной фонд</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6.19</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создание плантационных культур леса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6.20</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уничтожение и повреждение живых коллекционных деревьев и кустарников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6.21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рубка леса на глухариных токах</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7</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Ограничения животноводства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7.1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размещение летних лагерей скота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7.2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прогон и выпас скота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7.3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выпас скота чрезмерный</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7.4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прогон и выпас скота в прибрежных полосах водоемов;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7.5</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водопой скота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8</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Ограничения пользования объектами животного мира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8.1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охота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8.2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охота весенняя</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8.3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охота на бобра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8.4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добывание животных, не отнесенных к объектам охоты и рыболовства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8.5</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электролов рыбы</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8.6</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запуск растительноядных рыб</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9</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Ограничения авто-мототранспорта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9.1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проезд и стоянка авто-мототранспорта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9.2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проезд и стоянка авто-мототранспорта вне дорог</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9.3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использование моторного маломерного флота</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10</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Ограничения рекреационного использования территории</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10.1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разбивка туристических стоянок</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10.2</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разбивка туристических стоянок (кроме оговоренных случаев)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10.3</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разведение костров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10.4</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rFonts w:ascii="Arial" w:hAnsi="Arial" w:cs="Arial"/>
                <w:sz w:val="24"/>
                <w:szCs w:val="24"/>
              </w:rPr>
            </w:pPr>
            <w:r>
              <w:rPr>
                <w:rFonts w:cs="Arial" w:ascii="Arial" w:hAnsi="Arial"/>
                <w:sz w:val="24"/>
                <w:szCs w:val="24"/>
              </w:rPr>
              <w:t>разведение костров (кроме оговоренных случаев)</w:t>
            </w:r>
          </w:p>
        </w:tc>
      </w:tr>
      <w:tr>
        <w:trPr>
          <w:trHeight w:val="284" w:hRule="atLeast"/>
        </w:trPr>
        <w:tc>
          <w:tcPr>
            <w:tcW w:w="993" w:type="dxa"/>
            <w:tcBorders>
              <w:top w:val="single" w:sz="4" w:space="0" w:color="00000A"/>
              <w:left w:val="single" w:sz="4" w:space="0" w:color="00000A"/>
              <w:bottom w:val="single" w:sz="4" w:space="0" w:color="00000A"/>
              <w:insideH w:val="single" w:sz="4" w:space="0" w:color="00000A"/>
            </w:tcBorders>
            <w:shd w:fill="auto" w:val="clear"/>
            <w:tcMar>
              <w:left w:w="10" w:type="dxa"/>
            </w:tcMar>
            <w:vAlign w:val="cente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11</w:t>
            </w:r>
          </w:p>
        </w:tc>
        <w:tc>
          <w:tcPr>
            <w:tcW w:w="936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center"/>
          </w:tcPr>
          <w:p>
            <w:pPr>
              <w:pStyle w:val="ConsNonformat1"/>
              <w:widowControl/>
              <w:spacing w:lineRule="auto" w:line="276"/>
              <w:ind w:left="127" w:right="127" w:hanging="0"/>
              <w:rPr/>
            </w:pPr>
            <w:r>
              <w:rPr>
                <w:rFonts w:cs="Arial" w:ascii="Arial" w:hAnsi="Arial"/>
                <w:b/>
                <w:i/>
                <w:sz w:val="24"/>
                <w:szCs w:val="24"/>
              </w:rPr>
              <w:t>Ограничение общее</w:t>
            </w:r>
            <w:r>
              <w:rPr>
                <w:rFonts w:cs="Arial" w:ascii="Arial" w:hAnsi="Arial"/>
                <w:sz w:val="24"/>
                <w:szCs w:val="24"/>
              </w:rPr>
              <w:t>: любые иные виды хозяйственной деятельности, рекреационного и другого природопользования, препятствующего сохранению, восстановлению и воспроизводству объектов охраны</w:t>
            </w:r>
          </w:p>
        </w:tc>
      </w:tr>
    </w:tbl>
    <w:p>
      <w:pPr>
        <w:pStyle w:val="Style58"/>
        <w:spacing w:lineRule="auto" w:line="360"/>
        <w:rPr>
          <w:rFonts w:ascii="Arial" w:hAnsi="Arial" w:cs="Arial"/>
          <w:sz w:val="24"/>
          <w:szCs w:val="24"/>
        </w:rPr>
      </w:pPr>
      <w:r>
        <w:rPr>
          <w:rFonts w:cs="Arial" w:ascii="Arial" w:hAnsi="Arial"/>
          <w:sz w:val="24"/>
          <w:szCs w:val="24"/>
        </w:rPr>
      </w:r>
    </w:p>
    <w:p>
      <w:pPr>
        <w:pStyle w:val="ConsPlusNormal2"/>
        <w:tabs>
          <w:tab w:val="left" w:pos="851" w:leader="none"/>
        </w:tabs>
        <w:suppressAutoHyphens w:val="false"/>
        <w:rPr>
          <w:rFonts w:cs="Arial"/>
          <w:sz w:val="24"/>
          <w:szCs w:val="24"/>
        </w:rPr>
      </w:pPr>
      <w:r>
        <w:rPr>
          <w:rFonts w:cs="Arial"/>
          <w:sz w:val="24"/>
          <w:szCs w:val="24"/>
        </w:rPr>
        <w:t>5.10.4.3.Цифровые коды разрешенных видов деятельности на ООПТ Нижегородской области</w:t>
      </w:r>
    </w:p>
    <w:tbl>
      <w:tblPr>
        <w:tblW w:w="10214" w:type="dxa"/>
        <w:jc w:val="left"/>
        <w:tblInd w:w="-274" w:type="dxa"/>
        <w:tblBorders>
          <w:top w:val="single" w:sz="4" w:space="0" w:color="00000A"/>
          <w:left w:val="single" w:sz="4" w:space="0" w:color="00000A"/>
          <w:bottom w:val="single" w:sz="4" w:space="0" w:color="00000A"/>
          <w:insideH w:val="single" w:sz="4" w:space="0" w:color="00000A"/>
        </w:tblBorders>
        <w:tblCellMar>
          <w:top w:w="15" w:type="dxa"/>
          <w:left w:w="10" w:type="dxa"/>
          <w:bottom w:w="0" w:type="dxa"/>
          <w:right w:w="15" w:type="dxa"/>
        </w:tblCellMar>
      </w:tblPr>
      <w:tblGrid>
        <w:gridCol w:w="979"/>
        <w:gridCol w:w="9235"/>
      </w:tblGrid>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EEECE1" w:val="clear"/>
            <w:tcMar>
              <w:left w:w="10" w:type="dxa"/>
            </w:tcMar>
            <w:vAlign w:val="bottom"/>
          </w:tcPr>
          <w:p>
            <w:pPr>
              <w:pStyle w:val="ConsNonformat1"/>
              <w:widowControl/>
              <w:ind w:left="127" w:right="0" w:hanging="0"/>
              <w:jc w:val="center"/>
              <w:rPr>
                <w:rFonts w:ascii="Arial" w:hAnsi="Arial" w:cs="Arial"/>
                <w:b/>
                <w:b/>
                <w:sz w:val="24"/>
                <w:szCs w:val="24"/>
              </w:rPr>
            </w:pPr>
            <w:r>
              <w:rPr>
                <w:rFonts w:cs="Arial" w:ascii="Arial" w:hAnsi="Arial"/>
                <w:b/>
                <w:sz w:val="24"/>
                <w:szCs w:val="24"/>
              </w:rPr>
              <w:t>Код</w:t>
            </w:r>
          </w:p>
          <w:p>
            <w:pPr>
              <w:pStyle w:val="ConsNonformat1"/>
              <w:widowControl/>
              <w:ind w:left="127" w:right="0" w:hanging="0"/>
              <w:jc w:val="center"/>
              <w:rPr>
                <w:rFonts w:ascii="Arial" w:hAnsi="Arial" w:cs="Arial"/>
                <w:b/>
                <w:b/>
                <w:sz w:val="24"/>
                <w:szCs w:val="24"/>
              </w:rPr>
            </w:pPr>
            <w:r>
              <w:rPr>
                <w:rFonts w:cs="Arial" w:ascii="Arial" w:hAnsi="Arial"/>
                <w:b/>
                <w:sz w:val="24"/>
                <w:szCs w:val="24"/>
              </w:rPr>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EEECE1" w:val="clear"/>
            <w:tcMar>
              <w:left w:w="10" w:type="dxa"/>
            </w:tcMar>
            <w:vAlign w:val="bottom"/>
          </w:tcPr>
          <w:p>
            <w:pPr>
              <w:pStyle w:val="ConsNonformat1"/>
              <w:widowControl/>
              <w:ind w:left="127" w:right="0" w:hanging="0"/>
              <w:jc w:val="center"/>
              <w:rPr>
                <w:rFonts w:ascii="Arial" w:hAnsi="Arial" w:cs="Arial"/>
                <w:b/>
                <w:b/>
                <w:sz w:val="24"/>
                <w:szCs w:val="24"/>
              </w:rPr>
            </w:pPr>
            <w:r>
              <w:rPr>
                <w:rFonts w:cs="Arial" w:ascii="Arial" w:hAnsi="Arial"/>
                <w:b/>
                <w:sz w:val="24"/>
                <w:szCs w:val="24"/>
              </w:rPr>
              <w:t>Вид деятельности</w:t>
            </w:r>
          </w:p>
          <w:p>
            <w:pPr>
              <w:pStyle w:val="ConsNonformat1"/>
              <w:widowControl/>
              <w:ind w:left="127" w:right="0" w:hanging="0"/>
              <w:jc w:val="center"/>
              <w:rPr>
                <w:rFonts w:ascii="Arial" w:hAnsi="Arial" w:cs="Arial"/>
                <w:b/>
                <w:b/>
                <w:sz w:val="24"/>
                <w:szCs w:val="24"/>
              </w:rPr>
            </w:pPr>
            <w:r>
              <w:rPr>
                <w:rFonts w:cs="Arial" w:ascii="Arial" w:hAnsi="Arial"/>
                <w:b/>
                <w:sz w:val="24"/>
                <w:szCs w:val="24"/>
              </w:rPr>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bottom"/>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Строительство и реконструкция зданий, сооружений, коммуникаций</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1.1</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строительство новое регламентированное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1.2</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ремонт и реконструкция зданий и сооружений реламентированные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1.3</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прокладывание коммуникаций регламентированное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1.4</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ремонт противопожарных дорог</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1.5</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противоэрозионные мероприятия регламентированные</w:t>
            </w:r>
          </w:p>
        </w:tc>
      </w:tr>
      <w:tr>
        <w:trPr>
          <w:trHeight w:val="340"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bottom"/>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Лесное хозяйство, лесопользование и другие виды использования растений</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2.1</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лесохозяйственные и лесовосстановительные работы в соответствии с материалами лесоустройства</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2.2</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рубки главного пользования постепенные и добровольно-выборочные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2.3</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рубки промежуточного пользования</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2.4</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рубки сплошные санитарные регламентированные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2.5</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рубки ухода и санитарные рубки</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2.6</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рубки ухода и санитарные рубки в случае деградации насаждений</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2.7</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рубки ухода и санитарные рубки регламентированные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2.8</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рубка сухостойных деревьев и деревьев, представляющих угрозу для безопасности людей, зданий, коммуникаций</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2.9</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рубка сухостойных деревьев и деревьев, представляющих угрозу для безопасности людей, зданий, коммуникаций регламентированная</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2.10</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облесение водоохранных зон водоемов</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2.11</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сенокошение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2.12</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сенокошение регламентированное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2.13</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сбор лекарственных растений</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2.14</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сбор грибов и ягод</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2.15</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уход за насаждениями в парках и дендрариях</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2.16</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лесовозобновление искусственное регламентированное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3</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bottom"/>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Животноводство</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3.1</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выпас скота</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3.2</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выпас скота регламентированный</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bottom"/>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Пользование объектами животного мира</w:t>
            </w:r>
          </w:p>
        </w:tc>
      </w:tr>
      <w:tr>
        <w:trPr>
          <w:trHeight w:val="397"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4.1</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охота</w:t>
            </w:r>
          </w:p>
        </w:tc>
      </w:tr>
      <w:tr>
        <w:trPr>
          <w:trHeight w:val="397"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4.2</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охота весенняя на уток с подсадной</w:t>
            </w:r>
          </w:p>
        </w:tc>
      </w:tr>
      <w:tr>
        <w:trPr>
          <w:trHeight w:val="397"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4.3</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охота в осенне-зимний период</w:t>
            </w:r>
          </w:p>
        </w:tc>
      </w:tr>
      <w:tr>
        <w:trPr>
          <w:trHeight w:val="397"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4.4</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охота в осенне-зимний период регламентированная</w:t>
            </w:r>
          </w:p>
        </w:tc>
      </w:tr>
      <w:tr>
        <w:trPr>
          <w:trHeight w:val="397"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4.5</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охота летне-осенняя на водоплавающую и болотную дичь</w:t>
            </w:r>
          </w:p>
        </w:tc>
      </w:tr>
      <w:tr>
        <w:trPr>
          <w:trHeight w:val="397"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4.6</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лов рыбы любительский удочкой и спиннингом</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bottom"/>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Рекреационное использование территории</w:t>
            </w:r>
          </w:p>
        </w:tc>
      </w:tr>
      <w:tr>
        <w:trPr>
          <w:trHeight w:val="397"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5.1</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разбивка туристических стоянок регламентированная</w:t>
            </w:r>
          </w:p>
        </w:tc>
      </w:tr>
      <w:tr>
        <w:trPr>
          <w:trHeight w:val="397"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5.2</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разведение костров регламентированное</w:t>
            </w:r>
          </w:p>
        </w:tc>
      </w:tr>
      <w:tr>
        <w:trPr>
          <w:trHeight w:val="397"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5.3</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благоустройство территории</w:t>
            </w:r>
          </w:p>
        </w:tc>
      </w:tr>
      <w:tr>
        <w:trPr>
          <w:trHeight w:val="397" w:hRule="exac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5.4</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благоустройство территории регламентированное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vAlign w:val="bottom"/>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Научная, учебная и природоохранная деятельность</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6.1</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научные исследования</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6.2</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восстановление болотных экосистем регламентированное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6.3</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проведение учебных экскурсий</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7</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127" w:hanging="0"/>
              <w:rPr>
                <w:rFonts w:ascii="Arial" w:hAnsi="Arial" w:cs="Arial"/>
                <w:b/>
                <w:b/>
                <w:i/>
                <w:i/>
                <w:sz w:val="24"/>
                <w:szCs w:val="24"/>
              </w:rPr>
            </w:pPr>
            <w:r>
              <w:rPr>
                <w:rFonts w:cs="Arial" w:ascii="Arial" w:hAnsi="Arial"/>
                <w:b/>
                <w:i/>
                <w:sz w:val="24"/>
                <w:szCs w:val="24"/>
              </w:rPr>
              <w:t>Культовое использование</w:t>
            </w:r>
          </w:p>
        </w:tc>
      </w:tr>
      <w:tr>
        <w:trPr>
          <w:trHeight w:val="284" w:hRule="atLeast"/>
        </w:trPr>
        <w:tc>
          <w:tcPr>
            <w:tcW w:w="979" w:type="dxa"/>
            <w:tcBorders>
              <w:top w:val="single" w:sz="4" w:space="0" w:color="00000A"/>
              <w:left w:val="single" w:sz="4" w:space="0" w:color="00000A"/>
              <w:bottom w:val="single" w:sz="4" w:space="0" w:color="00000A"/>
              <w:insideH w:val="single" w:sz="4" w:space="0" w:color="00000A"/>
            </w:tcBorders>
            <w:shd w:fill="auto" w:val="clear"/>
            <w:tcMar>
              <w:left w:w="10" w:type="dxa"/>
            </w:tcMar>
            <w:vAlign w:val="bottom"/>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7.1</w:t>
            </w:r>
          </w:p>
        </w:tc>
        <w:tc>
          <w:tcPr>
            <w:tcW w:w="92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tcMar>
          </w:tcPr>
          <w:p>
            <w:pPr>
              <w:pStyle w:val="ConsNonformat1"/>
              <w:widowControl/>
              <w:spacing w:lineRule="auto" w:line="276"/>
              <w:ind w:left="127" w:right="0" w:hanging="0"/>
              <w:rPr>
                <w:rFonts w:ascii="Arial" w:hAnsi="Arial" w:cs="Arial"/>
                <w:sz w:val="24"/>
                <w:szCs w:val="24"/>
              </w:rPr>
            </w:pPr>
            <w:r>
              <w:rPr>
                <w:rFonts w:cs="Arial" w:ascii="Arial" w:hAnsi="Arial"/>
                <w:sz w:val="24"/>
                <w:szCs w:val="24"/>
              </w:rPr>
              <w:t>Отправление культовых обрядов</w:t>
            </w:r>
          </w:p>
        </w:tc>
      </w:tr>
    </w:tbl>
    <w:p>
      <w:pPr>
        <w:pStyle w:val="ConsPlusNormal2"/>
        <w:tabs>
          <w:tab w:val="left" w:pos="851" w:leader="none"/>
        </w:tabs>
        <w:suppressAutoHyphens w:val="false"/>
        <w:ind w:left="567" w:right="0" w:hanging="0"/>
        <w:rPr>
          <w:rFonts w:cs="Arial"/>
          <w:sz w:val="24"/>
          <w:szCs w:val="24"/>
          <w:lang w:eastAsia="ar-SA"/>
        </w:rPr>
      </w:pPr>
      <w:r>
        <w:rPr>
          <w:rFonts w:cs="Arial"/>
          <w:sz w:val="24"/>
          <w:szCs w:val="24"/>
          <w:lang w:eastAsia="ar-SA"/>
        </w:rPr>
      </w:r>
    </w:p>
    <w:p>
      <w:pPr>
        <w:pStyle w:val="ConsPlusNormal2"/>
        <w:tabs>
          <w:tab w:val="left" w:pos="851" w:leader="none"/>
        </w:tabs>
        <w:suppressAutoHyphens w:val="false"/>
        <w:ind w:left="567" w:right="0" w:hanging="0"/>
        <w:rPr>
          <w:rFonts w:cs="Arial"/>
          <w:sz w:val="24"/>
          <w:szCs w:val="24"/>
        </w:rPr>
      </w:pPr>
      <w:r>
        <w:rPr>
          <w:rFonts w:cs="Arial"/>
          <w:sz w:val="24"/>
          <w:szCs w:val="24"/>
        </w:rPr>
        <w:t>5.10.4.4. Режим охраны памятников природы:</w:t>
      </w:r>
    </w:p>
    <w:p>
      <w:pPr>
        <w:pStyle w:val="Style46"/>
        <w:tabs>
          <w:tab w:val="left" w:pos="567" w:leader="none"/>
          <w:tab w:val="left" w:pos="851" w:leader="none"/>
        </w:tabs>
        <w:spacing w:before="0" w:after="0"/>
        <w:ind w:left="0" w:right="0" w:firstLine="540"/>
        <w:rPr>
          <w:rFonts w:ascii="Arial" w:hAnsi="Arial" w:cs="Arial"/>
          <w:b/>
          <w:b/>
          <w:i/>
          <w:i/>
        </w:rPr>
      </w:pPr>
      <w:r>
        <w:rPr>
          <w:rFonts w:cs="Arial" w:ascii="Arial" w:hAnsi="Arial"/>
          <w:b/>
          <w:i/>
        </w:rPr>
        <w:t>Марийская священная роща Козлянурская Первая</w:t>
      </w:r>
    </w:p>
    <w:p>
      <w:pPr>
        <w:pStyle w:val="ConsPlusNormal2"/>
        <w:ind w:left="0" w:right="0" w:firstLine="540"/>
        <w:rPr>
          <w:rFonts w:cs="Arial"/>
          <w:sz w:val="24"/>
          <w:szCs w:val="24"/>
        </w:rPr>
      </w:pPr>
      <w:r>
        <w:rPr>
          <w:rFonts w:cs="Arial"/>
          <w:sz w:val="24"/>
          <w:szCs w:val="24"/>
        </w:rPr>
        <w:t>Организован решением Нижегородского областного Совета народных депутатов  от 29.11.1994 г. № 127. Паспорт на памятник природы утвержден тем же решением.</w:t>
      </w:r>
    </w:p>
    <w:p>
      <w:pPr>
        <w:pStyle w:val="ConsPlusNormal2"/>
        <w:ind w:left="0" w:right="0" w:firstLine="540"/>
        <w:rPr>
          <w:rFonts w:cs="Arial"/>
          <w:sz w:val="24"/>
          <w:szCs w:val="24"/>
        </w:rPr>
      </w:pPr>
      <w:r>
        <w:rPr>
          <w:rFonts w:cs="Arial"/>
          <w:sz w:val="24"/>
          <w:szCs w:val="24"/>
        </w:rPr>
        <w:t>Местоположение: от районного центра р.п. Шаранга на юго-восток в 17 км, от д. Козлянур к востоку в 0,5 км.</w:t>
      </w:r>
    </w:p>
    <w:p>
      <w:pPr>
        <w:pStyle w:val="ConsPlusNormal2"/>
        <w:ind w:left="0" w:right="0" w:firstLine="540"/>
        <w:rPr>
          <w:rFonts w:cs="Arial"/>
          <w:sz w:val="24"/>
          <w:szCs w:val="24"/>
        </w:rPr>
      </w:pPr>
      <w:r>
        <w:rPr>
          <w:rFonts w:cs="Arial"/>
          <w:sz w:val="24"/>
          <w:szCs w:val="24"/>
        </w:rPr>
        <w:t>Площадь памятника природы: 0,3 га.</w:t>
      </w:r>
    </w:p>
    <w:p>
      <w:pPr>
        <w:pStyle w:val="ConsPlusNormal2"/>
        <w:ind w:left="0" w:right="0" w:firstLine="540"/>
        <w:rPr>
          <w:rFonts w:cs="Arial"/>
          <w:sz w:val="24"/>
          <w:szCs w:val="24"/>
        </w:rPr>
      </w:pPr>
      <w:r>
        <w:rPr>
          <w:rFonts w:cs="Arial"/>
          <w:sz w:val="24"/>
          <w:szCs w:val="24"/>
        </w:rPr>
        <w:t>Назначение: эстетическое, научно-просветительное, культурное и культовое значение.</w:t>
      </w:r>
    </w:p>
    <w:p>
      <w:pPr>
        <w:pStyle w:val="ConsPlusNormal2"/>
        <w:ind w:left="0" w:right="0" w:firstLine="540"/>
        <w:rPr>
          <w:rFonts w:cs="Arial"/>
          <w:sz w:val="24"/>
          <w:szCs w:val="24"/>
        </w:rPr>
      </w:pPr>
      <w:r>
        <w:rPr>
          <w:rFonts w:cs="Arial"/>
          <w:sz w:val="24"/>
          <w:szCs w:val="24"/>
        </w:rPr>
        <w:t xml:space="preserve">Режим охраны. На территории памятника природы запрещаются: 1.1-1.3; 1.5-1.10; 2.2; 2.6; 3.1; 4.4; 5.3; 5.5; 5.6; 5.7; 6.1; 6.8; 6.9; 6.15; 7.2; 8.2; 9.1; 10.1; 10.3; 11. </w:t>
      </w:r>
    </w:p>
    <w:p>
      <w:pPr>
        <w:pStyle w:val="ConsPlusNormal2"/>
        <w:ind w:left="0" w:right="0" w:firstLine="540"/>
        <w:rPr>
          <w:rFonts w:cs="Arial"/>
          <w:sz w:val="24"/>
          <w:szCs w:val="24"/>
        </w:rPr>
      </w:pPr>
      <w:r>
        <w:rPr>
          <w:rFonts w:cs="Arial"/>
          <w:sz w:val="24"/>
          <w:szCs w:val="24"/>
        </w:rPr>
        <w:t>Памятник сохраняет небольшой участок пихтово-елового леса с дубравными элементами. В столетнем древостое первого яруса преобладает пихта, к ней добавляются ели, липы, березы и осины. Высота деревьев – до 25 м, диаметр стволов – 50-60 см. Второй ярус слагают липы с единичными пихтами. В подросте – ель, пихта, дуб, в подлеске – бересклет бородавчатый и рябина. Травостой образуют таежные, дубравные и сорные виды растений: кислица обыкновенная, копытень европейский, подмаренник мягкий, чистотел большой, крапива двудомная, гравилат городской, медуница неясная, фиалка удивительная, сныть обыкновенная, колокольчик крапиволистный, звездчатка ланцетовидная. В овраге, проходящем через рощу, растет 70-летний ельник приручьевый с елью в первом ярусе древостоя и черной ольхой во втором. Травостой – густые заросли таволги вязолистной, крапивы двудомной, недотроги обыкновенной, страусника.</w:t>
      </w:r>
    </w:p>
    <w:p>
      <w:pPr>
        <w:pStyle w:val="ConsPlusNormal2"/>
        <w:ind w:left="0" w:right="0" w:firstLine="540"/>
        <w:rPr>
          <w:rFonts w:cs="Arial"/>
          <w:sz w:val="24"/>
          <w:szCs w:val="24"/>
        </w:rPr>
      </w:pPr>
      <w:r>
        <w:rPr>
          <w:rFonts w:cs="Arial"/>
          <w:sz w:val="24"/>
          <w:szCs w:val="24"/>
        </w:rPr>
        <w:t>Главными жертвенными деревьями служат столетние береза, липа, две пихты высотой свыше 20 м и рябина. Молельная поляна находится на краю оврага. В овраге есть помост, лавочка, жертвенный очаг. У тропинки, ведущей к жертвеннику, создан искусственный бурелом – упавшие березы перекрывают проход между стволами. В течение нескольких столетий роща является местом поклонения марийского населения творческим силам природы, отпускания языческих обрядов.</w:t>
      </w:r>
    </w:p>
    <w:p>
      <w:pPr>
        <w:pStyle w:val="ConsPlusNormal2"/>
        <w:ind w:left="0" w:right="0" w:firstLine="540"/>
        <w:rPr>
          <w:rFonts w:cs="Arial"/>
          <w:sz w:val="24"/>
          <w:szCs w:val="24"/>
        </w:rPr>
      </w:pPr>
      <w:r>
        <w:rPr>
          <w:rFonts w:cs="Arial"/>
          <w:sz w:val="24"/>
          <w:szCs w:val="24"/>
        </w:rPr>
      </w:r>
    </w:p>
    <w:p>
      <w:pPr>
        <w:pStyle w:val="ConsPlusNormal2"/>
        <w:ind w:left="0" w:right="0" w:firstLine="540"/>
        <w:rPr>
          <w:rFonts w:cs="Arial"/>
          <w:b/>
          <w:b/>
          <w:i/>
          <w:i/>
          <w:sz w:val="24"/>
          <w:szCs w:val="24"/>
        </w:rPr>
      </w:pPr>
      <w:r>
        <w:rPr>
          <w:rFonts w:cs="Arial"/>
          <w:b/>
          <w:i/>
          <w:sz w:val="24"/>
          <w:szCs w:val="24"/>
        </w:rPr>
        <w:t>Марийская священная роща Козлянурская Вторая</w:t>
      </w:r>
    </w:p>
    <w:p>
      <w:pPr>
        <w:pStyle w:val="ConsPlusNormal2"/>
        <w:ind w:left="0" w:right="0" w:firstLine="540"/>
        <w:rPr>
          <w:rFonts w:cs="Arial"/>
          <w:sz w:val="24"/>
          <w:szCs w:val="24"/>
        </w:rPr>
      </w:pPr>
      <w:r>
        <w:rPr>
          <w:rFonts w:cs="Arial"/>
          <w:sz w:val="24"/>
          <w:szCs w:val="24"/>
        </w:rPr>
        <w:t>Организован решением Нижегородского областного Совета народных депутатов № 127 от 29.11.1994 г. Паспорт на памятник природы утвержден тем же решением.</w:t>
      </w:r>
    </w:p>
    <w:p>
      <w:pPr>
        <w:pStyle w:val="ConsPlusNormal2"/>
        <w:ind w:left="0" w:right="0" w:firstLine="540"/>
        <w:rPr>
          <w:rFonts w:cs="Arial"/>
          <w:sz w:val="24"/>
          <w:szCs w:val="24"/>
        </w:rPr>
      </w:pPr>
      <w:r>
        <w:rPr>
          <w:rFonts w:cs="Arial"/>
          <w:sz w:val="24"/>
          <w:szCs w:val="24"/>
        </w:rPr>
        <w:t>Местоположение: от районного центра р.п. Шаранга на юго-восток в 17 км, от д.Козлянур к востоку в 0,7 км.</w:t>
      </w:r>
    </w:p>
    <w:p>
      <w:pPr>
        <w:pStyle w:val="ConsPlusNormal2"/>
        <w:ind w:left="0" w:right="0" w:firstLine="540"/>
        <w:rPr>
          <w:rFonts w:cs="Arial"/>
          <w:sz w:val="24"/>
          <w:szCs w:val="24"/>
        </w:rPr>
      </w:pPr>
      <w:r>
        <w:rPr>
          <w:rFonts w:cs="Arial"/>
          <w:sz w:val="24"/>
          <w:szCs w:val="24"/>
        </w:rPr>
        <w:t>Площадь памятника природы: 0,3 га.</w:t>
      </w:r>
    </w:p>
    <w:p>
      <w:pPr>
        <w:pStyle w:val="ConsPlusNormal2"/>
        <w:ind w:left="0" w:right="0" w:firstLine="540"/>
        <w:rPr>
          <w:rFonts w:cs="Arial"/>
          <w:sz w:val="24"/>
          <w:szCs w:val="24"/>
        </w:rPr>
      </w:pPr>
      <w:r>
        <w:rPr>
          <w:rFonts w:cs="Arial"/>
          <w:sz w:val="24"/>
          <w:szCs w:val="24"/>
        </w:rPr>
        <w:t>Назначение: эстетическое, водоохранное, научно-просветительное, культурное и культовое значение.</w:t>
      </w:r>
    </w:p>
    <w:p>
      <w:pPr>
        <w:pStyle w:val="ConsPlusNormal2"/>
        <w:ind w:left="0" w:right="0" w:firstLine="540"/>
        <w:rPr>
          <w:rFonts w:cs="Arial"/>
          <w:sz w:val="24"/>
          <w:szCs w:val="24"/>
        </w:rPr>
      </w:pPr>
      <w:r>
        <w:rPr>
          <w:rFonts w:cs="Arial"/>
          <w:sz w:val="24"/>
          <w:szCs w:val="24"/>
        </w:rPr>
        <w:t xml:space="preserve">Режим охраны. На территории памятника природы запрещаются: 1.1-1.3; 1.5-1.10; 2.2; 2.6; 3.1; 4.4; 5.3; 5.5; 5.6; 5.7; 6.1; 6.8; 6.9; 6.15; 7.2; 8.2; 9.1; 10.1; 10.3; 11. </w:t>
      </w:r>
    </w:p>
    <w:p>
      <w:pPr>
        <w:pStyle w:val="ConsPlusNormal2"/>
        <w:ind w:left="0" w:right="0" w:firstLine="540"/>
        <w:rPr>
          <w:rFonts w:cs="Arial"/>
          <w:sz w:val="24"/>
          <w:szCs w:val="24"/>
        </w:rPr>
      </w:pPr>
      <w:r>
        <w:rPr>
          <w:rFonts w:cs="Arial"/>
          <w:sz w:val="24"/>
          <w:szCs w:val="24"/>
        </w:rPr>
        <w:t>Памятник природы представляет собой столетнюю березовую рощу, окруженную полями. Под пологом старых берез восстанавливается пихтово-еловый лес. В подросте вместе с елью и пихтой присутствуют липа и дуб. В травостое встречаются сныть, пролесник многолетний, звездчатка ланцетовидная, чистотел большой, гравилат городской, копытень европейский, хвощ лесной, золотарник лесной и др. В течение нескольких столетий роща является местом поклонения марийского населения творческим силам природы, отпускания языческих обрядов.</w:t>
      </w:r>
    </w:p>
    <w:p>
      <w:pPr>
        <w:pStyle w:val="ConsPlusNormal2"/>
        <w:ind w:left="0" w:right="0" w:firstLine="540"/>
        <w:rPr>
          <w:rFonts w:cs="Arial"/>
          <w:sz w:val="24"/>
          <w:szCs w:val="24"/>
        </w:rPr>
      </w:pPr>
      <w:r>
        <w:rPr>
          <w:rFonts w:cs="Arial"/>
          <w:sz w:val="24"/>
          <w:szCs w:val="24"/>
        </w:rPr>
      </w:r>
    </w:p>
    <w:p>
      <w:pPr>
        <w:pStyle w:val="ConsPlusNormal2"/>
        <w:ind w:left="0" w:right="0" w:firstLine="540"/>
        <w:rPr>
          <w:rFonts w:cs="Arial"/>
          <w:b/>
          <w:b/>
          <w:i/>
          <w:i/>
          <w:sz w:val="24"/>
          <w:szCs w:val="24"/>
        </w:rPr>
      </w:pPr>
      <w:r>
        <w:rPr>
          <w:rFonts w:cs="Arial"/>
          <w:b/>
          <w:i/>
          <w:sz w:val="24"/>
          <w:szCs w:val="24"/>
        </w:rPr>
        <w:t>Марийская священная роща Кушнурская Первая</w:t>
      </w:r>
    </w:p>
    <w:p>
      <w:pPr>
        <w:pStyle w:val="ConsPlusNormal2"/>
        <w:ind w:left="0" w:right="0" w:firstLine="540"/>
        <w:rPr>
          <w:rFonts w:cs="Arial"/>
          <w:sz w:val="24"/>
          <w:szCs w:val="24"/>
        </w:rPr>
      </w:pPr>
      <w:r>
        <w:rPr>
          <w:rFonts w:cs="Arial"/>
          <w:sz w:val="24"/>
          <w:szCs w:val="24"/>
        </w:rPr>
        <w:t>Организован решением Нижегородского областного Совета народных депутатов от 29.11.1994 г. № 127. Паспорт на памятник природы утвержден тем же решением.</w:t>
      </w:r>
    </w:p>
    <w:p>
      <w:pPr>
        <w:pStyle w:val="ConsPlusNormal2"/>
        <w:ind w:left="0" w:right="0" w:firstLine="540"/>
        <w:rPr>
          <w:rFonts w:cs="Arial"/>
          <w:sz w:val="24"/>
          <w:szCs w:val="24"/>
        </w:rPr>
      </w:pPr>
      <w:r>
        <w:rPr>
          <w:rFonts w:cs="Arial"/>
          <w:sz w:val="24"/>
          <w:szCs w:val="24"/>
        </w:rPr>
        <w:t>Местоположение: от районного центра р.п. Шаранга на юго-восток в 20 км, в 0,2 км к югу от южной окраины с. Кушнур вблизи фермы.</w:t>
      </w:r>
    </w:p>
    <w:p>
      <w:pPr>
        <w:pStyle w:val="ConsPlusNormal2"/>
        <w:ind w:left="0" w:right="0" w:firstLine="540"/>
        <w:rPr>
          <w:rFonts w:cs="Arial"/>
          <w:sz w:val="24"/>
          <w:szCs w:val="24"/>
        </w:rPr>
      </w:pPr>
      <w:r>
        <w:rPr>
          <w:rFonts w:cs="Arial"/>
          <w:sz w:val="24"/>
          <w:szCs w:val="24"/>
        </w:rPr>
        <w:t>Площадь памятника природы: 0,3 га.</w:t>
      </w:r>
    </w:p>
    <w:p>
      <w:pPr>
        <w:pStyle w:val="ConsPlusNormal2"/>
        <w:ind w:left="0" w:right="0" w:firstLine="540"/>
        <w:rPr>
          <w:rFonts w:cs="Arial"/>
          <w:sz w:val="24"/>
          <w:szCs w:val="24"/>
        </w:rPr>
      </w:pPr>
      <w:r>
        <w:rPr>
          <w:rFonts w:cs="Arial"/>
          <w:sz w:val="24"/>
          <w:szCs w:val="24"/>
        </w:rPr>
        <w:t>Назначение: эстетическое, научно-просветительное, культурное и культовое значение.</w:t>
      </w:r>
    </w:p>
    <w:p>
      <w:pPr>
        <w:pStyle w:val="ConsPlusNormal2"/>
        <w:ind w:left="0" w:right="0" w:firstLine="540"/>
        <w:rPr>
          <w:rFonts w:cs="Arial"/>
          <w:sz w:val="24"/>
          <w:szCs w:val="24"/>
        </w:rPr>
      </w:pPr>
      <w:r>
        <w:rPr>
          <w:rFonts w:cs="Arial"/>
          <w:sz w:val="24"/>
          <w:szCs w:val="24"/>
        </w:rPr>
        <w:t xml:space="preserve">Режим охраны. На территории памятника природы запрещаются: 1.1-1.3; 1.5-1.10; 2.2; 2.6; 3.1; 4.4; 5.3; 5.5; 5.6; 5.7; 6.1; 6.8; 6.9; 6.15; 7.2; 8.2; 9.1; 10.1; 10.3; 11. </w:t>
      </w:r>
    </w:p>
    <w:p>
      <w:pPr>
        <w:pStyle w:val="ConsPlusNormal2"/>
        <w:ind w:left="0" w:right="0" w:firstLine="540"/>
        <w:rPr>
          <w:rFonts w:cs="Arial"/>
          <w:sz w:val="24"/>
          <w:szCs w:val="24"/>
        </w:rPr>
      </w:pPr>
      <w:r>
        <w:rPr>
          <w:rFonts w:cs="Arial"/>
          <w:sz w:val="24"/>
          <w:szCs w:val="24"/>
        </w:rPr>
        <w:t>Памятник природы представляет собой окруженный полем участок вторичного мелколиственного леса. Первый ярус древостоя здесь образует осина, единично встречается липа. Деревья имеют возраст до 100 лет, высоту – 20-22 м, диаметр стволов – до 40 см. Во втором ярусе присутствует пихта сибирская. Густой подрост слагают липа, осина, клен платановидный, вяз гладкий, подлесок – рябина, малина, бересклет бородавчатый, жимолость лесная, черемуха. В травостое преобладает сныть, встречаются чистотел большой, гравилат городской, колокольчик крапиволистный, борец высокий, страусник обыкновенный, герань лесная, копытень европейский, звездчатка ланцетовидная, недотрога обыкновенная, вороний глаз, лютик кашубский, медуница неясная, сочевичник весенний, кислица обыкновенная, лопух паутинистый и др. Здесь много поваленных ветром деревьев.</w:t>
      </w:r>
    </w:p>
    <w:p>
      <w:pPr>
        <w:pStyle w:val="ConsPlusNormal2"/>
        <w:ind w:left="0" w:right="0" w:firstLine="540"/>
        <w:rPr>
          <w:rFonts w:cs="Arial"/>
          <w:sz w:val="24"/>
          <w:szCs w:val="24"/>
        </w:rPr>
      </w:pPr>
      <w:r>
        <w:rPr>
          <w:rFonts w:cs="Arial"/>
          <w:sz w:val="24"/>
          <w:szCs w:val="24"/>
        </w:rPr>
        <w:t>Священная роща - действующая, имеет общинное значение, людьми посещается с западного края, где сделаны лавочки, шалаш, кострища. В течение нескольких столетий является местом поклонения марийского населения родовым духам и творческим силам природы, отпускания языческих обрядов.</w:t>
      </w:r>
    </w:p>
    <w:p>
      <w:pPr>
        <w:pStyle w:val="Style46"/>
        <w:spacing w:before="0" w:after="0"/>
        <w:jc w:val="center"/>
        <w:rPr>
          <w:rFonts w:ascii="Arial" w:hAnsi="Arial" w:cs="Arial"/>
          <w:b/>
          <w:b/>
          <w:bCs/>
        </w:rPr>
      </w:pPr>
      <w:r>
        <w:rPr>
          <w:rFonts w:cs="Arial" w:ascii="Arial" w:hAnsi="Arial"/>
          <w:b/>
          <w:bCs/>
        </w:rPr>
      </w:r>
    </w:p>
    <w:p>
      <w:pPr>
        <w:pStyle w:val="ConsPlusNormal2"/>
        <w:ind w:left="0" w:right="0" w:firstLine="540"/>
        <w:rPr>
          <w:rFonts w:ascii="Arial" w:hAnsi="Arial" w:cs="Arial"/>
          <w:b/>
          <w:b/>
          <w:bCs/>
          <w:i/>
          <w:i/>
          <w:sz w:val="24"/>
          <w:szCs w:val="24"/>
        </w:rPr>
      </w:pPr>
      <w:r>
        <w:rPr>
          <w:rFonts w:cs="Arial"/>
          <w:b/>
          <w:bCs/>
          <w:i/>
          <w:sz w:val="24"/>
          <w:szCs w:val="24"/>
        </w:rPr>
      </w:r>
    </w:p>
    <w:p>
      <w:pPr>
        <w:pStyle w:val="ConsPlusNormal2"/>
        <w:ind w:left="0" w:right="0" w:firstLine="540"/>
        <w:rPr>
          <w:rFonts w:cs="Arial"/>
          <w:b/>
          <w:b/>
          <w:i/>
          <w:i/>
          <w:sz w:val="24"/>
          <w:szCs w:val="24"/>
        </w:rPr>
      </w:pPr>
      <w:r>
        <w:rPr>
          <w:rFonts w:cs="Arial"/>
          <w:b/>
          <w:i/>
          <w:sz w:val="24"/>
          <w:szCs w:val="24"/>
        </w:rPr>
        <w:t>Марийская священная роща Кушнурская Вторая</w:t>
      </w:r>
    </w:p>
    <w:p>
      <w:pPr>
        <w:pStyle w:val="ConsPlusNormal2"/>
        <w:ind w:left="0" w:right="0" w:firstLine="540"/>
        <w:rPr>
          <w:rFonts w:cs="Arial"/>
          <w:sz w:val="24"/>
          <w:szCs w:val="24"/>
        </w:rPr>
      </w:pPr>
      <w:r>
        <w:rPr>
          <w:rFonts w:cs="Arial"/>
          <w:sz w:val="24"/>
          <w:szCs w:val="24"/>
        </w:rPr>
        <w:t>Организован решением Нижегородского областного Совета народных депутатов от 29.11.1994 г. № 127. Паспорт на памятник природы утвержден тем же решением.</w:t>
      </w:r>
    </w:p>
    <w:p>
      <w:pPr>
        <w:pStyle w:val="ConsPlusNormal2"/>
        <w:ind w:left="0" w:right="0" w:firstLine="540"/>
        <w:rPr>
          <w:rFonts w:cs="Arial"/>
          <w:sz w:val="24"/>
          <w:szCs w:val="24"/>
        </w:rPr>
      </w:pPr>
      <w:r>
        <w:rPr>
          <w:rFonts w:cs="Arial"/>
          <w:sz w:val="24"/>
          <w:szCs w:val="24"/>
        </w:rPr>
        <w:t>Местоположение: от районного центра р.п. Шаранга на юго-восток в 20 км, от с. Кушнур к востоку в 0,5 км.</w:t>
      </w:r>
    </w:p>
    <w:p>
      <w:pPr>
        <w:pStyle w:val="ConsPlusNormal2"/>
        <w:ind w:left="0" w:right="0" w:firstLine="540"/>
        <w:rPr>
          <w:rFonts w:cs="Arial"/>
          <w:sz w:val="24"/>
          <w:szCs w:val="24"/>
        </w:rPr>
      </w:pPr>
      <w:r>
        <w:rPr>
          <w:rFonts w:cs="Arial"/>
          <w:sz w:val="24"/>
          <w:szCs w:val="24"/>
        </w:rPr>
        <w:t>Площадь памятника природы: 0,3 га.</w:t>
      </w:r>
    </w:p>
    <w:p>
      <w:pPr>
        <w:pStyle w:val="ConsPlusNormal2"/>
        <w:ind w:left="0" w:right="0" w:firstLine="540"/>
        <w:rPr>
          <w:rFonts w:cs="Arial"/>
          <w:sz w:val="24"/>
          <w:szCs w:val="24"/>
        </w:rPr>
      </w:pPr>
      <w:r>
        <w:rPr>
          <w:rFonts w:cs="Arial"/>
          <w:sz w:val="24"/>
          <w:szCs w:val="24"/>
        </w:rPr>
        <w:t>Назначение: эстетическое, научно-просветительное, культурное и культовое значение.</w:t>
      </w:r>
    </w:p>
    <w:p>
      <w:pPr>
        <w:pStyle w:val="ConsPlusNormal2"/>
        <w:ind w:left="0" w:right="0" w:firstLine="540"/>
        <w:rPr>
          <w:rFonts w:cs="Arial"/>
          <w:sz w:val="24"/>
          <w:szCs w:val="24"/>
        </w:rPr>
      </w:pPr>
      <w:r>
        <w:rPr>
          <w:rFonts w:cs="Arial"/>
          <w:sz w:val="24"/>
          <w:szCs w:val="24"/>
        </w:rPr>
        <w:t xml:space="preserve">Режим охраны. На территории памятника природы запрещаются: 1.1-1.3; 1.5-1.10; 2.2; 2.6; 3.1; 4.4; 5.3; 5.5; 5.6; 5.7; 6.1; 6.8; 6.9; 6.15; 7.2; 8.2; 9.1; 10.1; 10.3; 11. </w:t>
      </w:r>
    </w:p>
    <w:p>
      <w:pPr>
        <w:pStyle w:val="ConsPlusNormal2"/>
        <w:ind w:left="0" w:right="0" w:firstLine="540"/>
        <w:rPr>
          <w:rFonts w:cs="Arial"/>
          <w:sz w:val="24"/>
          <w:szCs w:val="24"/>
        </w:rPr>
      </w:pPr>
      <w:r>
        <w:rPr>
          <w:rFonts w:cs="Arial"/>
          <w:sz w:val="24"/>
          <w:szCs w:val="24"/>
        </w:rPr>
        <w:t>Памятник природы представляет собой окруженный полем участок леса. Первый ярус древостоя сложен преимущественно липой с участием ели, березы и осины. Деревья имеют возраст 100-150 лет, высоту около 20 м и диаметр стволов 50-90 см. Во втором ярусе – пихты, ели и единичные клены платановидные. Высота деревьев 13-15 м, диаметр стволов – 20-30 см. В подросте встречаются все перечисленные виды, в подлеске – рябина, малина, бересклет бородавчатый. В густом травостое преобладают дубравные виды: сныть обыкновенная, пролесник многолетний, сочевичник весенний, медуница неясная, лютик кашубский и др. Здесь много поваленных ветром деревьев. В течение нескольких столетий роща была местом поклонения марийского населения родовым духам и творческим силам природы, отпускания языческих обрядов.</w:t>
      </w:r>
    </w:p>
    <w:p>
      <w:pPr>
        <w:pStyle w:val="ConsPlusNormal2"/>
        <w:tabs>
          <w:tab w:val="left" w:pos="851" w:leader="none"/>
        </w:tabs>
        <w:suppressAutoHyphens w:val="false"/>
        <w:rPr>
          <w:rFonts w:cs="Arial"/>
          <w:sz w:val="24"/>
          <w:szCs w:val="24"/>
        </w:rPr>
      </w:pPr>
      <w:r>
        <w:rPr>
          <w:rFonts w:cs="Arial"/>
          <w:sz w:val="24"/>
          <w:szCs w:val="24"/>
        </w:rPr>
      </w:r>
    </w:p>
    <w:p>
      <w:pPr>
        <w:pStyle w:val="ConsPlusNormal2"/>
        <w:rPr/>
      </w:pPr>
      <w:r>
        <w:rPr>
          <w:rFonts w:cs="Arial"/>
          <w:i/>
          <w:sz w:val="24"/>
          <w:szCs w:val="24"/>
        </w:rPr>
        <w:t xml:space="preserve">           </w:t>
      </w:r>
      <w:r>
        <w:rPr>
          <w:rFonts w:cs="Arial"/>
          <w:i/>
          <w:sz w:val="24"/>
          <w:szCs w:val="24"/>
        </w:rPr>
        <w:t>5.10.5. Земли историко-культурного назначения</w:t>
      </w:r>
    </w:p>
    <w:p>
      <w:pPr>
        <w:pStyle w:val="ConsPlusNormal2"/>
        <w:tabs>
          <w:tab w:val="left" w:pos="851" w:leader="none"/>
        </w:tabs>
        <w:suppressAutoHyphens w:val="false"/>
        <w:rPr>
          <w:rFonts w:cs="Arial"/>
          <w:sz w:val="24"/>
          <w:szCs w:val="24"/>
        </w:rPr>
      </w:pPr>
      <w:r>
        <w:rPr>
          <w:rFonts w:cs="Arial"/>
          <w:sz w:val="24"/>
          <w:szCs w:val="24"/>
        </w:rPr>
        <w:t>5.10.5.1.К землям историко-культурного назначения относятся земли:</w:t>
      </w:r>
    </w:p>
    <w:p>
      <w:pPr>
        <w:pStyle w:val="ConsPlusNormal2"/>
        <w:ind w:left="0" w:right="0" w:firstLine="540"/>
        <w:rPr>
          <w:rFonts w:cs="Arial"/>
          <w:sz w:val="24"/>
          <w:szCs w:val="24"/>
        </w:rPr>
      </w:pPr>
      <w:r>
        <w:rPr>
          <w:rFonts w:cs="Arial"/>
          <w:sz w:val="24"/>
          <w:szCs w:val="24"/>
        </w:rPr>
        <w:t>- объектов культурного наследия, в том числе объектов археологического наследия, а также выявленных объектов культурного наследия;</w:t>
      </w:r>
    </w:p>
    <w:p>
      <w:pPr>
        <w:pStyle w:val="ConsPlusNormal2"/>
        <w:ind w:left="0" w:right="0" w:firstLine="540"/>
        <w:rPr>
          <w:rFonts w:cs="Arial"/>
          <w:sz w:val="24"/>
          <w:szCs w:val="24"/>
        </w:rPr>
      </w:pPr>
      <w:r>
        <w:rPr>
          <w:rFonts w:cs="Arial"/>
          <w:sz w:val="24"/>
          <w:szCs w:val="24"/>
        </w:rPr>
        <w:t>- военных и гражданских захоронений.</w:t>
      </w:r>
    </w:p>
    <w:p>
      <w:pPr>
        <w:pStyle w:val="ConsPlusNormal2"/>
        <w:tabs>
          <w:tab w:val="left" w:pos="851" w:leader="none"/>
        </w:tabs>
        <w:suppressAutoHyphens w:val="false"/>
        <w:rPr>
          <w:rFonts w:cs="Arial"/>
          <w:sz w:val="24"/>
          <w:szCs w:val="24"/>
        </w:rPr>
      </w:pPr>
      <w:r>
        <w:rPr>
          <w:rFonts w:cs="Arial"/>
          <w:sz w:val="24"/>
          <w:szCs w:val="24"/>
        </w:rPr>
        <w:t>5.10.5.2.На землях объектов культурного наследия (памятников истории и культуры) градостроительная деятельность допускается только в той мере, в какой она связана с нуждами этих объектов (восстановление, реставрация, реконструкция, инженерное обустройство и благоустройство), по специальному разрешению уполномоченных органов государственной власти. Разрешенная градостроительная деятельность на этих территориях может осуществляться в рамках реставрации (реконструкции) существующих и восстановления (воссоздания) утраченных объектов недвижимости - ценных элементов объектов культурного наследия или строительства инженерных сооружений технического назначения, необходимых для эксплуатации самих объектов культурного наследия.</w:t>
      </w:r>
    </w:p>
    <w:p>
      <w:pPr>
        <w:pStyle w:val="ConsPlusNormal2"/>
        <w:ind w:left="0" w:right="0" w:firstLine="540"/>
        <w:rPr>
          <w:rFonts w:cs="Arial"/>
          <w:sz w:val="24"/>
          <w:szCs w:val="24"/>
        </w:rPr>
      </w:pPr>
      <w:r>
        <w:rPr>
          <w:rFonts w:cs="Arial"/>
          <w:sz w:val="24"/>
          <w:szCs w:val="24"/>
        </w:rPr>
        <w:t>Градостроительная деятельность, не связанная с нуждами объектов историко-культурного наследия, на территориях объектов культурного наследия запрещена.</w:t>
      </w:r>
    </w:p>
    <w:p>
      <w:pPr>
        <w:pStyle w:val="ConsPlusNormal2"/>
        <w:ind w:left="0" w:right="0" w:firstLine="540"/>
        <w:rPr>
          <w:rFonts w:cs="Arial"/>
          <w:sz w:val="24"/>
          <w:szCs w:val="24"/>
        </w:rPr>
      </w:pPr>
      <w:r>
        <w:rPr>
          <w:rFonts w:cs="Arial"/>
          <w:sz w:val="24"/>
          <w:szCs w:val="24"/>
        </w:rPr>
        <w:t>Обеспечение сохранности объектов культурного наследия (памятников истории и культуры) и использование их земель осуществляются в соответствии с требованиями раздела 17 части 1 "Охрана объектов культурного наследия (памятников истории и культуры)" настоящих Нормативов.</w:t>
      </w:r>
    </w:p>
    <w:p>
      <w:pPr>
        <w:pStyle w:val="ConsPlusNormal2"/>
        <w:tabs>
          <w:tab w:val="left" w:pos="851" w:leader="none"/>
        </w:tabs>
        <w:suppressAutoHyphens w:val="false"/>
        <w:rPr>
          <w:rFonts w:cs="Arial"/>
          <w:sz w:val="24"/>
          <w:szCs w:val="24"/>
        </w:rPr>
      </w:pPr>
      <w:r>
        <w:rPr>
          <w:rFonts w:cs="Arial"/>
          <w:sz w:val="24"/>
          <w:szCs w:val="24"/>
        </w:rPr>
        <w:t>5.10.5.3.Регулирование деятельности на землях военных и гражданских захоронений осуществляется в соответствии с требованиями раздела  "Зоны специального назначения" настоящих Нормативов.</w:t>
      </w:r>
    </w:p>
    <w:p>
      <w:pPr>
        <w:pStyle w:val="ConsPlusNormal2"/>
        <w:tabs>
          <w:tab w:val="left" w:pos="851" w:leader="none"/>
        </w:tabs>
        <w:suppressAutoHyphens w:val="false"/>
        <w:rPr>
          <w:rFonts w:cs="Arial"/>
          <w:sz w:val="24"/>
          <w:szCs w:val="24"/>
        </w:rPr>
      </w:pPr>
      <w:r>
        <w:rPr>
          <w:rFonts w:cs="Arial"/>
          <w:sz w:val="24"/>
          <w:szCs w:val="24"/>
        </w:rPr>
        <w:t>5.10.5.4.Требование об установлении зон охраны объекта культурного наследия к выявленному объекту культурного наследия не предъявляется.</w:t>
      </w:r>
    </w:p>
    <w:p>
      <w:pPr>
        <w:pStyle w:val="ConsPlusNormal2"/>
        <w:tabs>
          <w:tab w:val="left" w:pos="851" w:leader="none"/>
        </w:tabs>
        <w:suppressAutoHyphens w:val="false"/>
        <w:rPr>
          <w:rFonts w:cs="Arial"/>
          <w:sz w:val="24"/>
          <w:szCs w:val="24"/>
        </w:rPr>
      </w:pPr>
      <w:r>
        <w:rPr>
          <w:rFonts w:cs="Arial"/>
          <w:sz w:val="24"/>
          <w:szCs w:val="24"/>
        </w:rPr>
        <w:t>5.10.5.5.Необходимый состав зон охраны объекта культурного наследия определяется проектом зон охраны объекта культурного наследия.</w:t>
      </w:r>
    </w:p>
    <w:p>
      <w:pPr>
        <w:pStyle w:val="ConsPlusNormal2"/>
        <w:tabs>
          <w:tab w:val="left" w:pos="851" w:leader="none"/>
        </w:tabs>
        <w:suppressAutoHyphens w:val="false"/>
        <w:rPr>
          <w:rFonts w:cs="Arial"/>
          <w:sz w:val="24"/>
          <w:szCs w:val="24"/>
        </w:rPr>
      </w:pPr>
      <w:r>
        <w:rPr>
          <w:rFonts w:cs="Arial"/>
          <w:sz w:val="24"/>
          <w:szCs w:val="24"/>
        </w:rPr>
        <w:t>5.10.5.6.В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охранной зоны,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w:t>
      </w:r>
    </w:p>
    <w:p>
      <w:pPr>
        <w:pStyle w:val="ConsPlusNormal2"/>
        <w:tabs>
          <w:tab w:val="left" w:pos="851" w:leader="none"/>
        </w:tabs>
        <w:suppressAutoHyphens w:val="false"/>
        <w:rPr>
          <w:rFonts w:cs="Arial"/>
          <w:sz w:val="24"/>
          <w:szCs w:val="24"/>
        </w:rPr>
      </w:pPr>
      <w:r>
        <w:rPr>
          <w:rFonts w:cs="Arial"/>
          <w:sz w:val="24"/>
          <w:szCs w:val="24"/>
        </w:rPr>
        <w:t>5.10.5.7.Состав объединенной зоны охраны объектов культурного наследия определяется проектом объединенной зоны охраны объектов культурного наследия.</w:t>
      </w:r>
    </w:p>
    <w:p>
      <w:pPr>
        <w:pStyle w:val="ConsPlusNormal2"/>
        <w:tabs>
          <w:tab w:val="left" w:pos="851" w:leader="none"/>
        </w:tabs>
        <w:suppressAutoHyphens w:val="false"/>
        <w:rPr>
          <w:rFonts w:cs="Arial"/>
          <w:sz w:val="24"/>
          <w:szCs w:val="24"/>
        </w:rPr>
      </w:pPr>
      <w:r>
        <w:rPr>
          <w:rFonts w:cs="Arial"/>
          <w:sz w:val="24"/>
          <w:szCs w:val="24"/>
        </w:rPr>
        <w:t>5.10.5.8.Границы зон охраны объектов культурного наследия, в том числе границы объединенной зоны охраны объектов культурного наследия (за исключением границ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уполномоченным органом государственной власти Нижегородской области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Нижегородской области.</w:t>
      </w:r>
    </w:p>
    <w:p>
      <w:pPr>
        <w:pStyle w:val="ConsPlusNormal2"/>
        <w:tabs>
          <w:tab w:val="left" w:pos="851" w:leader="none"/>
        </w:tabs>
        <w:suppressAutoHyphens w:val="false"/>
        <w:rPr>
          <w:rFonts w:cs="Arial"/>
          <w:sz w:val="24"/>
          <w:szCs w:val="24"/>
        </w:rPr>
      </w:pPr>
      <w:r>
        <w:rPr>
          <w:rFonts w:cs="Arial"/>
          <w:sz w:val="24"/>
          <w:szCs w:val="24"/>
        </w:rPr>
        <w:t>5.10.5.9.Установление на местности границ зон охраны объекта культурного наследия, объединенной зоны охраны объектов культурного наследия, требования к режимам использования земель и общие принципы установления требований к градостроительным регламентам в границах территорий данных зон, осуществляется в порядке, установленном Постановлением Правительства Российской Федерации.</w:t>
      </w:r>
    </w:p>
    <w:p>
      <w:pPr>
        <w:pStyle w:val="ConsPlusNormal2"/>
        <w:tabs>
          <w:tab w:val="left" w:pos="851" w:leader="none"/>
        </w:tabs>
        <w:suppressAutoHyphens w:val="false"/>
        <w:rPr>
          <w:rFonts w:cs="Arial"/>
          <w:sz w:val="24"/>
          <w:szCs w:val="24"/>
        </w:rPr>
      </w:pPr>
      <w:r>
        <w:rPr>
          <w:rFonts w:cs="Arial"/>
          <w:sz w:val="24"/>
          <w:szCs w:val="24"/>
        </w:rPr>
        <w:t>5.10.5.10В 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pPr>
        <w:pStyle w:val="ConsPlusNormal2"/>
        <w:tabs>
          <w:tab w:val="left" w:pos="851" w:leader="none"/>
        </w:tabs>
        <w:suppressAutoHyphens w:val="false"/>
        <w:rPr>
          <w:rFonts w:cs="Arial"/>
          <w:sz w:val="24"/>
          <w:szCs w:val="24"/>
        </w:rPr>
      </w:pPr>
      <w:r>
        <w:rPr>
          <w:rFonts w:cs="Arial"/>
          <w:sz w:val="24"/>
          <w:szCs w:val="24"/>
        </w:rPr>
        <w:t>5.10.5.11.На территории Кушнурского сельсовета объекты культурного наследия не зарегистрированы.</w:t>
      </w:r>
    </w:p>
    <w:p>
      <w:pPr>
        <w:pStyle w:val="ConsPlusNormal2"/>
        <w:tabs>
          <w:tab w:val="left" w:pos="851" w:leader="none"/>
        </w:tabs>
        <w:suppressAutoHyphens w:val="false"/>
        <w:rPr>
          <w:rFonts w:cs="Arial"/>
          <w:sz w:val="24"/>
          <w:szCs w:val="24"/>
        </w:rPr>
      </w:pPr>
      <w:r>
        <w:rPr>
          <w:rFonts w:cs="Arial"/>
          <w:sz w:val="24"/>
          <w:szCs w:val="24"/>
        </w:rPr>
      </w:r>
    </w:p>
    <w:p>
      <w:pPr>
        <w:pStyle w:val="Style117"/>
        <w:ind w:left="720" w:right="0" w:hanging="0"/>
        <w:rPr>
          <w:rFonts w:ascii="Arial" w:hAnsi="Arial" w:cs="Arial"/>
        </w:rPr>
      </w:pPr>
      <w:bookmarkStart w:id="100" w:name="__RefHeading___Toc494965538"/>
      <w:bookmarkEnd w:id="100"/>
      <w:r>
        <w:rPr>
          <w:rFonts w:cs="Arial" w:ascii="Arial" w:hAnsi="Arial"/>
        </w:rPr>
        <w:t>6.Обоснование расчетных показателей объектов, предназначенных для защиты населения и территории поселения от чрезвычайных ситуаций природного и техногенного характера.</w:t>
      </w:r>
    </w:p>
    <w:p>
      <w:pPr>
        <w:pStyle w:val="Default"/>
        <w:tabs>
          <w:tab w:val="left" w:pos="851" w:leader="none"/>
        </w:tabs>
        <w:jc w:val="both"/>
        <w:rPr/>
      </w:pPr>
      <w:r>
        <w:rPr>
          <w:rFonts w:eastAsia="Arial" w:cs="Arial" w:ascii="Arial" w:hAnsi="Arial"/>
          <w:color w:val="00000A"/>
          <w:lang w:eastAsia="ar-SA"/>
        </w:rPr>
        <w:t xml:space="preserve">           </w:t>
      </w:r>
      <w:r>
        <w:rPr>
          <w:rFonts w:cs="Arial" w:ascii="Arial" w:hAnsi="Arial"/>
          <w:color w:val="00000A"/>
          <w:lang w:eastAsia="ar-SA"/>
        </w:rPr>
        <w:t xml:space="preserve">6.1.Защита населения и территорий от воздействия чрезвычайных ситуаций природного и техногенного характера представляет собой совокупность мероприятий направленных на обеспечение защиты территории и населения сельского поселения от опасностей при возникновении чрезвычайных ситуаций природного и техногенного характера. </w:t>
      </w:r>
    </w:p>
    <w:p>
      <w:pPr>
        <w:pStyle w:val="Default"/>
        <w:tabs>
          <w:tab w:val="left" w:pos="851" w:leader="none"/>
        </w:tabs>
        <w:jc w:val="both"/>
        <w:rPr/>
      </w:pPr>
      <w:r>
        <w:rPr>
          <w:rFonts w:eastAsia="Arial" w:cs="Arial" w:ascii="Arial" w:hAnsi="Arial"/>
          <w:color w:val="00000A"/>
          <w:lang w:eastAsia="ar-SA"/>
        </w:rPr>
        <w:t xml:space="preserve">          </w:t>
      </w:r>
      <w:r>
        <w:rPr>
          <w:rFonts w:cs="Arial" w:ascii="Arial" w:hAnsi="Arial"/>
          <w:color w:val="00000A"/>
          <w:lang w:eastAsia="ar-SA"/>
        </w:rPr>
        <w:t xml:space="preserve">6.2.Мероприятия по защите населения и территорий от воздействия чрезвычайных ситуаций природного и техногенного характера разрабатываются органами местного самоуправления в соответствии с требованиями Федерального закона от 21.12.1998 № 68-ФЗ «О защите населения и территорий от чрезвычайных ситуаций природного и техногенного характера» с учетом требований ГОСТ Р 22.0.07-95 «Безопасность в чрезвычайных ситуациях. Источники техногенных чрезвычайных ситуаций. Классификация и номенклатура поражающих факторов и их параметров». </w:t>
      </w:r>
    </w:p>
    <w:p>
      <w:pPr>
        <w:pStyle w:val="Default"/>
        <w:tabs>
          <w:tab w:val="left" w:pos="851" w:leader="none"/>
        </w:tabs>
        <w:jc w:val="both"/>
        <w:rPr/>
      </w:pPr>
      <w:r>
        <w:rPr>
          <w:rFonts w:eastAsia="Arial" w:cs="Arial" w:ascii="Arial" w:hAnsi="Arial"/>
          <w:color w:val="00000A"/>
          <w:lang w:eastAsia="ar-SA"/>
        </w:rPr>
        <w:t xml:space="preserve">        </w:t>
      </w:r>
      <w:r>
        <w:rPr>
          <w:rFonts w:cs="Arial" w:ascii="Arial" w:hAnsi="Arial"/>
          <w:color w:val="00000A"/>
          <w:lang w:eastAsia="ar-SA"/>
        </w:rPr>
        <w:t xml:space="preserve">6.3.Территории сельского поселения, расположенные на прибрежных участках, должны быть защищены от затопления паводковыми водами, ветровым нагоном воды; от подтопления грунтовыми водами - подсыпкой (намывом) или обвалованием. Отметку бровки подсыпанной территории следует принимать не менее чем на 0,5 метра выше расчетного горизонта высоких вод с учетом высоты волны при ветровом нагоне. Превышение гребня дамбы обвалования над расчетным уровнем следует устанавливать в зависимости от класса сооружений согласно приложению 2 СП 104.13330.2011 «Инженерная защита территории от затопления и подтопления» и СП 58.13330.2012 «Гидротехнические сооружения. Основные положения». </w:t>
      </w:r>
    </w:p>
    <w:p>
      <w:pPr>
        <w:pStyle w:val="Default"/>
        <w:tabs>
          <w:tab w:val="left" w:pos="851" w:leader="none"/>
        </w:tabs>
        <w:jc w:val="both"/>
        <w:rPr/>
      </w:pPr>
      <w:r>
        <w:rPr>
          <w:rFonts w:eastAsia="Arial" w:cs="Arial" w:ascii="Arial" w:hAnsi="Arial"/>
          <w:color w:val="00000A"/>
          <w:lang w:eastAsia="ar-SA"/>
        </w:rPr>
        <w:t xml:space="preserve">         </w:t>
      </w:r>
      <w:r>
        <w:rPr>
          <w:rFonts w:cs="Arial" w:ascii="Arial" w:hAnsi="Arial"/>
          <w:color w:val="00000A"/>
          <w:lang w:eastAsia="ar-SA"/>
        </w:rPr>
        <w:t>6.4.За расчетный горизонт высоких вод следует принимать отметку наивысшего уровня воды повторяемостью: один раз в 100 лет - для территорий, застроенных или подлежащих застройке жилыми и общественными зданиями; один раз в 10 лет - для территорий парков и плоскостных спортивных сооружений.</w:t>
      </w:r>
    </w:p>
    <w:p>
      <w:pPr>
        <w:pStyle w:val="Default"/>
        <w:tabs>
          <w:tab w:val="left" w:pos="851" w:leader="none"/>
        </w:tabs>
        <w:jc w:val="both"/>
        <w:rPr/>
      </w:pPr>
      <w:r>
        <w:rPr>
          <w:rFonts w:eastAsia="Arial" w:cs="Arial" w:ascii="Arial" w:hAnsi="Arial"/>
          <w:color w:val="00000A"/>
          <w:lang w:eastAsia="ar-SA"/>
        </w:rPr>
        <w:t xml:space="preserve">          </w:t>
      </w:r>
      <w:r>
        <w:rPr>
          <w:rFonts w:cs="Arial" w:ascii="Arial" w:hAnsi="Arial"/>
          <w:color w:val="00000A"/>
          <w:lang w:eastAsia="ar-SA"/>
        </w:rPr>
        <w:t xml:space="preserve">6.5.Выбор вида берегозащитных сооружений и мероприятий или их комплекса следует производить в зависимости от назначения и режима использования защищаемого участка берега с учетом в необходимых случаях требований водопользования. </w:t>
      </w:r>
    </w:p>
    <w:p>
      <w:pPr>
        <w:pStyle w:val="Default"/>
        <w:tabs>
          <w:tab w:val="left" w:pos="851" w:leader="none"/>
        </w:tabs>
        <w:jc w:val="both"/>
        <w:rPr/>
      </w:pPr>
      <w:r>
        <w:rPr>
          <w:rFonts w:eastAsia="Arial" w:cs="Arial" w:ascii="Arial" w:hAnsi="Arial"/>
          <w:color w:val="00000A"/>
          <w:lang w:eastAsia="ar-SA"/>
        </w:rPr>
        <w:t xml:space="preserve">           </w:t>
      </w:r>
      <w:r>
        <w:rPr>
          <w:rFonts w:cs="Arial" w:ascii="Arial" w:hAnsi="Arial"/>
          <w:color w:val="00000A"/>
          <w:lang w:eastAsia="ar-SA"/>
        </w:rPr>
        <w:t>6.6.Противооползневые и противообвальные сооружения проектируются в соответствии с требованиями СП 116.13330.2012 «Инженерная защита территорий, зданий и сооружений от опасных геологических процессов. Основные положения».</w:t>
      </w:r>
    </w:p>
    <w:p>
      <w:pPr>
        <w:pStyle w:val="Style117"/>
        <w:ind w:left="360" w:right="0" w:hanging="0"/>
        <w:rPr>
          <w:rFonts w:ascii="Arial" w:hAnsi="Arial" w:cs="Arial"/>
        </w:rPr>
      </w:pPr>
      <w:bookmarkStart w:id="101" w:name="__RefHeading___Toc494965539"/>
      <w:bookmarkStart w:id="102" w:name="__RefHeading___Toc494965539"/>
      <w:r>
        <w:rPr>
          <w:rFonts w:cs="Arial" w:ascii="Arial" w:hAnsi="Arial"/>
        </w:rPr>
      </w:r>
    </w:p>
    <w:p>
      <w:pPr>
        <w:pStyle w:val="Style117"/>
        <w:ind w:left="360" w:right="0" w:hanging="0"/>
        <w:rPr/>
      </w:pPr>
      <w:bookmarkStart w:id="103" w:name="__RefHeading___Toc494965539"/>
      <w:r>
        <w:rPr>
          <w:rFonts w:cs="Arial" w:ascii="Arial" w:hAnsi="Arial"/>
        </w:rPr>
        <w:t>7.Обоснование расчетных показателей объектов, предназначенных для обеспечения первичных мер пожарной безопасности.</w:t>
      </w:r>
      <w:bookmarkEnd w:id="103"/>
      <w:r>
        <w:rPr>
          <w:rFonts w:cs="Arial" w:ascii="Arial" w:hAnsi="Arial"/>
        </w:rPr>
        <w:t xml:space="preserve"> </w:t>
      </w:r>
    </w:p>
    <w:p>
      <w:pPr>
        <w:pStyle w:val="Default"/>
        <w:tabs>
          <w:tab w:val="left" w:pos="851" w:leader="none"/>
        </w:tabs>
        <w:jc w:val="both"/>
        <w:rPr/>
      </w:pPr>
      <w:r>
        <w:rPr>
          <w:rFonts w:eastAsia="Arial" w:cs="Arial" w:ascii="Arial" w:hAnsi="Arial"/>
        </w:rPr>
        <w:t xml:space="preserve">           </w:t>
      </w:r>
      <w:r>
        <w:rPr>
          <w:rFonts w:cs="Arial" w:ascii="Arial" w:hAnsi="Arial"/>
        </w:rPr>
        <w:t xml:space="preserve">7.1.Параметры расчёта местных нормативов обеспечения первичных мер пожарной безопасности в целях осуществления полномочий органов местного самоуправления по обеспечению первичных мер пожарной безопасности поселения определяются в соответствии с требованиями Федерального закона от 22.07.2008 № 123-ФЗ «Технический регламент о требованиях пожарной безопасности», Федерального закона от 21.12.1994 № 69–ФЗ «О пожарной безопасности», Федерального закона от 06.10.2003 № 131-ФЗ «Об общих принципах местного самоуправления в Российской Федерации». </w:t>
      </w:r>
    </w:p>
    <w:p>
      <w:pPr>
        <w:pStyle w:val="Default"/>
        <w:tabs>
          <w:tab w:val="left" w:pos="851" w:leader="none"/>
        </w:tabs>
        <w:jc w:val="both"/>
        <w:rPr/>
      </w:pPr>
      <w:r>
        <w:rPr>
          <w:rFonts w:eastAsia="Arial" w:cs="Arial" w:ascii="Arial" w:hAnsi="Arial"/>
        </w:rPr>
        <w:t xml:space="preserve">         </w:t>
      </w:r>
      <w:r>
        <w:rPr>
          <w:rFonts w:cs="Arial" w:ascii="Arial" w:hAnsi="Arial"/>
        </w:rPr>
        <w:t xml:space="preserve">7.2.Обоснование расчета требуемого количества пожарных депо. Согласно требованиям НПБ 101-95, средняя скорость движения пожарного автотранспорта – 40 км/ч, согласно ч.1. ст.76 Федерального закона от 22.07.2008 № 123-ФЗ "Технический регламент о требованиях пожарной безопасности" – время прибытия первого подразделения к месту вызова в сельских поселениях – 20 минут; соответственно радиус обслуживания пожарного депо для сельского поселения: (40/60) • 20 • 1,25 = 16,6 км. </w:t>
      </w:r>
    </w:p>
    <w:p>
      <w:pPr>
        <w:pStyle w:val="Default"/>
        <w:tabs>
          <w:tab w:val="left" w:pos="851" w:leader="none"/>
        </w:tabs>
        <w:jc w:val="both"/>
        <w:rPr/>
      </w:pPr>
      <w:r>
        <w:rPr>
          <w:rFonts w:eastAsia="Arial" w:cs="Arial" w:ascii="Arial" w:hAnsi="Arial"/>
        </w:rPr>
        <w:t xml:space="preserve">          </w:t>
      </w:r>
      <w:r>
        <w:rPr>
          <w:rFonts w:cs="Arial" w:ascii="Arial" w:hAnsi="Arial"/>
        </w:rPr>
        <w:t xml:space="preserve">7.3.В сельском поселении для тушения пожаров допускается использовать имеющие естественные водоемы при устройстве подъездов к ним. Общую вместимость водоемов необходимо принимать из расчета не менее 3000 м3 воды на 1 км2 территории сельского поселения. </w:t>
      </w:r>
    </w:p>
    <w:p>
      <w:pPr>
        <w:pStyle w:val="Default"/>
        <w:tabs>
          <w:tab w:val="left" w:pos="851" w:leader="none"/>
        </w:tabs>
        <w:ind w:left="567" w:right="0" w:hanging="567"/>
        <w:rPr/>
      </w:pPr>
      <w:r>
        <w:rPr>
          <w:rFonts w:eastAsia="Arial" w:cs="Arial" w:ascii="Arial" w:hAnsi="Arial"/>
        </w:rPr>
        <w:t xml:space="preserve">         </w:t>
      </w:r>
      <w:r>
        <w:rPr>
          <w:rFonts w:cs="Arial" w:ascii="Arial" w:hAnsi="Arial"/>
        </w:rPr>
        <w:t xml:space="preserve">На территории сельского поселения через каждые 500 м береговой полосы водоемов следует предусматривать устройство пожарных подъездов к берегу водоема, обеспечивающих забор воды в любое время года не менее чем тремя автомобилями одновременно. </w:t>
      </w:r>
    </w:p>
    <w:p>
      <w:pPr>
        <w:pStyle w:val="Default"/>
        <w:tabs>
          <w:tab w:val="left" w:pos="851" w:leader="none"/>
        </w:tabs>
        <w:jc w:val="both"/>
        <w:rPr/>
      </w:pPr>
      <w:r>
        <w:rPr>
          <w:rFonts w:eastAsia="Arial" w:cs="Arial" w:ascii="Arial" w:hAnsi="Arial"/>
        </w:rPr>
        <w:t xml:space="preserve">         </w:t>
      </w:r>
      <w:r>
        <w:rPr>
          <w:rFonts w:cs="Arial" w:ascii="Arial" w:hAnsi="Arial"/>
        </w:rPr>
        <w:t xml:space="preserve">7.4.Для определения количества объектов пожарной охраны и типа пожарных депо следует использовать НПБ 101-95 "Нормы проектирования объектов пожарной охраны" (утв. заместителем Главного Государственного инспектора РФ пожарному надзору, введены в действие приказом ГУГПС МВД РФ от 30 декабря 1994 г. N 36 Приложение 7, обязательное). </w:t>
      </w:r>
    </w:p>
    <w:p>
      <w:pPr>
        <w:pStyle w:val="Style117"/>
        <w:ind w:left="360" w:right="0" w:hanging="0"/>
        <w:rPr>
          <w:rFonts w:ascii="Arial" w:hAnsi="Arial" w:cs="Arial"/>
        </w:rPr>
      </w:pPr>
      <w:r>
        <w:rPr>
          <w:rFonts w:cs="Arial" w:ascii="Arial" w:hAnsi="Arial"/>
        </w:rPr>
      </w:r>
    </w:p>
    <w:p>
      <w:pPr>
        <w:pStyle w:val="Default"/>
        <w:tabs>
          <w:tab w:val="left" w:pos="851" w:leader="none"/>
        </w:tabs>
        <w:jc w:val="center"/>
        <w:rPr>
          <w:rFonts w:ascii="Arial" w:hAnsi="Arial" w:cs="Arial"/>
          <w:b/>
          <w:b/>
        </w:rPr>
      </w:pPr>
      <w:r>
        <w:rPr>
          <w:rFonts w:cs="Arial" w:ascii="Arial" w:hAnsi="Arial"/>
          <w:b/>
        </w:rPr>
      </w:r>
    </w:p>
    <w:p>
      <w:pPr>
        <w:pStyle w:val="Default"/>
        <w:tabs>
          <w:tab w:val="left" w:pos="851" w:leader="none"/>
        </w:tabs>
        <w:jc w:val="center"/>
        <w:rPr>
          <w:rFonts w:ascii="Arial" w:hAnsi="Arial" w:cs="Arial"/>
          <w:b/>
          <w:b/>
        </w:rPr>
      </w:pPr>
      <w:r>
        <w:rPr>
          <w:rFonts w:cs="Arial" w:ascii="Arial" w:hAnsi="Arial"/>
          <w:b/>
        </w:rPr>
      </w:r>
    </w:p>
    <w:p>
      <w:pPr>
        <w:pStyle w:val="Default"/>
        <w:tabs>
          <w:tab w:val="left" w:pos="851" w:leader="none"/>
        </w:tabs>
        <w:jc w:val="center"/>
        <w:rPr>
          <w:rFonts w:ascii="Arial" w:hAnsi="Arial" w:cs="Arial"/>
          <w:b/>
          <w:b/>
        </w:rPr>
      </w:pPr>
      <w:r>
        <w:rPr>
          <w:rFonts w:cs="Arial" w:ascii="Arial" w:hAnsi="Arial"/>
          <w:b/>
        </w:rPr>
      </w:r>
    </w:p>
    <w:p>
      <w:pPr>
        <w:pStyle w:val="Default"/>
        <w:tabs>
          <w:tab w:val="left" w:pos="851" w:leader="none"/>
        </w:tabs>
        <w:jc w:val="center"/>
        <w:rPr>
          <w:rFonts w:ascii="Arial" w:hAnsi="Arial" w:cs="Arial"/>
          <w:b/>
          <w:b/>
        </w:rPr>
      </w:pPr>
      <w:r>
        <w:rPr>
          <w:rFonts w:cs="Arial" w:ascii="Arial" w:hAnsi="Arial"/>
          <w:b/>
        </w:rPr>
        <w:t>8 Обоснование расчетных показателей объектов, предназначенных</w:t>
      </w:r>
    </w:p>
    <w:p>
      <w:pPr>
        <w:pStyle w:val="Default"/>
        <w:tabs>
          <w:tab w:val="left" w:pos="851" w:leader="none"/>
        </w:tabs>
        <w:jc w:val="center"/>
        <w:rPr/>
      </w:pPr>
      <w:r>
        <w:rPr>
          <w:rFonts w:eastAsia="Arial" w:cs="Arial" w:ascii="Arial" w:hAnsi="Arial"/>
          <w:b/>
        </w:rPr>
        <w:t xml:space="preserve"> </w:t>
      </w:r>
      <w:r>
        <w:rPr>
          <w:rFonts w:cs="Arial" w:ascii="Arial" w:hAnsi="Arial"/>
          <w:b/>
        </w:rPr>
        <w:t>для обеспечения мероприятий по охране окружающей среды</w:t>
      </w:r>
    </w:p>
    <w:p>
      <w:pPr>
        <w:pStyle w:val="Default"/>
        <w:tabs>
          <w:tab w:val="left" w:pos="851" w:leader="none"/>
        </w:tabs>
        <w:jc w:val="both"/>
        <w:rPr/>
      </w:pPr>
      <w:r>
        <w:rPr>
          <w:rFonts w:eastAsia="Arial" w:cs="Arial" w:ascii="Arial" w:hAnsi="Arial"/>
        </w:rPr>
        <w:t xml:space="preserve">            </w:t>
      </w:r>
      <w:r>
        <w:rPr>
          <w:rFonts w:cs="Arial" w:ascii="Arial" w:hAnsi="Arial"/>
        </w:rPr>
        <w:t xml:space="preserve">8.1.При планировке и застройке сельского поселения следует выполнять требования по обеспечению экологической безопасности и охраны здоровья населения, предусматривать мероприятия по охране природы, рациональному использованию и воспроизводству природных ресурсов, оздоровлению окружающей среды. На территории поселения необходимо обеспечивать достижение нормативных требований и стандартов, определяющих качество атмосферного воздуха, воды, почв, а также допустимых уровней шума, вибрации, электромагнитных излучений, радиации и других факторов природного и техногенного происхождения. </w:t>
      </w:r>
    </w:p>
    <w:p>
      <w:pPr>
        <w:pStyle w:val="Default"/>
        <w:tabs>
          <w:tab w:val="left" w:pos="851" w:leader="none"/>
        </w:tabs>
        <w:jc w:val="both"/>
        <w:rPr/>
      </w:pPr>
      <w:r>
        <w:rPr>
          <w:rFonts w:eastAsia="Arial" w:cs="Arial" w:ascii="Arial" w:hAnsi="Arial"/>
        </w:rPr>
        <w:t xml:space="preserve">          </w:t>
      </w:r>
      <w:r>
        <w:rPr>
          <w:rFonts w:cs="Arial" w:ascii="Arial" w:hAnsi="Arial"/>
        </w:rPr>
        <w:t xml:space="preserve">8.2.В целях обеспечения мероприятий по охране окружающей среды сельского поселения необходимо руководствоваться Водным кодексом РФ, Земельным кодексом РФ и Лесным кодексом РФ, Федеральным законом от 10.01.2002 № 7-ФЗ «Об охране окружающей среды», Федеральным законом от 04.05.1999 № 96-ФЗ «Об охране атмосферного воздуха», Федеральным законом от 30.03.1999 № 52-ФЗ «О санитарно-эпидемиологическом благополучии населения», Федеральным законом от 24.06.1998 № 89-ФЗ «Об отходах производства и потребления», Федеральным законом от 14.03.1995 № 33-ФЗ «Об особо охраняемых природных территориях», Федеральным законом от 23.11.1995 № 174-ФЗ «Об экологической экспертизе», законом Российской Федерации от 21.02.1992 № 2395-1 «О недрах», Инструкцией по экологическому обоснованию хозяйственной и иной деятельности, утвержденной приказом Министерства охраны окружающей среды и природных ресурсов Российской Федерации от 29.12.1995 № 539, согласно которым одним из основных направлений градостроительной деятельности является рациональное землепользование, охрана природы, ресурсосбережение, защита территорий от опасных природных явлений и техногенных процессов и обеспечение благоприятных условий жизнедеятельности человека. </w:t>
      </w:r>
    </w:p>
    <w:p>
      <w:pPr>
        <w:pStyle w:val="Style117"/>
        <w:ind w:left="851" w:right="0" w:hanging="0"/>
        <w:rPr>
          <w:rFonts w:ascii="Arial" w:hAnsi="Arial" w:cs="Arial"/>
        </w:rPr>
      </w:pPr>
      <w:r>
        <w:rPr>
          <w:rFonts w:cs="Arial" w:ascii="Arial" w:hAnsi="Arial"/>
        </w:rPr>
      </w:r>
    </w:p>
    <w:p>
      <w:pPr>
        <w:pStyle w:val="Style117"/>
        <w:ind w:left="851" w:right="0" w:hanging="0"/>
        <w:rPr>
          <w:rFonts w:ascii="Arial" w:hAnsi="Arial" w:cs="Arial"/>
        </w:rPr>
      </w:pPr>
      <w:r>
        <w:rPr>
          <w:rFonts w:cs="Arial" w:ascii="Arial" w:hAnsi="Arial"/>
        </w:rPr>
        <w:t>9.Обеспечение доступности объектов социальной инфраструктуры для инвалидов и других маломобильных групп населения</w:t>
      </w:r>
    </w:p>
    <w:p>
      <w:pPr>
        <w:pStyle w:val="ConsPlusNormal2"/>
        <w:tabs>
          <w:tab w:val="left" w:pos="851" w:leader="none"/>
        </w:tabs>
        <w:suppressAutoHyphens w:val="false"/>
        <w:rPr>
          <w:rFonts w:cs="Arial"/>
          <w:sz w:val="24"/>
          <w:szCs w:val="24"/>
        </w:rPr>
      </w:pPr>
      <w:r>
        <w:rPr>
          <w:rFonts w:cs="Arial"/>
          <w:sz w:val="24"/>
          <w:szCs w:val="24"/>
        </w:rPr>
        <w:t>9.1.При планировке и застройке территории Кушнурского сельсовета необходимо обеспечивать доступность объектов социальной инфраструктуры для инвалидов и других маломобильных групп населения.</w:t>
      </w:r>
    </w:p>
    <w:p>
      <w:pPr>
        <w:pStyle w:val="ConsPlusNormal2"/>
        <w:tabs>
          <w:tab w:val="left" w:pos="851" w:leader="none"/>
        </w:tabs>
        <w:suppressAutoHyphens w:val="false"/>
        <w:rPr>
          <w:rFonts w:cs="Arial"/>
          <w:sz w:val="24"/>
          <w:szCs w:val="24"/>
        </w:rPr>
      </w:pPr>
      <w:r>
        <w:rPr>
          <w:rFonts w:cs="Arial"/>
          <w:sz w:val="24"/>
          <w:szCs w:val="24"/>
        </w:rPr>
        <w:t>9.2.При проектировании и реконструкции общественных, жилых и промышленных зданий следует предусматривать для инвалидов и других маломобильных групп населения условия жизнедеятельности, равные для остальных категорий населения, в соответствии со СП 59.13330.2012, СП 35-101-2001, СП 35-102-2001, СП 31-102-99, СП 35-103-2001, СП 35-104-2001, СП 35-105-2002, СП 35-106-2003, СП 35-107-2003, СП 36-109-2005, СП 35-112-2005, СП 35-114-2006, СП 35-117-2006, ВСН-62-91*, РДС 35-201-99</w:t>
      </w:r>
    </w:p>
    <w:p>
      <w:pPr>
        <w:sectPr>
          <w:type w:val="continuous"/>
          <w:pgSz w:w="11906" w:h="16838"/>
          <w:pgMar w:left="1134" w:right="567" w:header="0" w:top="851" w:footer="709" w:bottom="851" w:gutter="0"/>
          <w:formProt w:val="false"/>
          <w:textDirection w:val="lrTb"/>
          <w:docGrid w:type="default" w:linePitch="600" w:charSpace="36864"/>
        </w:sectPr>
      </w:pPr>
    </w:p>
    <w:p>
      <w:pPr>
        <w:pStyle w:val="Normal"/>
        <w:rPr>
          <w:rFonts w:ascii="Arial" w:hAnsi="Arial" w:cs="Arial"/>
          <w:sz w:val="24"/>
          <w:szCs w:val="24"/>
        </w:rPr>
      </w:pPr>
      <w:r>
        <w:rPr>
          <w:rFonts w:cs="Arial" w:ascii="Arial" w:hAnsi="Arial"/>
          <w:sz w:val="24"/>
          <w:szCs w:val="24"/>
        </w:rPr>
      </w:r>
    </w:p>
    <w:p>
      <w:pPr>
        <w:pStyle w:val="Normal"/>
        <w:jc w:val="center"/>
        <w:rPr>
          <w:rFonts w:ascii="Arial" w:hAnsi="Arial" w:cs="Arial"/>
          <w:b/>
          <w:b/>
          <w:sz w:val="32"/>
          <w:szCs w:val="32"/>
        </w:rPr>
      </w:pPr>
      <w:r>
        <w:rPr>
          <w:rFonts w:cs="Arial" w:ascii="Arial" w:hAnsi="Arial"/>
          <w:b/>
          <w:sz w:val="32"/>
          <w:szCs w:val="32"/>
        </w:rPr>
        <w:t>Часть 3</w:t>
      </w:r>
    </w:p>
    <w:p>
      <w:pPr>
        <w:pStyle w:val="Normal"/>
        <w:spacing w:lineRule="auto" w:line="240" w:before="120" w:after="0"/>
        <w:jc w:val="center"/>
        <w:rPr>
          <w:rFonts w:ascii="Arial" w:hAnsi="Arial" w:cs="Arial"/>
          <w:b/>
          <w:b/>
          <w:sz w:val="32"/>
          <w:szCs w:val="32"/>
        </w:rPr>
      </w:pPr>
      <w:r>
        <w:rPr>
          <w:rFonts w:cs="Arial" w:ascii="Arial" w:hAnsi="Arial"/>
          <w:b/>
          <w:sz w:val="32"/>
          <w:szCs w:val="32"/>
        </w:rPr>
      </w:r>
    </w:p>
    <w:p>
      <w:pPr>
        <w:pStyle w:val="Normal"/>
        <w:spacing w:lineRule="auto" w:line="240" w:before="0" w:after="0"/>
        <w:jc w:val="center"/>
        <w:rPr>
          <w:rFonts w:ascii="Arial" w:hAnsi="Arial" w:cs="Arial"/>
          <w:b/>
          <w:b/>
          <w:bCs/>
          <w:sz w:val="32"/>
          <w:szCs w:val="32"/>
          <w:lang w:eastAsia="ru-RU"/>
        </w:rPr>
      </w:pPr>
      <w:r>
        <w:rPr>
          <w:rFonts w:cs="Arial" w:ascii="Arial" w:hAnsi="Arial"/>
          <w:b/>
          <w:bCs/>
          <w:sz w:val="32"/>
          <w:szCs w:val="32"/>
          <w:lang w:eastAsia="ru-RU"/>
        </w:rPr>
        <w:t>ПРАВИЛА И ОБЛАСТЬ ПРИМЕНЕНИЯ РАСЧЕТНЫХ ПОКАЗАТЕЛЕЙ</w:t>
      </w:r>
    </w:p>
    <w:p>
      <w:pPr>
        <w:pStyle w:val="NoSpacing"/>
        <w:ind w:left="0" w:right="0" w:firstLine="708"/>
        <w:jc w:val="center"/>
        <w:rPr>
          <w:rFonts w:ascii="Arial" w:hAnsi="Arial" w:cs="Arial"/>
          <w:sz w:val="24"/>
          <w:szCs w:val="24"/>
        </w:rPr>
      </w:pPr>
      <w:r>
        <w:rPr>
          <w:rFonts w:cs="Arial" w:ascii="Arial" w:hAnsi="Arial"/>
          <w:sz w:val="24"/>
          <w:szCs w:val="24"/>
        </w:rPr>
      </w:r>
    </w:p>
    <w:p>
      <w:pPr>
        <w:pStyle w:val="NoSpacing"/>
        <w:ind w:left="0" w:right="0" w:firstLine="709"/>
        <w:rPr>
          <w:rFonts w:ascii="Arial" w:hAnsi="Arial" w:cs="Arial"/>
          <w:sz w:val="24"/>
          <w:szCs w:val="24"/>
        </w:rPr>
      </w:pPr>
      <w:r>
        <w:rPr>
          <w:rFonts w:cs="Arial" w:ascii="Arial" w:hAnsi="Arial"/>
          <w:sz w:val="24"/>
          <w:szCs w:val="24"/>
        </w:rPr>
        <w:t>1. Местные нормативы градостроительного проектирования Кушнурского   сельсовета Шарангского муниципального района Нижегородской области являются обязательными для применения всеми субъектами градостроительной деятельности, осуществляющими свою деятельность на территории Кушнурского сельсовета Шарангского муниципального района Нижегородской области, независимо от их организационно-правовой формы.</w:t>
      </w:r>
    </w:p>
    <w:p>
      <w:pPr>
        <w:pStyle w:val="NoSpacing"/>
        <w:ind w:left="0" w:right="0" w:firstLine="708"/>
        <w:rPr>
          <w:rFonts w:ascii="Arial" w:hAnsi="Arial" w:cs="Arial"/>
          <w:sz w:val="24"/>
          <w:szCs w:val="24"/>
        </w:rPr>
      </w:pPr>
      <w:r>
        <w:rPr>
          <w:rFonts w:cs="Arial" w:ascii="Arial" w:hAnsi="Arial"/>
          <w:sz w:val="24"/>
          <w:szCs w:val="24"/>
        </w:rPr>
        <w:t>2. Нормативы представляют собой совокупность стандартов по разработке документов территориального планирования, градостроительного зонирования и документации по планировке территории, включая стандарты обеспечения безопасности и благоприятных условий жизнедеятельности человека (в том числе объектами социального и коммунально-бытового назначения, доступности таких объектов для населения, включая инвалидов, объектами инженерной инфраструктуры, благоустройства территории), предусматривающих качественные и количественные требования к размещению объектов капитального строительства, территориальных и функциональных зон в целях недопущения причинения вреда жизни и здоровью физических лиц, имуществу физических и юридических лиц, государственному и муниципальному имуществу, окружающей среде, объектам культурного наследия.</w:t>
      </w:r>
    </w:p>
    <w:p>
      <w:pPr>
        <w:pStyle w:val="NoSpacing"/>
        <w:ind w:left="0" w:right="0" w:firstLine="708"/>
        <w:rPr>
          <w:rFonts w:ascii="Arial" w:hAnsi="Arial" w:cs="Arial"/>
          <w:sz w:val="24"/>
          <w:szCs w:val="24"/>
        </w:rPr>
      </w:pPr>
      <w:r>
        <w:rPr>
          <w:rFonts w:cs="Arial" w:ascii="Arial" w:hAnsi="Arial"/>
          <w:sz w:val="24"/>
          <w:szCs w:val="24"/>
        </w:rPr>
        <w:t>3. Нормативы устанавливают совокупность расчетных показателей минимально допустимого уровня обеспеченности объектами местного значения сельсовета, относящимися к областям, указанным в пункте 1 части 5 статьи 23 Градостроительного кодекса Российской Федерации, объектами благоустройства территории, иными  объектами местного значения поселения, населения поселения, и расчетных показателей максимально допустимого уровня территориальной доступности таких объектов для населения сельсовета.</w:t>
      </w:r>
    </w:p>
    <w:p>
      <w:pPr>
        <w:pStyle w:val="NoSpacing"/>
        <w:ind w:left="0" w:right="0" w:firstLine="708"/>
        <w:rPr>
          <w:rFonts w:ascii="Arial" w:hAnsi="Arial" w:cs="Arial"/>
          <w:sz w:val="24"/>
          <w:szCs w:val="24"/>
        </w:rPr>
      </w:pPr>
      <w:r>
        <w:rPr>
          <w:rFonts w:cs="Arial" w:ascii="Arial" w:hAnsi="Arial"/>
          <w:sz w:val="24"/>
          <w:szCs w:val="24"/>
        </w:rPr>
        <w:t xml:space="preserve">Расчетные показатели минимально допустимого уровня обеспеченности объектами местного значения, предусмотренными частью 4 статьи 29.2 Градостроительного кодекса РФ, населения муниципального образования, устанавливаемые местными нормативами градостроительного проектирования, не могут быть ниже предельных значений, установленных в региональных нормативах градостроительного проектирования Нижегородской области. </w:t>
      </w:r>
    </w:p>
    <w:p>
      <w:pPr>
        <w:pStyle w:val="NoSpacing"/>
        <w:ind w:left="0" w:right="0" w:firstLine="708"/>
        <w:rPr>
          <w:rFonts w:ascii="Arial" w:hAnsi="Arial" w:cs="Arial"/>
          <w:sz w:val="24"/>
          <w:szCs w:val="24"/>
        </w:rPr>
      </w:pPr>
      <w:r>
        <w:rPr>
          <w:rFonts w:cs="Arial" w:ascii="Arial" w:hAnsi="Arial"/>
          <w:sz w:val="24"/>
          <w:szCs w:val="24"/>
        </w:rPr>
        <w:t>Расчетные показатели максимально допустимого уровня территориальной доступности объектов местного значения, предусмотренные частью 4 статьи 29.2 Градостроительного кодекса РФ, для населения муниципального образования, устанавливаемые местными нормативами градостроительного проектирования, не могут превышать предельные значения, установленные в региональных нормативах градостроительного проектирования Нижегородской области.</w:t>
      </w:r>
    </w:p>
    <w:p>
      <w:pPr>
        <w:pStyle w:val="NoSpacing"/>
        <w:ind w:left="0" w:right="0" w:firstLine="708"/>
        <w:rPr>
          <w:rFonts w:ascii="Arial" w:hAnsi="Arial" w:cs="Arial"/>
          <w:sz w:val="24"/>
          <w:szCs w:val="24"/>
        </w:rPr>
      </w:pPr>
      <w:r>
        <w:rPr>
          <w:rFonts w:cs="Arial" w:ascii="Arial" w:hAnsi="Arial"/>
          <w:sz w:val="24"/>
          <w:szCs w:val="24"/>
        </w:rPr>
        <w:t>4. В случае внесения изменений в региональные нормативы градостроительного проектирования Нижегородской области, в результате которых предельные значения расчетных показателей минимально допустимого уровня обеспеченности объектами местного значения населения поселения станут выше расчетных показателей минимально допустимого уровня обеспеченности объектами местного значения населения поселения, установленных местными нормативами градостроительного проектирования поселения, применению подлежат расчетные показатели РНГП Нижегородской области, а также показатели нормативных правовых актов Российской Федерации.</w:t>
      </w:r>
    </w:p>
    <w:p>
      <w:pPr>
        <w:pStyle w:val="NoSpacing"/>
        <w:ind w:left="0" w:right="0" w:firstLine="708"/>
        <w:rPr>
          <w:rFonts w:ascii="Arial" w:hAnsi="Arial" w:cs="Arial"/>
          <w:sz w:val="24"/>
          <w:szCs w:val="24"/>
        </w:rPr>
      </w:pPr>
      <w:r>
        <w:rPr>
          <w:rFonts w:cs="Arial" w:ascii="Arial" w:hAnsi="Arial"/>
          <w:sz w:val="24"/>
          <w:szCs w:val="24"/>
        </w:rPr>
        <w:t>5. Настоящие нормативы градостроительного проектирования действуют до тех пор, пока не внесены изменения в документы стратегического социально-экономического планирования и/или нормативные правовые акты и нормативно-технические документы, которые были использованы при подготовке нормативов. Нормативы градостроительного проектирования также нуждаются в корректировке в случае разработки ранее не существовавших документов долгосрочного стратегического социально-экономического планирования Нижегородской области, Шарангского муниципального района и Кушнурского   сельсовета Шарангского муниципального района Нижегородской области, и/или нормативных правовых актов и нормативно-технических документов.</w:t>
      </w:r>
    </w:p>
    <w:p>
      <w:pPr>
        <w:pStyle w:val="NoSpacing"/>
        <w:ind w:left="0" w:right="0" w:firstLine="708"/>
        <w:rPr>
          <w:rFonts w:ascii="Arial" w:hAnsi="Arial" w:cs="Arial"/>
          <w:sz w:val="24"/>
          <w:szCs w:val="24"/>
        </w:rPr>
      </w:pPr>
      <w:r>
        <w:rPr>
          <w:rFonts w:cs="Arial" w:ascii="Arial" w:hAnsi="Arial"/>
          <w:sz w:val="24"/>
          <w:szCs w:val="24"/>
        </w:rPr>
        <w:t>6. Область применения расчетных показателей, содержащихся в основной части Нормативов распространяется на:</w:t>
      </w:r>
    </w:p>
    <w:p>
      <w:pPr>
        <w:pStyle w:val="NoSpacing"/>
        <w:ind w:left="0" w:right="0" w:firstLine="708"/>
        <w:rPr>
          <w:rFonts w:ascii="Arial" w:hAnsi="Arial" w:cs="Arial"/>
          <w:sz w:val="24"/>
          <w:szCs w:val="24"/>
        </w:rPr>
      </w:pPr>
      <w:r>
        <w:rPr>
          <w:rFonts w:cs="Arial" w:ascii="Arial" w:hAnsi="Arial"/>
          <w:sz w:val="24"/>
          <w:szCs w:val="24"/>
        </w:rPr>
        <w:t>1) подготовку, согласование, утверждение генерального плана сельского поселения, внесение в него изменений;</w:t>
      </w:r>
    </w:p>
    <w:p>
      <w:pPr>
        <w:pStyle w:val="NoSpacing"/>
        <w:ind w:left="0" w:right="0" w:firstLine="708"/>
        <w:rPr>
          <w:rFonts w:ascii="Arial" w:hAnsi="Arial" w:cs="Arial"/>
          <w:sz w:val="24"/>
          <w:szCs w:val="24"/>
        </w:rPr>
      </w:pPr>
      <w:r>
        <w:rPr>
          <w:rFonts w:cs="Arial" w:ascii="Arial" w:hAnsi="Arial"/>
          <w:sz w:val="24"/>
          <w:szCs w:val="24"/>
        </w:rPr>
        <w:t>2) подготовку, утверждение документации по планировке территории (проектов планировки территории, проектов межевания территории);</w:t>
      </w:r>
    </w:p>
    <w:p>
      <w:pPr>
        <w:pStyle w:val="NoSpacing"/>
        <w:ind w:left="0" w:right="0" w:firstLine="708"/>
        <w:rPr>
          <w:rFonts w:ascii="Arial" w:hAnsi="Arial" w:cs="Arial"/>
          <w:sz w:val="24"/>
          <w:szCs w:val="24"/>
        </w:rPr>
      </w:pPr>
      <w:r>
        <w:rPr>
          <w:rFonts w:cs="Arial" w:ascii="Arial" w:hAnsi="Arial"/>
          <w:sz w:val="24"/>
          <w:szCs w:val="24"/>
        </w:rPr>
        <w:t>3) подготовку, согласование, утверждение правил землепользования и застройки сельского поселения, внесение в них изменений.</w:t>
      </w:r>
    </w:p>
    <w:p>
      <w:pPr>
        <w:sectPr>
          <w:type w:val="continuous"/>
          <w:pgSz w:w="11906" w:h="16838"/>
          <w:pgMar w:left="1134" w:right="567" w:header="0" w:top="851" w:footer="709" w:bottom="851" w:gutter="0"/>
          <w:formProt w:val="false"/>
          <w:textDirection w:val="lrTb"/>
          <w:docGrid w:type="default" w:linePitch="600" w:charSpace="36864"/>
        </w:sectPr>
      </w:pPr>
    </w:p>
    <w:sectPr>
      <w:type w:val="continuous"/>
      <w:pgSz w:w="11906" w:h="16838"/>
      <w:pgMar w:left="1134" w:right="567" w:header="0" w:top="851" w:footer="709" w:bottom="851"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Cambria">
    <w:charset w:val="cc"/>
    <w:family w:val="roman"/>
    <w:pitch w:val="variable"/>
  </w:font>
  <w:font w:name="Arial">
    <w:charset w:val="cc"/>
    <w:family w:val="swiss"/>
    <w:pitch w:val="variable"/>
  </w:font>
  <w:font w:name="Times New Roman">
    <w:charset w:val="cc"/>
    <w:family w:val="roman"/>
    <w:pitch w:val="variable"/>
  </w:font>
  <w:font w:name="Courier New">
    <w:charset w:val="01"/>
    <w:family w:val="modern"/>
    <w:pitch w:val="default"/>
  </w:font>
  <w:font w:name="Wingdings">
    <w:charset w:val="02"/>
    <w:family w:val="auto"/>
    <w:pitch w:val="variable"/>
  </w:font>
  <w:font w:name="Tahoma">
    <w:charset w:val="cc"/>
    <w:family w:val="roman"/>
    <w:pitch w:val="variable"/>
  </w:font>
  <w:font w:name="OpenSymbol">
    <w:altName w:val="Arial Unicode MS"/>
    <w:charset w:val="cc"/>
    <w:family w:val="roman"/>
    <w:pitch w:val="variable"/>
  </w:font>
  <w:font w:name="Courier New">
    <w:charset w:val="cc"/>
    <w:family w:val="roman"/>
    <w:pitch w:val="variable"/>
  </w:font>
  <w:font w:name="MS Mincho">
    <w:charset w:val="cc"/>
    <w:family w:val="roman"/>
    <w:pitch w:val="variable"/>
  </w:font>
  <w:font w:name="Haettenschweiler">
    <w:charset w:val="cc"/>
    <w:family w:val="roman"/>
    <w:pitch w:val="variable"/>
  </w:font>
  <w:font w:name="Verdana">
    <w:charset w:val="cc"/>
    <w:family w:val="roman"/>
    <w:pitch w:val="variable"/>
  </w:font>
  <w:font w:name="Antiqua">
    <w:charset w:val="cc"/>
    <w:family w:val="roman"/>
    <w:pitch w:val="variable"/>
  </w:font>
  <w:font w:name="Peterburg">
    <w:charset w:val="cc"/>
    <w:family w:val="roman"/>
    <w:pitch w:val="variable"/>
  </w:font>
  <w:font w:name="HelvDL">
    <w:charset w:val="cc"/>
    <w:family w:val="swiss"/>
    <w:pitch w:val="variable"/>
  </w:font>
  <w:font w:name="Arial Narrow">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51"/>
      <w:jc w:val="right"/>
      <w:rPr/>
    </w:pPr>
    <w:r>
      <w:rPr/>
      <w:fldChar w:fldCharType="begin"/>
    </w:r>
    <w:r>
      <w:instrText> PAGE </w:instrText>
    </w:r>
    <w:r>
      <w:fldChar w:fldCharType="separate"/>
    </w:r>
    <w:r>
      <w:t>162</w:t>
    </w:r>
    <w:r>
      <w:fldChar w:fldCharType="end"/>
    </w:r>
  </w:p>
  <w:p>
    <w:pPr>
      <w:pStyle w:val="Style51"/>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pStyle w:val="6"/>
      <w:numFmt w:val="none"/>
      <w:suff w:val="nothing"/>
      <w:lvlText w:val=""/>
      <w:lvlJc w:val="left"/>
      <w:pPr>
        <w:ind w:left="0" w:hanging="0"/>
      </w:pPr>
    </w:lvl>
    <w:lvl w:ilvl="6">
      <w:start w:val="1"/>
      <w:pStyle w:val="7"/>
      <w:numFmt w:val="none"/>
      <w:suff w:val="nothing"/>
      <w:lvlText w:val=""/>
      <w:lvlJc w:val="left"/>
      <w:pPr>
        <w:ind w:left="0" w:hanging="0"/>
      </w:pPr>
    </w:lvl>
    <w:lvl w:ilvl="7">
      <w:start w:val="1"/>
      <w:pStyle w:val="8"/>
      <w:numFmt w:val="none"/>
      <w:suff w:val="nothing"/>
      <w:lvlText w:val=""/>
      <w:lvlJc w:val="left"/>
      <w:pPr>
        <w:ind w:left="0" w:hanging="0"/>
      </w:pPr>
    </w:lvl>
    <w:lvl w:ilvl="8">
      <w:start w:val="1"/>
      <w:pStyle w:val="9"/>
      <w:numFmt w:val="none"/>
      <w:suff w:val="nothing"/>
      <w:lvlText w:val=""/>
      <w:lvlJc w:val="left"/>
      <w:pPr>
        <w:ind w:left="0" w:hanging="0"/>
      </w:pPr>
    </w:lvl>
  </w:abstractNum>
  <w:abstractNum w:abstractNumId="2">
    <w:lvl w:ilvl="0">
      <w:start w:val="1"/>
      <w:numFmt w:val="bullet"/>
      <w:lvlText w:val=""/>
      <w:lvlJc w:val="left"/>
      <w:pPr>
        <w:ind w:left="360" w:hanging="360"/>
      </w:pPr>
      <w:rPr>
        <w:rFonts w:ascii="Symbol" w:hAnsi="Symbol" w:cs="Symbol" w:hint="default"/>
        <w:rFonts w:cs="Symbol"/>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3">
    <w:lvl w:ilvl="0">
      <w:start w:val="1"/>
      <w:numFmt w:val="bullet"/>
      <w:lvlText w:val=""/>
      <w:lvlJc w:val="left"/>
      <w:pPr>
        <w:ind w:left="1260" w:hanging="360"/>
      </w:pPr>
      <w:rPr>
        <w:rFonts w:ascii="Symbol" w:hAnsi="Symbol" w:cs="Symbol" w:hint="default"/>
        <w:rFonts w:cs="Symbol"/>
      </w:rPr>
    </w:lvl>
    <w:lvl w:ilvl="1">
      <w:start w:val="1"/>
      <w:numFmt w:val="bullet"/>
      <w:lvlText w:val="o"/>
      <w:lvlJc w:val="left"/>
      <w:pPr>
        <w:ind w:left="1980" w:hanging="360"/>
      </w:pPr>
      <w:rPr>
        <w:rFonts w:ascii="Courier New" w:hAnsi="Courier New" w:cs="Courier New" w:hint="default"/>
        <w:rFonts w:cs="Courier New"/>
      </w:rPr>
    </w:lvl>
    <w:lvl w:ilvl="2">
      <w:start w:val="1"/>
      <w:numFmt w:val="bullet"/>
      <w:lvlText w:val=""/>
      <w:lvlJc w:val="left"/>
      <w:pPr>
        <w:ind w:left="2700" w:hanging="360"/>
      </w:pPr>
      <w:rPr>
        <w:rFonts w:ascii="Wingdings" w:hAnsi="Wingdings" w:cs="Wingdings" w:hint="default"/>
        <w:rFonts w:cs="Wingdings"/>
      </w:rPr>
    </w:lvl>
    <w:lvl w:ilvl="3">
      <w:start w:val="1"/>
      <w:numFmt w:val="bullet"/>
      <w:lvlText w:val=""/>
      <w:lvlJc w:val="left"/>
      <w:pPr>
        <w:ind w:left="3420" w:hanging="360"/>
      </w:pPr>
      <w:rPr>
        <w:rFonts w:ascii="Symbol" w:hAnsi="Symbol" w:cs="Symbol" w:hint="default"/>
        <w:rFonts w:cs="Symbol"/>
      </w:rPr>
    </w:lvl>
    <w:lvl w:ilvl="4">
      <w:start w:val="1"/>
      <w:numFmt w:val="bullet"/>
      <w:lvlText w:val="o"/>
      <w:lvlJc w:val="left"/>
      <w:pPr>
        <w:ind w:left="4140" w:hanging="360"/>
      </w:pPr>
      <w:rPr>
        <w:rFonts w:ascii="Courier New" w:hAnsi="Courier New" w:cs="Courier New" w:hint="default"/>
        <w:rFonts w:cs="Courier New"/>
      </w:rPr>
    </w:lvl>
    <w:lvl w:ilvl="5">
      <w:start w:val="1"/>
      <w:numFmt w:val="bullet"/>
      <w:lvlText w:val=""/>
      <w:lvlJc w:val="left"/>
      <w:pPr>
        <w:ind w:left="4860" w:hanging="360"/>
      </w:pPr>
      <w:rPr>
        <w:rFonts w:ascii="Wingdings" w:hAnsi="Wingdings" w:cs="Wingdings" w:hint="default"/>
        <w:rFonts w:cs="Wingdings"/>
      </w:rPr>
    </w:lvl>
    <w:lvl w:ilvl="6">
      <w:start w:val="1"/>
      <w:numFmt w:val="bullet"/>
      <w:lvlText w:val=""/>
      <w:lvlJc w:val="left"/>
      <w:pPr>
        <w:ind w:left="5580" w:hanging="360"/>
      </w:pPr>
      <w:rPr>
        <w:rFonts w:ascii="Symbol" w:hAnsi="Symbol" w:cs="Symbol" w:hint="default"/>
        <w:rFonts w:cs="Symbol"/>
      </w:rPr>
    </w:lvl>
    <w:lvl w:ilvl="7">
      <w:start w:val="1"/>
      <w:numFmt w:val="bullet"/>
      <w:lvlText w:val="o"/>
      <w:lvlJc w:val="left"/>
      <w:pPr>
        <w:ind w:left="6300" w:hanging="360"/>
      </w:pPr>
      <w:rPr>
        <w:rFonts w:ascii="Courier New" w:hAnsi="Courier New" w:cs="Courier New" w:hint="default"/>
        <w:rFonts w:cs="Courier New"/>
      </w:rPr>
    </w:lvl>
    <w:lvl w:ilvl="8">
      <w:start w:val="1"/>
      <w:numFmt w:val="bullet"/>
      <w:lvlText w:val=""/>
      <w:lvlJc w:val="left"/>
      <w:pPr>
        <w:ind w:left="7020" w:hanging="360"/>
      </w:pPr>
      <w:rPr>
        <w:rFonts w:ascii="Wingdings" w:hAnsi="Wingdings" w:cs="Wingdings" w:hint="default"/>
        <w:rFonts w:cs="Wingdings"/>
      </w:rPr>
    </w:lvl>
  </w:abstractNum>
  <w:abstractNum w:abstractNumId="4">
    <w:lvl w:ilvl="0">
      <w:start w:val="1"/>
      <w:numFmt w:val="bullet"/>
      <w:lvlText w:val=""/>
      <w:lvlJc w:val="left"/>
      <w:pPr>
        <w:ind w:left="1260" w:hanging="360"/>
      </w:pPr>
      <w:rPr>
        <w:rFonts w:ascii="Symbol" w:hAnsi="Symbol" w:cs="Symbol" w:hint="default"/>
        <w:rFonts w:cs="Symbol"/>
      </w:rPr>
    </w:lvl>
    <w:lvl w:ilvl="1">
      <w:start w:val="1"/>
      <w:numFmt w:val="bullet"/>
      <w:lvlText w:val="o"/>
      <w:lvlJc w:val="left"/>
      <w:pPr>
        <w:ind w:left="1980" w:hanging="360"/>
      </w:pPr>
      <w:rPr>
        <w:rFonts w:ascii="Courier New" w:hAnsi="Courier New" w:cs="Courier New" w:hint="default"/>
        <w:rFonts w:cs="Courier New"/>
      </w:rPr>
    </w:lvl>
    <w:lvl w:ilvl="2">
      <w:start w:val="1"/>
      <w:numFmt w:val="bullet"/>
      <w:lvlText w:val=""/>
      <w:lvlJc w:val="left"/>
      <w:pPr>
        <w:ind w:left="2700" w:hanging="360"/>
      </w:pPr>
      <w:rPr>
        <w:rFonts w:ascii="Wingdings" w:hAnsi="Wingdings" w:cs="Wingdings" w:hint="default"/>
        <w:rFonts w:cs="Wingdings"/>
      </w:rPr>
    </w:lvl>
    <w:lvl w:ilvl="3">
      <w:start w:val="1"/>
      <w:numFmt w:val="bullet"/>
      <w:lvlText w:val=""/>
      <w:lvlJc w:val="left"/>
      <w:pPr>
        <w:ind w:left="3420" w:hanging="360"/>
      </w:pPr>
      <w:rPr>
        <w:rFonts w:ascii="Symbol" w:hAnsi="Symbol" w:cs="Symbol" w:hint="default"/>
        <w:rFonts w:cs="Symbol"/>
      </w:rPr>
    </w:lvl>
    <w:lvl w:ilvl="4">
      <w:start w:val="1"/>
      <w:numFmt w:val="bullet"/>
      <w:lvlText w:val="o"/>
      <w:lvlJc w:val="left"/>
      <w:pPr>
        <w:ind w:left="4140" w:hanging="360"/>
      </w:pPr>
      <w:rPr>
        <w:rFonts w:ascii="Courier New" w:hAnsi="Courier New" w:cs="Courier New" w:hint="default"/>
        <w:rFonts w:cs="Courier New"/>
      </w:rPr>
    </w:lvl>
    <w:lvl w:ilvl="5">
      <w:start w:val="1"/>
      <w:numFmt w:val="bullet"/>
      <w:lvlText w:val=""/>
      <w:lvlJc w:val="left"/>
      <w:pPr>
        <w:ind w:left="4860" w:hanging="360"/>
      </w:pPr>
      <w:rPr>
        <w:rFonts w:ascii="Wingdings" w:hAnsi="Wingdings" w:cs="Wingdings" w:hint="default"/>
        <w:rFonts w:cs="Wingdings"/>
      </w:rPr>
    </w:lvl>
    <w:lvl w:ilvl="6">
      <w:start w:val="1"/>
      <w:numFmt w:val="bullet"/>
      <w:lvlText w:val=""/>
      <w:lvlJc w:val="left"/>
      <w:pPr>
        <w:ind w:left="5580" w:hanging="360"/>
      </w:pPr>
      <w:rPr>
        <w:rFonts w:ascii="Symbol" w:hAnsi="Symbol" w:cs="Symbol" w:hint="default"/>
        <w:rFonts w:cs="Symbol"/>
      </w:rPr>
    </w:lvl>
    <w:lvl w:ilvl="7">
      <w:start w:val="1"/>
      <w:numFmt w:val="bullet"/>
      <w:lvlText w:val="o"/>
      <w:lvlJc w:val="left"/>
      <w:pPr>
        <w:ind w:left="6300" w:hanging="360"/>
      </w:pPr>
      <w:rPr>
        <w:rFonts w:ascii="Courier New" w:hAnsi="Courier New" w:cs="Courier New" w:hint="default"/>
        <w:rFonts w:cs="Courier New"/>
      </w:rPr>
    </w:lvl>
    <w:lvl w:ilvl="8">
      <w:start w:val="1"/>
      <w:numFmt w:val="bullet"/>
      <w:lvlText w:val=""/>
      <w:lvlJc w:val="left"/>
      <w:pPr>
        <w:ind w:left="7020" w:hanging="360"/>
      </w:pPr>
      <w:rPr>
        <w:rFonts w:ascii="Wingdings" w:hAnsi="Wingdings" w:cs="Wingdings" w:hint="default"/>
        <w:rFonts w:cs="Wingdings"/>
      </w:rPr>
    </w:lvl>
  </w:abstractNum>
  <w:abstractNum w:abstractNumId="5">
    <w:lvl w:ilvl="0">
      <w:start w:val="1"/>
      <w:numFmt w:val="bullet"/>
      <w:lvlText w:val=""/>
      <w:lvlJc w:val="left"/>
      <w:pPr>
        <w:ind w:left="1270" w:hanging="360"/>
      </w:pPr>
      <w:rPr>
        <w:rFonts w:ascii="Symbol" w:hAnsi="Symbol" w:cs="Symbol" w:hint="default"/>
        <w:rFonts w:cs="Symbol"/>
      </w:rPr>
    </w:lvl>
    <w:lvl w:ilvl="1">
      <w:start w:val="1"/>
      <w:numFmt w:val="bullet"/>
      <w:lvlText w:val="o"/>
      <w:lvlJc w:val="left"/>
      <w:pPr>
        <w:ind w:left="1990" w:hanging="360"/>
      </w:pPr>
      <w:rPr>
        <w:rFonts w:ascii="Courier New" w:hAnsi="Courier New" w:cs="Courier New" w:hint="default"/>
        <w:rFonts w:cs="Courier New"/>
      </w:rPr>
    </w:lvl>
    <w:lvl w:ilvl="2">
      <w:start w:val="1"/>
      <w:numFmt w:val="bullet"/>
      <w:lvlText w:val=""/>
      <w:lvlJc w:val="left"/>
      <w:pPr>
        <w:ind w:left="2710" w:hanging="360"/>
      </w:pPr>
      <w:rPr>
        <w:rFonts w:ascii="Wingdings" w:hAnsi="Wingdings" w:cs="Wingdings" w:hint="default"/>
        <w:rFonts w:cs="Wingdings"/>
      </w:rPr>
    </w:lvl>
    <w:lvl w:ilvl="3">
      <w:start w:val="1"/>
      <w:numFmt w:val="bullet"/>
      <w:lvlText w:val=""/>
      <w:lvlJc w:val="left"/>
      <w:pPr>
        <w:ind w:left="3430" w:hanging="360"/>
      </w:pPr>
      <w:rPr>
        <w:rFonts w:ascii="Symbol" w:hAnsi="Symbol" w:cs="Symbol" w:hint="default"/>
        <w:rFonts w:cs="Symbol"/>
      </w:rPr>
    </w:lvl>
    <w:lvl w:ilvl="4">
      <w:start w:val="1"/>
      <w:numFmt w:val="bullet"/>
      <w:lvlText w:val="o"/>
      <w:lvlJc w:val="left"/>
      <w:pPr>
        <w:ind w:left="4150" w:hanging="360"/>
      </w:pPr>
      <w:rPr>
        <w:rFonts w:ascii="Courier New" w:hAnsi="Courier New" w:cs="Courier New" w:hint="default"/>
        <w:rFonts w:cs="Courier New"/>
      </w:rPr>
    </w:lvl>
    <w:lvl w:ilvl="5">
      <w:start w:val="1"/>
      <w:numFmt w:val="bullet"/>
      <w:lvlText w:val=""/>
      <w:lvlJc w:val="left"/>
      <w:pPr>
        <w:ind w:left="4870" w:hanging="360"/>
      </w:pPr>
      <w:rPr>
        <w:rFonts w:ascii="Wingdings" w:hAnsi="Wingdings" w:cs="Wingdings" w:hint="default"/>
        <w:rFonts w:cs="Wingdings"/>
      </w:rPr>
    </w:lvl>
    <w:lvl w:ilvl="6">
      <w:start w:val="1"/>
      <w:numFmt w:val="bullet"/>
      <w:lvlText w:val=""/>
      <w:lvlJc w:val="left"/>
      <w:pPr>
        <w:ind w:left="5590" w:hanging="360"/>
      </w:pPr>
      <w:rPr>
        <w:rFonts w:ascii="Symbol" w:hAnsi="Symbol" w:cs="Symbol" w:hint="default"/>
        <w:rFonts w:cs="Symbol"/>
      </w:rPr>
    </w:lvl>
    <w:lvl w:ilvl="7">
      <w:start w:val="1"/>
      <w:numFmt w:val="bullet"/>
      <w:lvlText w:val="o"/>
      <w:lvlJc w:val="left"/>
      <w:pPr>
        <w:ind w:left="6310" w:hanging="360"/>
      </w:pPr>
      <w:rPr>
        <w:rFonts w:ascii="Courier New" w:hAnsi="Courier New" w:cs="Courier New" w:hint="default"/>
        <w:rFonts w:cs="Courier New"/>
      </w:rPr>
    </w:lvl>
    <w:lvl w:ilvl="8">
      <w:start w:val="1"/>
      <w:numFmt w:val="bullet"/>
      <w:lvlText w:val=""/>
      <w:lvlJc w:val="left"/>
      <w:pPr>
        <w:ind w:left="7030" w:hanging="360"/>
      </w:pPr>
      <w:rPr>
        <w:rFonts w:ascii="Wingdings" w:hAnsi="Wingdings" w:cs="Wingdings" w:hint="default"/>
        <w:rFonts w:cs="Wingdings"/>
      </w:rPr>
    </w:lvl>
  </w:abstractNum>
  <w:abstractNum w:abstractNumId="6">
    <w:lvl w:ilvl="0">
      <w:start w:val="1"/>
      <w:numFmt w:val="bullet"/>
      <w:lvlText w:val=""/>
      <w:lvlJc w:val="left"/>
      <w:pPr>
        <w:ind w:left="360" w:hanging="360"/>
      </w:pPr>
      <w:rPr>
        <w:rFonts w:ascii="Symbol" w:hAnsi="Symbol" w:cs="Symbol" w:hint="default"/>
        <w:rFonts w:cs="Symbol"/>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7">
    <w:lvl w:ilvl="0">
      <w:start w:val="1"/>
      <w:numFmt w:val="bullet"/>
      <w:lvlText w:val=""/>
      <w:lvlJc w:val="left"/>
      <w:pPr>
        <w:ind w:left="360" w:hanging="360"/>
      </w:pPr>
      <w:rPr>
        <w:rFonts w:ascii="Symbol" w:hAnsi="Symbol" w:cs="Symbol" w:hint="default"/>
        <w:rFonts w:cs="Symbol"/>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8">
    <w:lvl w:ilvl="0">
      <w:start w:val="1"/>
      <w:numFmt w:val="bullet"/>
      <w:lvlText w:val=""/>
      <w:lvlJc w:val="left"/>
      <w:pPr>
        <w:ind w:left="360" w:hanging="360"/>
      </w:pPr>
      <w:rPr>
        <w:rFonts w:ascii="Symbol" w:hAnsi="Symbol" w:cs="Symbol" w:hint="default"/>
        <w:rFonts w:cs="Symbol"/>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9">
    <w:lvl w:ilvl="0">
      <w:start w:val="1"/>
      <w:numFmt w:val="bullet"/>
      <w:lvlText w:val=""/>
      <w:lvlJc w:val="left"/>
      <w:pPr>
        <w:ind w:left="360" w:hanging="360"/>
      </w:pPr>
      <w:rPr>
        <w:rFonts w:ascii="Symbol" w:hAnsi="Symbol" w:cs="Symbol" w:hint="default"/>
        <w:rFonts w:cs="Symbol"/>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10">
    <w:lvl w:ilvl="0">
      <w:start w:val="1"/>
      <w:numFmt w:val="bullet"/>
      <w:lvlText w:val=""/>
      <w:lvlJc w:val="left"/>
      <w:pPr>
        <w:ind w:left="360" w:hanging="0"/>
      </w:pPr>
      <w:rPr>
        <w:rFonts w:ascii="Symbol" w:hAnsi="Symbol" w:cs="Symbol" w:hint="default"/>
        <w:rFonts w:cs="Symbol"/>
      </w:rPr>
    </w:lvl>
    <w:lvl w:ilvl="1">
      <w:start w:val="1"/>
      <w:numFmt w:val="decimal"/>
      <w:lvlText w:val="%2."/>
      <w:lvlJc w:val="left"/>
      <w:pPr>
        <w:ind w:left="1440" w:hanging="0"/>
      </w:pPr>
      <w:rPr/>
    </w:lvl>
    <w:lvl w:ilvl="2">
      <w:start w:val="1"/>
      <w:numFmt w:val="decimal"/>
      <w:lvlText w:val="%3."/>
      <w:lvlJc w:val="left"/>
      <w:pPr>
        <w:ind w:left="2160" w:hanging="0"/>
      </w:pPr>
      <w:rPr/>
    </w:lvl>
    <w:lvl w:ilvl="3">
      <w:start w:val="1"/>
      <w:numFmt w:val="decimal"/>
      <w:lvlText w:val="%4."/>
      <w:lvlJc w:val="left"/>
      <w:pPr>
        <w:ind w:left="2880" w:hanging="0"/>
      </w:pPr>
      <w:rPr/>
    </w:lvl>
    <w:lvl w:ilvl="4">
      <w:start w:val="1"/>
      <w:numFmt w:val="decimal"/>
      <w:lvlText w:val="%5."/>
      <w:lvlJc w:val="left"/>
      <w:pPr>
        <w:ind w:left="3600" w:hanging="0"/>
      </w:pPr>
      <w:rPr/>
    </w:lvl>
    <w:lvl w:ilvl="5">
      <w:start w:val="1"/>
      <w:numFmt w:val="decimal"/>
      <w:lvlText w:val="%6."/>
      <w:lvlJc w:val="left"/>
      <w:pPr>
        <w:ind w:left="4320" w:hanging="0"/>
      </w:pPr>
      <w:rPr/>
    </w:lvl>
    <w:lvl w:ilvl="6">
      <w:start w:val="1"/>
      <w:numFmt w:val="decimal"/>
      <w:lvlText w:val="%7."/>
      <w:lvlJc w:val="left"/>
      <w:pPr>
        <w:ind w:left="5040" w:hanging="0"/>
      </w:pPr>
      <w:rPr/>
    </w:lvl>
    <w:lvl w:ilvl="7">
      <w:start w:val="1"/>
      <w:numFmt w:val="decimal"/>
      <w:lvlText w:val="%8."/>
      <w:lvlJc w:val="left"/>
      <w:pPr>
        <w:ind w:left="5760" w:hanging="0"/>
      </w:pPr>
      <w:rPr/>
    </w:lvl>
    <w:lvl w:ilvl="8">
      <w:start w:val="1"/>
      <w:numFmt w:val="decimal"/>
      <w:lvlText w:val="%9."/>
      <w:lvlJc w:val="left"/>
      <w:pPr>
        <w:ind w:left="6480" w:hanging="0"/>
      </w:pPr>
      <w:rPr/>
    </w:lvl>
  </w:abstractNum>
  <w:abstractNum w:abstractNumId="11">
    <w:lvl w:ilvl="0">
      <w:start w:val="1"/>
      <w:numFmt w:val="bullet"/>
      <w:lvlText w:val=""/>
      <w:lvlJc w:val="left"/>
      <w:pPr>
        <w:ind w:left="360" w:hanging="0"/>
      </w:pPr>
      <w:rPr>
        <w:rFonts w:ascii="Symbol" w:hAnsi="Symbol" w:cs="Symbol" w:hint="default"/>
        <w:rFonts w:cs="Symbol"/>
      </w:rPr>
    </w:lvl>
    <w:lvl w:ilvl="1">
      <w:start w:val="1"/>
      <w:numFmt w:val="decimal"/>
      <w:lvlText w:val="%2."/>
      <w:lvlJc w:val="left"/>
      <w:pPr>
        <w:ind w:left="1440" w:hanging="0"/>
      </w:pPr>
      <w:rPr/>
    </w:lvl>
    <w:lvl w:ilvl="2">
      <w:start w:val="1"/>
      <w:numFmt w:val="decimal"/>
      <w:lvlText w:val="%3."/>
      <w:lvlJc w:val="left"/>
      <w:pPr>
        <w:ind w:left="2160" w:hanging="0"/>
      </w:pPr>
      <w:rPr/>
    </w:lvl>
    <w:lvl w:ilvl="3">
      <w:start w:val="1"/>
      <w:numFmt w:val="decimal"/>
      <w:lvlText w:val="%4."/>
      <w:lvlJc w:val="left"/>
      <w:pPr>
        <w:ind w:left="2880" w:hanging="0"/>
      </w:pPr>
      <w:rPr/>
    </w:lvl>
    <w:lvl w:ilvl="4">
      <w:start w:val="1"/>
      <w:numFmt w:val="decimal"/>
      <w:lvlText w:val="%5."/>
      <w:lvlJc w:val="left"/>
      <w:pPr>
        <w:ind w:left="3600" w:hanging="0"/>
      </w:pPr>
      <w:rPr/>
    </w:lvl>
    <w:lvl w:ilvl="5">
      <w:start w:val="1"/>
      <w:numFmt w:val="decimal"/>
      <w:lvlText w:val="%6."/>
      <w:lvlJc w:val="left"/>
      <w:pPr>
        <w:ind w:left="4320" w:hanging="0"/>
      </w:pPr>
      <w:rPr/>
    </w:lvl>
    <w:lvl w:ilvl="6">
      <w:start w:val="1"/>
      <w:numFmt w:val="decimal"/>
      <w:lvlText w:val="%7."/>
      <w:lvlJc w:val="left"/>
      <w:pPr>
        <w:ind w:left="5040" w:hanging="0"/>
      </w:pPr>
      <w:rPr/>
    </w:lvl>
    <w:lvl w:ilvl="7">
      <w:start w:val="1"/>
      <w:numFmt w:val="decimal"/>
      <w:lvlText w:val="%8."/>
      <w:lvlJc w:val="left"/>
      <w:pPr>
        <w:ind w:left="5760" w:hanging="0"/>
      </w:pPr>
      <w:rPr/>
    </w:lvl>
    <w:lvl w:ilvl="8">
      <w:start w:val="1"/>
      <w:numFmt w:val="decimal"/>
      <w:lvlText w:val="%9."/>
      <w:lvlJc w:val="left"/>
      <w:pPr>
        <w:ind w:left="6480" w:hanging="0"/>
      </w:pPr>
      <w:rPr/>
    </w:lvl>
  </w:abstractNum>
  <w:abstractNum w:abstractNumId="12">
    <w:lvl w:ilvl="0">
      <w:start w:val="1"/>
      <w:numFmt w:val="bullet"/>
      <w:lvlText w:val=""/>
      <w:lvlJc w:val="left"/>
      <w:pPr>
        <w:ind w:left="900" w:hanging="0"/>
      </w:pPr>
      <w:rPr>
        <w:rFonts w:ascii="Symbol" w:hAnsi="Symbol" w:cs="Symbol" w:hint="default"/>
        <w:rFonts w:cs="Symbol"/>
      </w:rPr>
    </w:lvl>
    <w:lvl w:ilvl="1">
      <w:start w:val="1"/>
      <w:numFmt w:val="decimal"/>
      <w:lvlText w:val="%2."/>
      <w:lvlJc w:val="left"/>
      <w:pPr>
        <w:ind w:left="1440" w:hanging="0"/>
      </w:pPr>
      <w:rPr/>
    </w:lvl>
    <w:lvl w:ilvl="2">
      <w:start w:val="1"/>
      <w:numFmt w:val="decimal"/>
      <w:lvlText w:val="%3."/>
      <w:lvlJc w:val="left"/>
      <w:pPr>
        <w:ind w:left="2160" w:hanging="0"/>
      </w:pPr>
      <w:rPr/>
    </w:lvl>
    <w:lvl w:ilvl="3">
      <w:start w:val="1"/>
      <w:numFmt w:val="decimal"/>
      <w:lvlText w:val="%4."/>
      <w:lvlJc w:val="left"/>
      <w:pPr>
        <w:ind w:left="2880" w:hanging="0"/>
      </w:pPr>
      <w:rPr/>
    </w:lvl>
    <w:lvl w:ilvl="4">
      <w:start w:val="1"/>
      <w:numFmt w:val="decimal"/>
      <w:lvlText w:val="%5."/>
      <w:lvlJc w:val="left"/>
      <w:pPr>
        <w:ind w:left="3600" w:hanging="0"/>
      </w:pPr>
      <w:rPr/>
    </w:lvl>
    <w:lvl w:ilvl="5">
      <w:start w:val="1"/>
      <w:numFmt w:val="decimal"/>
      <w:lvlText w:val="%6."/>
      <w:lvlJc w:val="left"/>
      <w:pPr>
        <w:ind w:left="4320" w:hanging="0"/>
      </w:pPr>
      <w:rPr/>
    </w:lvl>
    <w:lvl w:ilvl="6">
      <w:start w:val="1"/>
      <w:numFmt w:val="decimal"/>
      <w:lvlText w:val="%7."/>
      <w:lvlJc w:val="left"/>
      <w:pPr>
        <w:ind w:left="5040" w:hanging="0"/>
      </w:pPr>
      <w:rPr/>
    </w:lvl>
    <w:lvl w:ilvl="7">
      <w:start w:val="1"/>
      <w:numFmt w:val="decimal"/>
      <w:lvlText w:val="%8."/>
      <w:lvlJc w:val="left"/>
      <w:pPr>
        <w:ind w:left="5760" w:hanging="0"/>
      </w:pPr>
      <w:rPr/>
    </w:lvl>
    <w:lvl w:ilvl="8">
      <w:start w:val="1"/>
      <w:numFmt w:val="decimal"/>
      <w:lvlText w:val="%9."/>
      <w:lvlJc w:val="left"/>
      <w:pPr>
        <w:ind w:left="6480" w:hanging="0"/>
      </w:pPr>
      <w:rPr/>
    </w:lvl>
  </w:abstractNum>
  <w:abstractNum w:abstractNumId="13">
    <w:lvl w:ilvl="0">
      <w:start w:val="1"/>
      <w:numFmt w:val="decimal"/>
      <w:lvlText w:val="%1."/>
      <w:lvlJc w:val="left"/>
      <w:pPr>
        <w:ind w:left="810" w:hanging="0"/>
      </w:pPr>
      <w:rPr/>
    </w:lvl>
    <w:lvl w:ilvl="1">
      <w:start w:val="1"/>
      <w:numFmt w:val="decimal"/>
      <w:lvlText w:val="%2."/>
      <w:lvlJc w:val="left"/>
      <w:pPr>
        <w:ind w:left="1440" w:hanging="0"/>
      </w:pPr>
      <w:rPr/>
    </w:lvl>
    <w:lvl w:ilvl="2">
      <w:start w:val="1"/>
      <w:numFmt w:val="decimal"/>
      <w:lvlText w:val="%3."/>
      <w:lvlJc w:val="left"/>
      <w:pPr>
        <w:ind w:left="2160" w:hanging="0"/>
      </w:pPr>
      <w:rPr/>
    </w:lvl>
    <w:lvl w:ilvl="3">
      <w:start w:val="1"/>
      <w:numFmt w:val="decimal"/>
      <w:lvlText w:val="%4."/>
      <w:lvlJc w:val="left"/>
      <w:pPr>
        <w:ind w:left="2880" w:hanging="0"/>
      </w:pPr>
      <w:rPr/>
    </w:lvl>
    <w:lvl w:ilvl="4">
      <w:start w:val="1"/>
      <w:numFmt w:val="decimal"/>
      <w:lvlText w:val="%5."/>
      <w:lvlJc w:val="left"/>
      <w:pPr>
        <w:ind w:left="3600" w:hanging="0"/>
      </w:pPr>
      <w:rPr/>
    </w:lvl>
    <w:lvl w:ilvl="5">
      <w:start w:val="1"/>
      <w:numFmt w:val="decimal"/>
      <w:lvlText w:val="%6."/>
      <w:lvlJc w:val="left"/>
      <w:pPr>
        <w:ind w:left="4320" w:hanging="0"/>
      </w:pPr>
      <w:rPr/>
    </w:lvl>
    <w:lvl w:ilvl="6">
      <w:start w:val="1"/>
      <w:numFmt w:val="decimal"/>
      <w:lvlText w:val="%7."/>
      <w:lvlJc w:val="left"/>
      <w:pPr>
        <w:ind w:left="5040" w:hanging="0"/>
      </w:pPr>
      <w:rPr/>
    </w:lvl>
    <w:lvl w:ilvl="7">
      <w:start w:val="1"/>
      <w:numFmt w:val="decimal"/>
      <w:lvlText w:val="%8."/>
      <w:lvlJc w:val="left"/>
      <w:pPr>
        <w:ind w:left="5760" w:hanging="0"/>
      </w:pPr>
      <w:rPr/>
    </w:lvl>
    <w:lvl w:ilvl="8">
      <w:start w:val="1"/>
      <w:numFmt w:val="decimal"/>
      <w:lvlText w:val="%9."/>
      <w:lvlJc w:val="left"/>
      <w:pPr>
        <w:ind w:left="6480" w:hanging="0"/>
      </w:pPr>
      <w:rPr/>
    </w:lvl>
  </w:abstractNum>
  <w:abstractNum w:abstractNumId="14">
    <w:lvl w:ilvl="0">
      <w:start w:val="1"/>
      <w:numFmt w:val="bullet"/>
      <w:lvlText w:val=""/>
      <w:lvlJc w:val="left"/>
      <w:pPr>
        <w:ind w:left="360" w:hanging="0"/>
      </w:pPr>
      <w:rPr>
        <w:rFonts w:ascii="Symbol" w:hAnsi="Symbol" w:cs="Symbol" w:hint="default"/>
        <w:rFonts w:cs="Symbol"/>
      </w:rPr>
    </w:lvl>
    <w:lvl w:ilvl="1">
      <w:start w:val="1"/>
      <w:numFmt w:val="bullet"/>
      <w:lvlText w:val="o"/>
      <w:lvlJc w:val="left"/>
      <w:pPr>
        <w:ind w:left="1080" w:hanging="0"/>
      </w:pPr>
      <w:rPr>
        <w:rFonts w:ascii="Courier New" w:hAnsi="Courier New" w:cs="Courier New" w:hint="default"/>
        <w:rFonts w:cs="Courier New"/>
      </w:rPr>
    </w:lvl>
    <w:lvl w:ilvl="2">
      <w:start w:val="1"/>
      <w:numFmt w:val="bullet"/>
      <w:lvlText w:val=""/>
      <w:lvlJc w:val="left"/>
      <w:pPr>
        <w:ind w:left="1800" w:hanging="0"/>
      </w:pPr>
      <w:rPr>
        <w:rFonts w:ascii="Wingdings" w:hAnsi="Wingdings" w:cs="Wingdings" w:hint="default"/>
        <w:rFonts w:cs="Wingdings"/>
      </w:rPr>
    </w:lvl>
    <w:lvl w:ilvl="3">
      <w:start w:val="1"/>
      <w:numFmt w:val="bullet"/>
      <w:lvlText w:val=""/>
      <w:lvlJc w:val="left"/>
      <w:pPr>
        <w:ind w:left="2520" w:hanging="0"/>
      </w:pPr>
      <w:rPr>
        <w:rFonts w:ascii="Symbol" w:hAnsi="Symbol" w:cs="Symbol" w:hint="default"/>
        <w:rFonts w:cs="Symbol"/>
      </w:rPr>
    </w:lvl>
    <w:lvl w:ilvl="4">
      <w:start w:val="1"/>
      <w:numFmt w:val="bullet"/>
      <w:lvlText w:val="o"/>
      <w:lvlJc w:val="left"/>
      <w:pPr>
        <w:ind w:left="3240" w:hanging="0"/>
      </w:pPr>
      <w:rPr>
        <w:rFonts w:ascii="Courier New" w:hAnsi="Courier New" w:cs="Courier New" w:hint="default"/>
        <w:rFonts w:cs="Courier New"/>
      </w:rPr>
    </w:lvl>
    <w:lvl w:ilvl="5">
      <w:start w:val="1"/>
      <w:numFmt w:val="bullet"/>
      <w:lvlText w:val=""/>
      <w:lvlJc w:val="left"/>
      <w:pPr>
        <w:ind w:left="3960" w:hanging="0"/>
      </w:pPr>
      <w:rPr>
        <w:rFonts w:ascii="Wingdings" w:hAnsi="Wingdings" w:cs="Wingdings" w:hint="default"/>
        <w:rFonts w:cs="Wingdings"/>
      </w:rPr>
    </w:lvl>
    <w:lvl w:ilvl="6">
      <w:start w:val="1"/>
      <w:numFmt w:val="bullet"/>
      <w:lvlText w:val=""/>
      <w:lvlJc w:val="left"/>
      <w:pPr>
        <w:ind w:left="4680" w:hanging="0"/>
      </w:pPr>
      <w:rPr>
        <w:rFonts w:ascii="Symbol" w:hAnsi="Symbol" w:cs="Symbol" w:hint="default"/>
        <w:rFonts w:cs="Symbol"/>
      </w:rPr>
    </w:lvl>
    <w:lvl w:ilvl="7">
      <w:start w:val="1"/>
      <w:numFmt w:val="bullet"/>
      <w:lvlText w:val="o"/>
      <w:lvlJc w:val="left"/>
      <w:pPr>
        <w:ind w:left="5400" w:hanging="0"/>
      </w:pPr>
      <w:rPr>
        <w:rFonts w:ascii="Courier New" w:hAnsi="Courier New" w:cs="Courier New" w:hint="default"/>
        <w:rFonts w:cs="Courier New"/>
      </w:rPr>
    </w:lvl>
    <w:lvl w:ilvl="8">
      <w:start w:val="1"/>
      <w:numFmt w:val="bullet"/>
      <w:lvlText w:val=""/>
      <w:lvlJc w:val="left"/>
      <w:pPr>
        <w:ind w:left="6120" w:hanging="0"/>
      </w:pPr>
      <w:rPr>
        <w:rFonts w:ascii="Wingdings" w:hAnsi="Wingdings" w:cs="Wingdings" w:hint="default"/>
        <w:rFont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90"/>
  <w:defaultTabStop w:val="708"/>
  <w:autoHyphenation w:val="fals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suppressAutoHyphens w:val="true"/>
      <w:bidi w:val="0"/>
      <w:spacing w:lineRule="auto" w:line="276" w:before="0" w:after="200"/>
      <w:jc w:val="left"/>
    </w:pPr>
    <w:rPr>
      <w:rFonts w:ascii="Calibri" w:hAnsi="Calibri" w:eastAsia="Calibri" w:cs="Times New Roman"/>
      <w:color w:val="auto"/>
      <w:kern w:val="2"/>
      <w:sz w:val="22"/>
      <w:szCs w:val="22"/>
      <w:lang w:val="ru-RU" w:eastAsia="en-US" w:bidi="ar-SA"/>
    </w:rPr>
  </w:style>
  <w:style w:type="paragraph" w:styleId="1">
    <w:name w:val="Heading 1"/>
    <w:basedOn w:val="Normal"/>
    <w:next w:val="Style46"/>
    <w:qFormat/>
    <w:pPr>
      <w:keepNext w:val="true"/>
      <w:keepLines/>
      <w:numPr>
        <w:ilvl w:val="0"/>
        <w:numId w:val="1"/>
      </w:numPr>
      <w:spacing w:before="480" w:after="0"/>
      <w:outlineLvl w:val="0"/>
    </w:pPr>
    <w:rPr>
      <w:rFonts w:ascii="Cambria" w:hAnsi="Cambria" w:eastAsia="Times New Roman" w:cs="Cambria"/>
      <w:b/>
      <w:bCs/>
      <w:color w:val="365F91"/>
      <w:sz w:val="28"/>
      <w:szCs w:val="28"/>
    </w:rPr>
  </w:style>
  <w:style w:type="paragraph" w:styleId="2">
    <w:name w:val="Heading 2"/>
    <w:basedOn w:val="Normal"/>
    <w:next w:val="Style46"/>
    <w:qFormat/>
    <w:pPr>
      <w:keepNext w:val="true"/>
      <w:keepLines/>
      <w:numPr>
        <w:ilvl w:val="1"/>
        <w:numId w:val="1"/>
      </w:numPr>
      <w:spacing w:before="200" w:after="0"/>
      <w:outlineLvl w:val="1"/>
    </w:pPr>
    <w:rPr>
      <w:rFonts w:ascii="Cambria" w:hAnsi="Cambria" w:eastAsia="Times New Roman" w:cs="Cambria"/>
      <w:b/>
      <w:bCs/>
      <w:color w:val="4F81BD"/>
      <w:sz w:val="26"/>
      <w:szCs w:val="26"/>
    </w:rPr>
  </w:style>
  <w:style w:type="paragraph" w:styleId="3">
    <w:name w:val="Heading 3"/>
    <w:basedOn w:val="Normal"/>
    <w:next w:val="Style46"/>
    <w:qFormat/>
    <w:pPr>
      <w:keepNext w:val="true"/>
      <w:numPr>
        <w:ilvl w:val="2"/>
        <w:numId w:val="1"/>
      </w:numPr>
      <w:spacing w:lineRule="auto" w:line="240" w:before="240" w:after="60"/>
      <w:outlineLvl w:val="2"/>
    </w:pPr>
    <w:rPr>
      <w:rFonts w:ascii="Arial" w:hAnsi="Arial" w:eastAsia="Times New Roman" w:cs="Arial"/>
      <w:b/>
      <w:bCs/>
      <w:sz w:val="26"/>
      <w:szCs w:val="26"/>
    </w:rPr>
  </w:style>
  <w:style w:type="paragraph" w:styleId="4">
    <w:name w:val="Heading 4"/>
    <w:basedOn w:val="Normal"/>
    <w:next w:val="Style46"/>
    <w:qFormat/>
    <w:pPr>
      <w:keepNext w:val="true"/>
      <w:numPr>
        <w:ilvl w:val="3"/>
        <w:numId w:val="1"/>
      </w:numPr>
      <w:spacing w:lineRule="auto" w:line="240" w:before="0" w:after="0"/>
      <w:ind w:left="552" w:right="322" w:firstLine="708"/>
      <w:jc w:val="center"/>
      <w:outlineLvl w:val="3"/>
    </w:pPr>
    <w:rPr>
      <w:rFonts w:ascii="Times New Roman" w:hAnsi="Times New Roman" w:eastAsia="Times New Roman" w:cs="Times New Roman"/>
      <w:sz w:val="24"/>
      <w:szCs w:val="24"/>
    </w:rPr>
  </w:style>
  <w:style w:type="paragraph" w:styleId="5">
    <w:name w:val="Heading 5"/>
    <w:basedOn w:val="Normal"/>
    <w:next w:val="Style46"/>
    <w:qFormat/>
    <w:pPr>
      <w:keepNext w:val="true"/>
      <w:numPr>
        <w:ilvl w:val="4"/>
        <w:numId w:val="1"/>
      </w:numPr>
      <w:spacing w:lineRule="auto" w:line="240" w:before="0" w:after="0"/>
      <w:ind w:left="0" w:right="322" w:hanging="0"/>
      <w:jc w:val="center"/>
      <w:outlineLvl w:val="4"/>
    </w:pPr>
    <w:rPr>
      <w:rFonts w:ascii="Times New Roman" w:hAnsi="Times New Roman" w:eastAsia="Times New Roman" w:cs="Times New Roman"/>
      <w:sz w:val="24"/>
      <w:szCs w:val="24"/>
    </w:rPr>
  </w:style>
  <w:style w:type="paragraph" w:styleId="6">
    <w:name w:val="Heading 6"/>
    <w:basedOn w:val="Normal"/>
    <w:next w:val="Style46"/>
    <w:qFormat/>
    <w:pPr>
      <w:numPr>
        <w:ilvl w:val="5"/>
        <w:numId w:val="1"/>
      </w:numPr>
      <w:spacing w:lineRule="auto" w:line="240" w:before="240" w:after="60"/>
      <w:outlineLvl w:val="5"/>
    </w:pPr>
    <w:rPr>
      <w:rFonts w:eastAsia="Times New Roman"/>
      <w:b/>
      <w:bCs/>
      <w:color w:val="000000"/>
    </w:rPr>
  </w:style>
  <w:style w:type="paragraph" w:styleId="7">
    <w:name w:val="Heading 7"/>
    <w:basedOn w:val="Normal"/>
    <w:next w:val="Style46"/>
    <w:qFormat/>
    <w:pPr>
      <w:numPr>
        <w:ilvl w:val="6"/>
        <w:numId w:val="1"/>
      </w:numPr>
      <w:spacing w:lineRule="auto" w:line="240" w:before="240" w:after="60"/>
      <w:outlineLvl w:val="6"/>
    </w:pPr>
    <w:rPr>
      <w:rFonts w:eastAsia="Times New Roman"/>
      <w:color w:val="000000"/>
      <w:sz w:val="24"/>
      <w:szCs w:val="24"/>
    </w:rPr>
  </w:style>
  <w:style w:type="paragraph" w:styleId="8">
    <w:name w:val="Heading 8"/>
    <w:basedOn w:val="Normal"/>
    <w:next w:val="Style46"/>
    <w:qFormat/>
    <w:pPr>
      <w:numPr>
        <w:ilvl w:val="7"/>
        <w:numId w:val="1"/>
      </w:numPr>
      <w:spacing w:lineRule="auto" w:line="240" w:before="240" w:after="60"/>
      <w:outlineLvl w:val="7"/>
    </w:pPr>
    <w:rPr>
      <w:rFonts w:eastAsia="Times New Roman"/>
      <w:i/>
      <w:iCs/>
      <w:color w:val="000000"/>
      <w:sz w:val="24"/>
      <w:szCs w:val="24"/>
    </w:rPr>
  </w:style>
  <w:style w:type="paragraph" w:styleId="9">
    <w:name w:val="Heading 9"/>
    <w:basedOn w:val="Normal"/>
    <w:next w:val="Style46"/>
    <w:qFormat/>
    <w:pPr>
      <w:keepNext w:val="true"/>
      <w:numPr>
        <w:ilvl w:val="8"/>
        <w:numId w:val="1"/>
      </w:numPr>
      <w:spacing w:lineRule="auto" w:line="240" w:before="0" w:after="0"/>
      <w:jc w:val="both"/>
      <w:outlineLvl w:val="8"/>
    </w:pPr>
    <w:rPr>
      <w:rFonts w:ascii="Cambria" w:hAnsi="Cambria" w:eastAsia="Times New Roman" w:cs="Cambria"/>
      <w:color w:val="000000"/>
    </w:rPr>
  </w:style>
  <w:style w:type="character" w:styleId="WW8Num1z0">
    <w:name w:val="WW8Num1z0"/>
    <w:qFormat/>
    <w:rPr>
      <w:rFonts w:ascii="Symbol" w:hAnsi="Symbol" w:cs="Symbol"/>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2z0">
    <w:name w:val="WW8Num2z0"/>
    <w:qFormat/>
    <w:rPr>
      <w:rFonts w:ascii="Symbol" w:hAnsi="Symbol" w:cs="Symbol"/>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3z0">
    <w:name w:val="WW8Num3z0"/>
    <w:qFormat/>
    <w:rPr>
      <w:rFonts w:ascii="Symbol" w:hAnsi="Symbol" w:cs="Symbol"/>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rFonts w:ascii="Symbol" w:hAnsi="Symbol" w:cs="Symbol"/>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6z0">
    <w:name w:val="WW8Num6z0"/>
    <w:qFormat/>
    <w:rPr>
      <w:rFonts w:ascii="Symbol" w:hAnsi="Symbol" w:cs="Symbol"/>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7z0">
    <w:name w:val="WW8Num7z0"/>
    <w:qFormat/>
    <w:rPr>
      <w:rFonts w:ascii="Symbol" w:hAnsi="Symbol" w:cs="Symbol"/>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8z0">
    <w:name w:val="WW8Num8z0"/>
    <w:qFormat/>
    <w:rPr>
      <w:rFonts w:ascii="Symbol" w:hAnsi="Symbol" w:cs="Symbol"/>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9z0">
    <w:name w:val="WW8Num9z0"/>
    <w:qFormat/>
    <w:rPr>
      <w:rFonts w:ascii="Symbol" w:hAnsi="Symbol" w:cs="Symbol"/>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rFonts w:ascii="Symbol" w:hAnsi="Symbol" w:cs="Symbol"/>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rFonts w:ascii="Symbol" w:hAnsi="Symbol" w:cs="Symbol"/>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rFonts w:ascii="Symbol" w:hAnsi="Symbol" w:cs="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DefaultParagraphFont">
    <w:name w:val="Default Paragraph Font"/>
    <w:qFormat/>
    <w:rPr/>
  </w:style>
  <w:style w:type="character" w:styleId="11">
    <w:name w:val="Заголовок 1 Знак"/>
    <w:basedOn w:val="DefaultParagraphFont"/>
    <w:qFormat/>
    <w:rPr>
      <w:rFonts w:ascii="Cambria" w:hAnsi="Cambria" w:cs="Times New Roman"/>
      <w:b/>
      <w:bCs/>
      <w:color w:val="365F91"/>
      <w:sz w:val="28"/>
      <w:szCs w:val="28"/>
    </w:rPr>
  </w:style>
  <w:style w:type="character" w:styleId="21">
    <w:name w:val="Заголовок 2 Знак"/>
    <w:basedOn w:val="DefaultParagraphFont"/>
    <w:qFormat/>
    <w:rPr>
      <w:rFonts w:ascii="Cambria" w:hAnsi="Cambria" w:cs="Times New Roman"/>
      <w:b/>
      <w:bCs/>
      <w:color w:val="4F81BD"/>
      <w:sz w:val="26"/>
      <w:szCs w:val="26"/>
    </w:rPr>
  </w:style>
  <w:style w:type="character" w:styleId="31">
    <w:name w:val="Заголовок 3 Знак"/>
    <w:basedOn w:val="DefaultParagraphFont"/>
    <w:qFormat/>
    <w:rPr>
      <w:rFonts w:ascii="Arial" w:hAnsi="Arial" w:cs="Times New Roman"/>
      <w:b/>
      <w:bCs/>
      <w:sz w:val="26"/>
      <w:szCs w:val="26"/>
    </w:rPr>
  </w:style>
  <w:style w:type="character" w:styleId="41">
    <w:name w:val="Заголовок 4 Знак"/>
    <w:basedOn w:val="DefaultParagraphFont"/>
    <w:qFormat/>
    <w:rPr>
      <w:rFonts w:ascii="Times New Roman" w:hAnsi="Times New Roman" w:cs="Times New Roman"/>
      <w:sz w:val="24"/>
      <w:szCs w:val="24"/>
    </w:rPr>
  </w:style>
  <w:style w:type="character" w:styleId="51">
    <w:name w:val="Заголовок 5 Знак"/>
    <w:basedOn w:val="DefaultParagraphFont"/>
    <w:qFormat/>
    <w:rPr>
      <w:rFonts w:ascii="Times New Roman" w:hAnsi="Times New Roman" w:cs="Times New Roman"/>
      <w:sz w:val="24"/>
      <w:szCs w:val="24"/>
    </w:rPr>
  </w:style>
  <w:style w:type="character" w:styleId="61">
    <w:name w:val="Заголовок 6 Знак"/>
    <w:basedOn w:val="DefaultParagraphFont"/>
    <w:qFormat/>
    <w:rPr>
      <w:rFonts w:eastAsia="Times New Roman" w:cs="Times New Roman"/>
      <w:b/>
      <w:bCs/>
      <w:color w:val="000000"/>
      <w:sz w:val="22"/>
      <w:szCs w:val="22"/>
    </w:rPr>
  </w:style>
  <w:style w:type="character" w:styleId="71">
    <w:name w:val="Заголовок 7 Знак"/>
    <w:basedOn w:val="DefaultParagraphFont"/>
    <w:qFormat/>
    <w:rPr>
      <w:rFonts w:eastAsia="Times New Roman" w:cs="Times New Roman"/>
      <w:color w:val="000000"/>
      <w:sz w:val="24"/>
      <w:szCs w:val="24"/>
    </w:rPr>
  </w:style>
  <w:style w:type="character" w:styleId="81">
    <w:name w:val="Заголовок 8 Знак"/>
    <w:basedOn w:val="DefaultParagraphFont"/>
    <w:qFormat/>
    <w:rPr>
      <w:rFonts w:eastAsia="Times New Roman" w:cs="Times New Roman"/>
      <w:i/>
      <w:iCs/>
      <w:color w:val="000000"/>
      <w:sz w:val="24"/>
      <w:szCs w:val="24"/>
    </w:rPr>
  </w:style>
  <w:style w:type="character" w:styleId="91">
    <w:name w:val="Заголовок 9 Знак"/>
    <w:basedOn w:val="DefaultParagraphFont"/>
    <w:qFormat/>
    <w:rPr>
      <w:rFonts w:ascii="Cambria" w:hAnsi="Cambria" w:cs="Times New Roman"/>
      <w:color w:val="000000"/>
      <w:sz w:val="22"/>
      <w:szCs w:val="22"/>
    </w:rPr>
  </w:style>
  <w:style w:type="character" w:styleId="ConsPlusNormal">
    <w:name w:val="ConsPlusNormal Знак"/>
    <w:qFormat/>
    <w:rPr>
      <w:rFonts w:ascii="Arial" w:hAnsi="Arial" w:cs="Arial"/>
      <w:sz w:val="22"/>
      <w:szCs w:val="22"/>
      <w:lang w:eastAsia="ar-SA" w:bidi="ar-SA"/>
    </w:rPr>
  </w:style>
  <w:style w:type="character" w:styleId="S">
    <w:name w:val="S_Обычный Знак"/>
    <w:qFormat/>
    <w:rPr>
      <w:rFonts w:ascii="Times New Roman" w:hAnsi="Times New Roman" w:cs="Times New Roman"/>
      <w:sz w:val="24"/>
      <w:lang w:eastAsia="ru-RU"/>
    </w:rPr>
  </w:style>
  <w:style w:type="character" w:styleId="Style5">
    <w:name w:val="Основной текст_"/>
    <w:basedOn w:val="DefaultParagraphFont"/>
    <w:qFormat/>
    <w:rPr>
      <w:rFonts w:cs="Times New Roman"/>
      <w:sz w:val="25"/>
      <w:szCs w:val="25"/>
      <w:shd w:fill="FFFFFF" w:val="clear"/>
    </w:rPr>
  </w:style>
  <w:style w:type="character" w:styleId="Style6">
    <w:name w:val="Основной текст + Полужирный"/>
    <w:basedOn w:val="DefaultParagraphFont"/>
    <w:qFormat/>
    <w:rPr>
      <w:rFonts w:cs="Times New Roman"/>
      <w:spacing w:val="-10"/>
      <w:sz w:val="25"/>
      <w:szCs w:val="25"/>
      <w:shd w:fill="FFFFFF" w:val="clear"/>
    </w:rPr>
  </w:style>
  <w:style w:type="character" w:styleId="Style7">
    <w:name w:val="Верхний колонтитул Знак"/>
    <w:basedOn w:val="DefaultParagraphFont"/>
    <w:qFormat/>
    <w:rPr>
      <w:rFonts w:cs="Times New Roman"/>
    </w:rPr>
  </w:style>
  <w:style w:type="character" w:styleId="Style8">
    <w:name w:val="Нижний колонтитул Знак"/>
    <w:basedOn w:val="DefaultParagraphFont"/>
    <w:qFormat/>
    <w:rPr>
      <w:rFonts w:cs="Times New Roman"/>
    </w:rPr>
  </w:style>
  <w:style w:type="character" w:styleId="Style9">
    <w:name w:val="Интернет-ссылка"/>
    <w:basedOn w:val="DefaultParagraphFont"/>
    <w:rPr>
      <w:rFonts w:cs="Times New Roman"/>
      <w:color w:val="0000FF"/>
      <w:u w:val="single"/>
    </w:rPr>
  </w:style>
  <w:style w:type="character" w:styleId="Style10">
    <w:name w:val="Текст выноски Знак"/>
    <w:basedOn w:val="DefaultParagraphFont"/>
    <w:qFormat/>
    <w:rPr>
      <w:rFonts w:ascii="Tahoma" w:hAnsi="Tahoma" w:cs="Tahoma"/>
      <w:sz w:val="16"/>
      <w:szCs w:val="16"/>
    </w:rPr>
  </w:style>
  <w:style w:type="character" w:styleId="Style11">
    <w:name w:val="Абзац Знак"/>
    <w:qFormat/>
    <w:rPr>
      <w:rFonts w:ascii="Times New Roman" w:hAnsi="Times New Roman" w:cs="Times New Roman"/>
      <w:sz w:val="24"/>
    </w:rPr>
  </w:style>
  <w:style w:type="character" w:styleId="Style12">
    <w:name w:val="Основной текст Знак"/>
    <w:basedOn w:val="DefaultParagraphFont"/>
    <w:qFormat/>
    <w:rPr>
      <w:rFonts w:ascii="Times New Roman" w:hAnsi="Times New Roman" w:eastAsia="SimSun" w:cs="Tahoma"/>
      <w:kern w:val="2"/>
      <w:sz w:val="24"/>
      <w:szCs w:val="24"/>
      <w:lang w:eastAsia="hi-IN" w:bidi="hi-IN"/>
    </w:rPr>
  </w:style>
  <w:style w:type="character" w:styleId="WW8Num51z0">
    <w:name w:val="WW8Num51z0"/>
    <w:qFormat/>
    <w:rPr>
      <w:rFonts w:ascii="OpenSymbol;Arial Unicode MS" w:hAnsi="OpenSymbol;Arial Unicode MS" w:cs="OpenSymbol;Arial Unicode MS"/>
    </w:rPr>
  </w:style>
  <w:style w:type="character" w:styleId="Style13">
    <w:name w:val="Текст Знак"/>
    <w:basedOn w:val="DefaultParagraphFont"/>
    <w:qFormat/>
    <w:rPr>
      <w:rFonts w:ascii="Courier New" w:hAnsi="Courier New" w:cs="Courier New"/>
    </w:rPr>
  </w:style>
  <w:style w:type="character" w:styleId="Style14">
    <w:name w:val="Геоград-ТХ Знак"/>
    <w:qFormat/>
    <w:rPr>
      <w:rFonts w:ascii="Times New Roman" w:hAnsi="Times New Roman" w:cs="Times New Roman"/>
      <w:sz w:val="28"/>
    </w:rPr>
  </w:style>
  <w:style w:type="character" w:styleId="ConsNonformat">
    <w:name w:val="ConsNonformat Знак"/>
    <w:qFormat/>
    <w:rPr>
      <w:rFonts w:ascii="Courier New" w:hAnsi="Courier New" w:cs="Courier New"/>
      <w:sz w:val="22"/>
      <w:szCs w:val="22"/>
      <w:lang w:val="ru-RU" w:eastAsia="en-US" w:bidi="ar-SA"/>
    </w:rPr>
  </w:style>
  <w:style w:type="character" w:styleId="52">
    <w:name w:val="5 МГП Обычный текст Знак"/>
    <w:qFormat/>
    <w:rPr>
      <w:rFonts w:ascii="Times New Roman" w:hAnsi="Times New Roman" w:cs="Times New Roman"/>
      <w:sz w:val="22"/>
      <w:lang w:eastAsia="en-US"/>
    </w:rPr>
  </w:style>
  <w:style w:type="character" w:styleId="Blk">
    <w:name w:val="blk"/>
    <w:basedOn w:val="DefaultParagraphFont"/>
    <w:qFormat/>
    <w:rPr>
      <w:rFonts w:cs="Times New Roman"/>
    </w:rPr>
  </w:style>
  <w:style w:type="character" w:styleId="111">
    <w:name w:val="Заголовок 1 Знак1"/>
    <w:qFormat/>
    <w:rPr>
      <w:rFonts w:ascii="Arial" w:hAnsi="Arial" w:cs="Arial"/>
      <w:b/>
      <w:color w:val="000000"/>
      <w:kern w:val="2"/>
      <w:sz w:val="32"/>
    </w:rPr>
  </w:style>
  <w:style w:type="character" w:styleId="12">
    <w:name w:val="Заголовок 1 Знак Знак"/>
    <w:qFormat/>
    <w:rPr>
      <w:rFonts w:ascii="Arial" w:hAnsi="Arial" w:cs="Arial"/>
      <w:b/>
      <w:color w:val="000000"/>
      <w:kern w:val="2"/>
      <w:sz w:val="32"/>
      <w:lang w:val="ru-RU" w:eastAsia="ru-RU"/>
    </w:rPr>
  </w:style>
  <w:style w:type="character" w:styleId="13">
    <w:name w:val="Текст Знак1"/>
    <w:qFormat/>
    <w:rPr>
      <w:rFonts w:ascii="Courier New" w:hAnsi="Courier New" w:cs="Courier New"/>
      <w:color w:val="000000"/>
    </w:rPr>
  </w:style>
  <w:style w:type="character" w:styleId="Pagenumber">
    <w:name w:val="page number"/>
    <w:basedOn w:val="DefaultParagraphFont"/>
    <w:qFormat/>
    <w:rPr>
      <w:rFonts w:cs="Times New Roman"/>
    </w:rPr>
  </w:style>
  <w:style w:type="character" w:styleId="Style15">
    <w:name w:val="Основной текст с отступом Знак"/>
    <w:basedOn w:val="DefaultParagraphFont"/>
    <w:qFormat/>
    <w:rPr>
      <w:rFonts w:ascii="Times New Roman" w:hAnsi="Times New Roman" w:cs="Times New Roman"/>
    </w:rPr>
  </w:style>
  <w:style w:type="character" w:styleId="Style16">
    <w:name w:val="Название Знак"/>
    <w:basedOn w:val="DefaultParagraphFont"/>
    <w:qFormat/>
    <w:rPr>
      <w:rFonts w:ascii="Cambria" w:hAnsi="Cambria" w:cs="Times New Roman"/>
      <w:b/>
      <w:bCs/>
      <w:color w:val="000000"/>
      <w:kern w:val="2"/>
      <w:sz w:val="32"/>
      <w:szCs w:val="32"/>
    </w:rPr>
  </w:style>
  <w:style w:type="character" w:styleId="Style17">
    <w:name w:val="Схема документа Знак"/>
    <w:basedOn w:val="DefaultParagraphFont"/>
    <w:qFormat/>
    <w:rPr>
      <w:rFonts w:ascii="Times New Roman" w:hAnsi="Times New Roman" w:cs="Times New Roman"/>
      <w:color w:val="000000"/>
      <w:sz w:val="2"/>
      <w:shd w:fill="000080" w:val="clear"/>
    </w:rPr>
  </w:style>
  <w:style w:type="character" w:styleId="32">
    <w:name w:val="Основной текст с отступом 3 Знак"/>
    <w:basedOn w:val="DefaultParagraphFont"/>
    <w:qFormat/>
    <w:rPr>
      <w:rFonts w:ascii="Times New Roman" w:hAnsi="Times New Roman" w:cs="Times New Roman"/>
      <w:color w:val="000000"/>
      <w:sz w:val="16"/>
      <w:szCs w:val="16"/>
    </w:rPr>
  </w:style>
  <w:style w:type="character" w:styleId="22">
    <w:name w:val="Основной текст с отступом 2 Знак"/>
    <w:basedOn w:val="DefaultParagraphFont"/>
    <w:qFormat/>
    <w:rPr>
      <w:rFonts w:ascii="Times New Roman" w:hAnsi="Times New Roman" w:cs="Times New Roman"/>
      <w:color w:val="000000"/>
      <w:sz w:val="28"/>
      <w:szCs w:val="28"/>
    </w:rPr>
  </w:style>
  <w:style w:type="character" w:styleId="23">
    <w:name w:val="Основной текст 2 Знак"/>
    <w:basedOn w:val="DefaultParagraphFont"/>
    <w:qFormat/>
    <w:rPr>
      <w:rFonts w:ascii="Times New Roman" w:hAnsi="Times New Roman" w:cs="Times New Roman"/>
      <w:sz w:val="24"/>
      <w:szCs w:val="24"/>
    </w:rPr>
  </w:style>
  <w:style w:type="character" w:styleId="33">
    <w:name w:val="Основной текст 3 Знак"/>
    <w:basedOn w:val="DefaultParagraphFont"/>
    <w:qFormat/>
    <w:rPr>
      <w:rFonts w:ascii="Times New Roman" w:hAnsi="Times New Roman" w:cs="Times New Roman"/>
      <w:color w:val="000000"/>
      <w:sz w:val="16"/>
      <w:szCs w:val="16"/>
    </w:rPr>
  </w:style>
  <w:style w:type="character" w:styleId="14">
    <w:name w:val="Основной текст с отступом1"/>
    <w:qFormat/>
    <w:rPr>
      <w:sz w:val="24"/>
      <w:lang w:val="ru-RU" w:eastAsia="ru-RU"/>
    </w:rPr>
  </w:style>
  <w:style w:type="character" w:styleId="Style18">
    <w:name w:val="Название Знак Знак Знак Знак Знак"/>
    <w:qFormat/>
    <w:rPr>
      <w:b/>
      <w:sz w:val="24"/>
      <w:lang w:val="ru-RU" w:eastAsia="ru-RU"/>
    </w:rPr>
  </w:style>
  <w:style w:type="character" w:styleId="Style19">
    <w:name w:val="Ариал Знак"/>
    <w:qFormat/>
    <w:rPr>
      <w:rFonts w:ascii="Arial" w:hAnsi="Arial" w:cs="Arial"/>
      <w:sz w:val="24"/>
      <w:lang w:val="ru-RU" w:eastAsia="ru-RU"/>
    </w:rPr>
  </w:style>
  <w:style w:type="character" w:styleId="Strong">
    <w:name w:val="Strong"/>
    <w:basedOn w:val="DefaultParagraphFont"/>
    <w:qFormat/>
    <w:rPr>
      <w:rFonts w:cs="Times New Roman"/>
      <w:b/>
    </w:rPr>
  </w:style>
  <w:style w:type="character" w:styleId="Catclicks1">
    <w:name w:val="cat_clicks1"/>
    <w:qFormat/>
    <w:rPr>
      <w:color w:val="A0A0A0"/>
      <w:sz w:val="19"/>
    </w:rPr>
  </w:style>
  <w:style w:type="character" w:styleId="24">
    <w:name w:val="Стиль2 Знак"/>
    <w:qFormat/>
    <w:rPr>
      <w:b/>
      <w:sz w:val="24"/>
      <w:lang w:val="ru-RU" w:eastAsia="ru-RU"/>
    </w:rPr>
  </w:style>
  <w:style w:type="character" w:styleId="15">
    <w:name w:val="Стиль1 Знак"/>
    <w:qFormat/>
    <w:rPr>
      <w:rFonts w:ascii="Cambria" w:hAnsi="Cambria" w:cs="Cambria"/>
      <w:b/>
      <w:kern w:val="2"/>
      <w:sz w:val="24"/>
      <w:lang w:val="ru-RU" w:eastAsia="ru-RU"/>
    </w:rPr>
  </w:style>
  <w:style w:type="character" w:styleId="Style20">
    <w:name w:val="Абзац рядовой Знак Знак"/>
    <w:qFormat/>
    <w:rPr>
      <w:rFonts w:ascii="Times New Roman" w:hAnsi="Times New Roman" w:cs="Times New Roman"/>
      <w:sz w:val="28"/>
      <w:lang w:val="en-US"/>
    </w:rPr>
  </w:style>
  <w:style w:type="character" w:styleId="Style21">
    <w:name w:val="заголовок таб Знак"/>
    <w:qFormat/>
    <w:rPr>
      <w:rFonts w:ascii="Times New Roman" w:hAnsi="Times New Roman" w:cs="Times New Roman"/>
      <w:b/>
      <w:sz w:val="24"/>
    </w:rPr>
  </w:style>
  <w:style w:type="character" w:styleId="Pubarticletitle">
    <w:name w:val="pub_article_title"/>
    <w:qFormat/>
    <w:rPr/>
  </w:style>
  <w:style w:type="character" w:styleId="112">
    <w:name w:val="МГП 1.1 Знак"/>
    <w:qFormat/>
    <w:rPr>
      <w:rFonts w:ascii="Times New Roman" w:hAnsi="Times New Roman" w:cs="Times New Roman"/>
      <w:b/>
      <w:sz w:val="28"/>
    </w:rPr>
  </w:style>
  <w:style w:type="character" w:styleId="1I">
    <w:name w:val="1 МГП I Знак"/>
    <w:qFormat/>
    <w:rPr>
      <w:rFonts w:ascii="Arial" w:hAnsi="Arial" w:cs="Arial"/>
      <w:color w:val="000000"/>
      <w:kern w:val="2"/>
      <w:sz w:val="32"/>
    </w:rPr>
  </w:style>
  <w:style w:type="character" w:styleId="1111">
    <w:name w:val="МГП 1.1.1 Знак"/>
    <w:basedOn w:val="Style15"/>
    <w:qFormat/>
    <w:rPr>
      <w:rFonts w:ascii="Times New Roman" w:hAnsi="Times New Roman" w:cs="Times New Roman"/>
      <w:b/>
      <w:sz w:val="28"/>
      <w:szCs w:val="28"/>
    </w:rPr>
  </w:style>
  <w:style w:type="character" w:styleId="FollowedHyperlink">
    <w:name w:val="FollowedHyperlink"/>
    <w:basedOn w:val="DefaultParagraphFont"/>
    <w:qFormat/>
    <w:rPr>
      <w:rFonts w:cs="Times New Roman"/>
      <w:color w:val="800080"/>
      <w:u w:val="single"/>
    </w:rPr>
  </w:style>
  <w:style w:type="character" w:styleId="Style22">
    <w:name w:val="Текст сноски Знак"/>
    <w:basedOn w:val="DefaultParagraphFont"/>
    <w:qFormat/>
    <w:rPr>
      <w:rFonts w:ascii="Times New Roman" w:hAnsi="Times New Roman" w:cs="Times New Roman"/>
      <w:color w:val="000000"/>
    </w:rPr>
  </w:style>
  <w:style w:type="character" w:styleId="Style23">
    <w:name w:val="Текст примечания Знак"/>
    <w:basedOn w:val="DefaultParagraphFont"/>
    <w:qFormat/>
    <w:rPr>
      <w:rFonts w:ascii="Times New Roman" w:hAnsi="Times New Roman" w:cs="Times New Roman"/>
      <w:color w:val="000000"/>
    </w:rPr>
  </w:style>
  <w:style w:type="character" w:styleId="Style24">
    <w:name w:val="Текст концевой сноски Знак"/>
    <w:basedOn w:val="DefaultParagraphFont"/>
    <w:qFormat/>
    <w:rPr>
      <w:rFonts w:ascii="Times New Roman" w:hAnsi="Times New Roman" w:cs="Times New Roman"/>
      <w:color w:val="000000"/>
    </w:rPr>
  </w:style>
  <w:style w:type="character" w:styleId="Style25">
    <w:name w:val="Шапка Знак"/>
    <w:basedOn w:val="DefaultParagraphFont"/>
    <w:qFormat/>
    <w:rPr>
      <w:rFonts w:ascii="Cambria" w:hAnsi="Cambria" w:cs="Times New Roman"/>
      <w:color w:val="000000"/>
      <w:sz w:val="24"/>
      <w:szCs w:val="24"/>
      <w:shd w:fill="CCCCCC" w:val="clear"/>
    </w:rPr>
  </w:style>
  <w:style w:type="character" w:styleId="Style26">
    <w:name w:val="Подзаголовок Знак"/>
    <w:basedOn w:val="DefaultParagraphFont"/>
    <w:qFormat/>
    <w:rPr>
      <w:rFonts w:ascii="Cambria" w:hAnsi="Cambria" w:cs="Times New Roman"/>
      <w:color w:val="000000"/>
      <w:sz w:val="24"/>
      <w:szCs w:val="24"/>
    </w:rPr>
  </w:style>
  <w:style w:type="character" w:styleId="Footnotereference">
    <w:name w:val="footnote reference"/>
    <w:basedOn w:val="DefaultParagraphFont"/>
    <w:qFormat/>
    <w:rPr>
      <w:rFonts w:cs="Times New Roman"/>
      <w:vertAlign w:val="superscript"/>
    </w:rPr>
  </w:style>
  <w:style w:type="character" w:styleId="Style27">
    <w:name w:val="Выделение"/>
    <w:basedOn w:val="DefaultParagraphFont"/>
    <w:qFormat/>
    <w:rPr>
      <w:rFonts w:cs="Times New Roman"/>
      <w:i/>
    </w:rPr>
  </w:style>
  <w:style w:type="character" w:styleId="Applestylespan">
    <w:name w:val="apple-style-span"/>
    <w:qFormat/>
    <w:rPr/>
  </w:style>
  <w:style w:type="character" w:styleId="311">
    <w:name w:val="3 МГП 1.1 Знак"/>
    <w:qFormat/>
    <w:rPr>
      <w:rFonts w:ascii="Times New Roman" w:hAnsi="Times New Roman" w:cs="Times New Roman"/>
      <w:b/>
      <w:sz w:val="22"/>
      <w:lang w:eastAsia="en-US"/>
    </w:rPr>
  </w:style>
  <w:style w:type="character" w:styleId="4111">
    <w:name w:val="4 МГП 1.1.1 Знак"/>
    <w:qFormat/>
    <w:rPr>
      <w:rFonts w:ascii="Times New Roman" w:hAnsi="Times New Roman" w:cs="Times New Roman"/>
      <w:b/>
      <w:i/>
      <w:sz w:val="22"/>
      <w:lang w:eastAsia="en-US"/>
    </w:rPr>
  </w:style>
  <w:style w:type="character" w:styleId="Style28">
    <w:name w:val="Обычный в таблице Знак"/>
    <w:qFormat/>
    <w:rPr>
      <w:rFonts w:ascii="Times New Roman" w:hAnsi="Times New Roman" w:cs="Times New Roman"/>
      <w:sz w:val="24"/>
    </w:rPr>
  </w:style>
  <w:style w:type="character" w:styleId="16">
    <w:name w:val="Название1"/>
    <w:basedOn w:val="DefaultParagraphFont"/>
    <w:qFormat/>
    <w:rPr>
      <w:rFonts w:cs="Times New Roman"/>
    </w:rPr>
  </w:style>
  <w:style w:type="character" w:styleId="0">
    <w:name w:val="0ПЗ Обычный Знак"/>
    <w:qFormat/>
    <w:rPr>
      <w:rFonts w:ascii="Times New Roman" w:hAnsi="Times New Roman" w:cs="Times New Roman"/>
      <w:color w:val="000000"/>
      <w:sz w:val="28"/>
    </w:rPr>
  </w:style>
  <w:style w:type="character" w:styleId="Style29">
    <w:name w:val="МГП Обычный Знак"/>
    <w:basedOn w:val="0"/>
    <w:qFormat/>
    <w:rPr>
      <w:rFonts w:ascii="Times New Roman" w:hAnsi="Times New Roman" w:cs="Times New Roman"/>
      <w:color w:val="000000"/>
      <w:sz w:val="28"/>
      <w:szCs w:val="28"/>
    </w:rPr>
  </w:style>
  <w:style w:type="character" w:styleId="PlaceholderText">
    <w:name w:val="Placeholder Text"/>
    <w:basedOn w:val="DefaultParagraphFont"/>
    <w:qFormat/>
    <w:rPr>
      <w:rFonts w:cs="Times New Roman"/>
      <w:color w:val="808080"/>
    </w:rPr>
  </w:style>
  <w:style w:type="character" w:styleId="72">
    <w:name w:val="7 МГП Таблица Нумерация Знак"/>
    <w:qFormat/>
    <w:rPr>
      <w:rFonts w:ascii="Times New Roman" w:hAnsi="Times New Roman" w:cs="Times New Roman"/>
      <w:color w:val="000000"/>
      <w:sz w:val="28"/>
    </w:rPr>
  </w:style>
  <w:style w:type="character" w:styleId="42">
    <w:name w:val="4 Знак"/>
    <w:qFormat/>
    <w:rPr>
      <w:rFonts w:ascii="Times New Roman" w:hAnsi="Times New Roman" w:cs="Times New Roman"/>
      <w:b/>
      <w:sz w:val="22"/>
      <w:lang w:eastAsia="en-US"/>
    </w:rPr>
  </w:style>
  <w:style w:type="character" w:styleId="HTML">
    <w:name w:val="Стандартный HTML Знак"/>
    <w:basedOn w:val="DefaultParagraphFont"/>
    <w:qFormat/>
    <w:rPr>
      <w:rFonts w:ascii="Courier New" w:hAnsi="Courier New" w:cs="Times New Roman"/>
      <w:color w:val="000000"/>
    </w:rPr>
  </w:style>
  <w:style w:type="character" w:styleId="SubtleEmphasis">
    <w:name w:val="Subtle Emphasis"/>
    <w:basedOn w:val="DefaultParagraphFont"/>
    <w:qFormat/>
    <w:rPr>
      <w:rFonts w:eastAsia="Times New Roman" w:cs="Times New Roman"/>
      <w:i/>
      <w:iCs/>
      <w:color w:val="808080"/>
      <w:sz w:val="22"/>
      <w:szCs w:val="22"/>
      <w:lang w:val="ru-RU"/>
    </w:rPr>
  </w:style>
  <w:style w:type="character" w:styleId="Annotationreference">
    <w:name w:val="annotation reference"/>
    <w:basedOn w:val="DefaultParagraphFont"/>
    <w:qFormat/>
    <w:rPr>
      <w:rFonts w:cs="Times New Roman"/>
      <w:sz w:val="16"/>
      <w:szCs w:val="16"/>
    </w:rPr>
  </w:style>
  <w:style w:type="character" w:styleId="Style30">
    <w:name w:val="Тема примечания Знак"/>
    <w:basedOn w:val="Style23"/>
    <w:qFormat/>
    <w:rPr>
      <w:rFonts w:ascii="Times New Roman" w:hAnsi="Times New Roman" w:cs="Times New Roman"/>
      <w:b/>
      <w:bCs/>
      <w:color w:val="000000"/>
    </w:rPr>
  </w:style>
  <w:style w:type="character" w:styleId="ConsNormal">
    <w:name w:val="ConsNormal Знак"/>
    <w:basedOn w:val="DefaultParagraphFont"/>
    <w:qFormat/>
    <w:rPr>
      <w:rFonts w:ascii="Arial" w:hAnsi="Arial" w:eastAsia="Times New Roman" w:cs="Arial"/>
      <w:lang w:val="ru-RU" w:eastAsia="ru-RU" w:bidi="ar-SA"/>
    </w:rPr>
  </w:style>
  <w:style w:type="character" w:styleId="S1">
    <w:name w:val="S_Обычный в таблице Знак"/>
    <w:basedOn w:val="DefaultParagraphFont"/>
    <w:qFormat/>
    <w:rPr>
      <w:rFonts w:ascii="Times New Roman" w:hAnsi="Times New Roman" w:cs="Times New Roman"/>
      <w:sz w:val="24"/>
      <w:szCs w:val="24"/>
    </w:rPr>
  </w:style>
  <w:style w:type="character" w:styleId="Mwheadline">
    <w:name w:val="mw-headline"/>
    <w:basedOn w:val="DefaultParagraphFont"/>
    <w:qFormat/>
    <w:rPr>
      <w:rFonts w:cs="Times New Roman"/>
    </w:rPr>
  </w:style>
  <w:style w:type="character" w:styleId="Style31">
    <w:name w:val="Без интервала Знак"/>
    <w:basedOn w:val="DefaultParagraphFont"/>
    <w:qFormat/>
    <w:rPr>
      <w:sz w:val="22"/>
      <w:szCs w:val="22"/>
      <w:lang w:val="ru-RU" w:eastAsia="en-US" w:bidi="ar-SA"/>
    </w:rPr>
  </w:style>
  <w:style w:type="character" w:styleId="01">
    <w:name w:val="0 Основной текст Знак"/>
    <w:basedOn w:val="DefaultParagraphFont"/>
    <w:qFormat/>
    <w:rPr>
      <w:rFonts w:ascii="Times New Roman" w:hAnsi="Times New Roman" w:cs="Times New Roman"/>
      <w:color w:val="000000"/>
      <w:sz w:val="28"/>
      <w:szCs w:val="28"/>
    </w:rPr>
  </w:style>
  <w:style w:type="character" w:styleId="02">
    <w:name w:val="0 Содержание Знак"/>
    <w:basedOn w:val="112"/>
    <w:qFormat/>
    <w:rPr>
      <w:rFonts w:ascii="Times New Roman" w:hAnsi="Times New Roman" w:cs="Times New Roman"/>
      <w:b/>
      <w:bCs/>
      <w:color w:val="000000"/>
      <w:sz w:val="28"/>
      <w:szCs w:val="28"/>
    </w:rPr>
  </w:style>
  <w:style w:type="character" w:styleId="Appleconvertedspace">
    <w:name w:val="apple-converted-space"/>
    <w:basedOn w:val="DefaultParagraphFont"/>
    <w:qFormat/>
    <w:rPr>
      <w:rFonts w:cs="Times New Roman"/>
    </w:rPr>
  </w:style>
  <w:style w:type="character" w:styleId="17">
    <w:name w:val="Текст сноски Знак1"/>
    <w:basedOn w:val="DefaultParagraphFont"/>
    <w:qFormat/>
    <w:rPr>
      <w:rFonts w:cs="Times New Roman"/>
      <w:color w:val="000000"/>
    </w:rPr>
  </w:style>
  <w:style w:type="character" w:styleId="18">
    <w:name w:val="Верхний колонтитул Знак1"/>
    <w:basedOn w:val="DefaultParagraphFont"/>
    <w:qFormat/>
    <w:rPr>
      <w:rFonts w:cs="Times New Roman"/>
      <w:color w:val="000000"/>
      <w:sz w:val="28"/>
      <w:szCs w:val="28"/>
    </w:rPr>
  </w:style>
  <w:style w:type="character" w:styleId="19">
    <w:name w:val="Основной текст Знак1"/>
    <w:basedOn w:val="DefaultParagraphFont"/>
    <w:qFormat/>
    <w:rPr>
      <w:rFonts w:cs="Times New Roman"/>
      <w:color w:val="000000"/>
      <w:sz w:val="28"/>
      <w:szCs w:val="28"/>
    </w:rPr>
  </w:style>
  <w:style w:type="character" w:styleId="110">
    <w:name w:val="Основной текст с отступом Знак1"/>
    <w:basedOn w:val="DefaultParagraphFont"/>
    <w:qFormat/>
    <w:rPr>
      <w:rFonts w:cs="Times New Roman"/>
      <w:color w:val="000000"/>
      <w:sz w:val="28"/>
      <w:szCs w:val="28"/>
    </w:rPr>
  </w:style>
  <w:style w:type="character" w:styleId="Style32">
    <w:name w:val="МГП ОСНОВНОЙ ТЕКСТ Знак"/>
    <w:basedOn w:val="Style12"/>
    <w:qFormat/>
    <w:rPr>
      <w:rFonts w:ascii="Times New Roman" w:hAnsi="Times New Roman" w:eastAsia="SimSun" w:cs="Tahoma"/>
      <w:color w:val="000000"/>
      <w:kern w:val="2"/>
      <w:sz w:val="28"/>
      <w:szCs w:val="28"/>
      <w:lang w:eastAsia="hi-IN" w:bidi="hi-IN"/>
    </w:rPr>
  </w:style>
  <w:style w:type="character" w:styleId="Style33">
    <w:name w:val="Стиль ИБС Знак"/>
    <w:qFormat/>
    <w:rPr>
      <w:color w:val="003366"/>
      <w:sz w:val="28"/>
    </w:rPr>
  </w:style>
  <w:style w:type="character" w:styleId="Style34">
    <w:name w:val="Исследования: Стиль абзаца Знак"/>
    <w:qFormat/>
    <w:rPr>
      <w:rFonts w:ascii="MS Mincho" w:hAnsi="MS Mincho" w:eastAsia="MS Mincho" w:cs="MS Mincho"/>
    </w:rPr>
  </w:style>
  <w:style w:type="character" w:styleId="Style35">
    <w:name w:val="Оформление мониторинга Знак"/>
    <w:qFormat/>
    <w:rPr>
      <w:rFonts w:ascii="MS Mincho" w:hAnsi="MS Mincho" w:eastAsia="MS Mincho" w:cs="MS Mincho"/>
      <w:sz w:val="26"/>
    </w:rPr>
  </w:style>
  <w:style w:type="character" w:styleId="Grame">
    <w:name w:val="grame"/>
    <w:basedOn w:val="DefaultParagraphFont"/>
    <w:qFormat/>
    <w:rPr>
      <w:rFonts w:cs="Times New Roman"/>
    </w:rPr>
  </w:style>
  <w:style w:type="character" w:styleId="S2">
    <w:name w:val="S_Таблица Знак"/>
    <w:qFormat/>
    <w:rPr>
      <w:rFonts w:ascii="Times New Roman" w:hAnsi="Times New Roman" w:cs="Times New Roman"/>
      <w:sz w:val="28"/>
      <w:szCs w:val="28"/>
      <w:lang w:eastAsia="en-US"/>
    </w:rPr>
  </w:style>
  <w:style w:type="character" w:styleId="Style36">
    <w:name w:val="Подзаголовой ЖИРНЫЙ КУРСИВ Знак"/>
    <w:basedOn w:val="DefaultParagraphFont"/>
    <w:qFormat/>
    <w:rPr>
      <w:rFonts w:ascii="Times New Roman" w:hAnsi="Times New Roman" w:eastAsia="Times New Roman" w:cs="Times New Roman"/>
      <w:b/>
      <w:bCs/>
      <w:i/>
      <w:iCs/>
      <w:sz w:val="28"/>
      <w:szCs w:val="28"/>
    </w:rPr>
  </w:style>
  <w:style w:type="character" w:styleId="Style37">
    <w:name w:val="Подзаголовок КУРСИВ Знак"/>
    <w:basedOn w:val="Style36"/>
    <w:qFormat/>
    <w:rPr>
      <w:rFonts w:ascii="Times New Roman" w:hAnsi="Times New Roman" w:eastAsia="Times New Roman" w:cs="Times New Roman"/>
      <w:b/>
      <w:bCs/>
      <w:i/>
      <w:iCs/>
      <w:sz w:val="28"/>
      <w:szCs w:val="28"/>
    </w:rPr>
  </w:style>
  <w:style w:type="character" w:styleId="Style38">
    <w:name w:val="вставки"/>
    <w:basedOn w:val="DefaultParagraphFont"/>
    <w:qFormat/>
    <w:rPr>
      <w:color w:val="002060"/>
    </w:rPr>
  </w:style>
  <w:style w:type="character" w:styleId="Style39">
    <w:name w:val="Н-глава Знак"/>
    <w:qFormat/>
    <w:rPr>
      <w:rFonts w:ascii="Tahoma" w:hAnsi="Tahoma" w:cs="Tahoma"/>
      <w:b/>
      <w:i/>
      <w:iCs/>
      <w:sz w:val="24"/>
      <w:szCs w:val="28"/>
      <w:lang w:eastAsia="ar-SA"/>
    </w:rPr>
  </w:style>
  <w:style w:type="character" w:styleId="43">
    <w:name w:val="Заголовок №4_"/>
    <w:qFormat/>
    <w:rPr>
      <w:sz w:val="23"/>
      <w:szCs w:val="23"/>
      <w:shd w:fill="FFFFFF" w:val="clear"/>
    </w:rPr>
  </w:style>
  <w:style w:type="character" w:styleId="FontStyle13">
    <w:name w:val="Font Style13"/>
    <w:qFormat/>
    <w:rPr>
      <w:rFonts w:ascii="Times New Roman" w:hAnsi="Times New Roman" w:cs="Times New Roman"/>
      <w:sz w:val="24"/>
    </w:rPr>
  </w:style>
  <w:style w:type="character" w:styleId="Highlight">
    <w:name w:val="highlight"/>
    <w:qFormat/>
    <w:rPr/>
  </w:style>
  <w:style w:type="character" w:styleId="FontStyle45">
    <w:name w:val="Font Style45"/>
    <w:basedOn w:val="DefaultParagraphFont"/>
    <w:qFormat/>
    <w:rPr>
      <w:rFonts w:ascii="Times New Roman" w:hAnsi="Times New Roman" w:cs="Times New Roman"/>
      <w:i/>
      <w:iCs/>
      <w:sz w:val="26"/>
      <w:szCs w:val="26"/>
    </w:rPr>
  </w:style>
  <w:style w:type="character" w:styleId="FontStyle53">
    <w:name w:val="Font Style53"/>
    <w:basedOn w:val="DefaultParagraphFont"/>
    <w:qFormat/>
    <w:rPr>
      <w:rFonts w:ascii="Times New Roman" w:hAnsi="Times New Roman" w:cs="Times New Roman"/>
      <w:sz w:val="26"/>
      <w:szCs w:val="26"/>
    </w:rPr>
  </w:style>
  <w:style w:type="character" w:styleId="Style40">
    <w:name w:val="часть Знак"/>
    <w:basedOn w:val="ConsPlusNormal"/>
    <w:qFormat/>
    <w:rPr>
      <w:rFonts w:ascii="Times New Roman" w:hAnsi="Times New Roman" w:eastAsia="Times New Roman" w:cs="Times New Roman"/>
      <w:b/>
      <w:sz w:val="24"/>
      <w:szCs w:val="24"/>
    </w:rPr>
  </w:style>
  <w:style w:type="character" w:styleId="S10">
    <w:name w:val="s_10"/>
    <w:basedOn w:val="DefaultParagraphFont"/>
    <w:qFormat/>
    <w:rPr/>
  </w:style>
  <w:style w:type="character" w:styleId="Searchtext">
    <w:name w:val="searchtext"/>
    <w:basedOn w:val="DefaultParagraphFont"/>
    <w:qFormat/>
    <w:rPr/>
  </w:style>
  <w:style w:type="character" w:styleId="FontStyle54">
    <w:name w:val="Font Style54"/>
    <w:basedOn w:val="DefaultParagraphFont"/>
    <w:qFormat/>
    <w:rPr>
      <w:rFonts w:ascii="Times New Roman" w:hAnsi="Times New Roman" w:cs="Times New Roman"/>
      <w:sz w:val="22"/>
      <w:szCs w:val="22"/>
    </w:rPr>
  </w:style>
  <w:style w:type="character" w:styleId="555">
    <w:name w:val="555 Знак"/>
    <w:basedOn w:val="DefaultParagraphFont"/>
    <w:qFormat/>
    <w:rPr>
      <w:rFonts w:ascii="Times New Roman" w:hAnsi="Times New Roman" w:cs="Times New Roman"/>
      <w:iCs/>
      <w:color w:val="000000"/>
      <w:sz w:val="24"/>
      <w:szCs w:val="24"/>
      <w:lang w:eastAsia="en-US"/>
    </w:rPr>
  </w:style>
  <w:style w:type="character" w:styleId="Style41">
    <w:name w:val="П_Обычный Знак"/>
    <w:basedOn w:val="DefaultParagraphFont"/>
    <w:qFormat/>
    <w:rPr>
      <w:rFonts w:ascii="Times New Roman" w:hAnsi="Times New Roman" w:eastAsia="Times New Roman" w:cs="Times New Roman"/>
      <w:b/>
      <w:i/>
      <w:color w:val="000000"/>
      <w:sz w:val="28"/>
      <w:szCs w:val="28"/>
    </w:rPr>
  </w:style>
  <w:style w:type="character" w:styleId="55555">
    <w:name w:val="55555 Знак"/>
    <w:basedOn w:val="Style41"/>
    <w:qFormat/>
    <w:rPr>
      <w:sz w:val="24"/>
      <w:szCs w:val="24"/>
    </w:rPr>
  </w:style>
  <w:style w:type="character" w:styleId="53">
    <w:name w:val="5 Знак"/>
    <w:basedOn w:val="Style31"/>
    <w:qFormat/>
    <w:rPr>
      <w:rFonts w:ascii="Times New Roman" w:hAnsi="Times New Roman" w:cs="Times New Roman"/>
      <w:b/>
      <w:i/>
      <w:sz w:val="24"/>
      <w:szCs w:val="24"/>
    </w:rPr>
  </w:style>
  <w:style w:type="character" w:styleId="55">
    <w:name w:val="55 Знак"/>
    <w:basedOn w:val="Style31"/>
    <w:qFormat/>
    <w:rPr>
      <w:rFonts w:ascii="Times New Roman" w:hAnsi="Times New Roman" w:cs="Times New Roman"/>
      <w:b/>
      <w:i/>
      <w:sz w:val="24"/>
      <w:szCs w:val="24"/>
    </w:rPr>
  </w:style>
  <w:style w:type="character" w:styleId="Style42">
    <w:name w:val="глава Знак"/>
    <w:basedOn w:val="Style31"/>
    <w:qFormat/>
    <w:rPr>
      <w:rFonts w:ascii="Times New Roman" w:hAnsi="Times New Roman" w:cs="Times New Roman"/>
      <w:b/>
      <w:i/>
      <w:sz w:val="24"/>
      <w:szCs w:val="24"/>
    </w:rPr>
  </w:style>
  <w:style w:type="character" w:styleId="34">
    <w:name w:val="Основной текст3 Знак"/>
    <w:basedOn w:val="DefaultParagraphFont"/>
    <w:qFormat/>
    <w:rPr>
      <w:rFonts w:ascii="Times New Roman" w:hAnsi="Times New Roman" w:eastAsia="Times New Roman" w:cs="Times New Roman"/>
      <w:sz w:val="23"/>
      <w:szCs w:val="23"/>
      <w:shd w:fill="FFFFFF" w:val="clear"/>
    </w:rPr>
  </w:style>
  <w:style w:type="character" w:styleId="Style43">
    <w:name w:val="раздел Знак"/>
    <w:basedOn w:val="34"/>
    <w:qFormat/>
    <w:rPr>
      <w:b/>
      <w:i/>
      <w:sz w:val="24"/>
      <w:szCs w:val="24"/>
    </w:rPr>
  </w:style>
  <w:style w:type="character" w:styleId="IntenseReference">
    <w:name w:val="Intense Reference"/>
    <w:qFormat/>
    <w:rPr>
      <w:b/>
      <w:bCs/>
      <w:smallCaps/>
      <w:color w:val="C0504D"/>
      <w:spacing w:val="5"/>
      <w:u w:val="single"/>
    </w:rPr>
  </w:style>
  <w:style w:type="character" w:styleId="ListLabel1">
    <w:name w:val="ListLabel 1"/>
    <w:qFormat/>
    <w:rPr>
      <w:rFonts w:cs="Times New Roman"/>
      <w:color w:val="000000"/>
      <w:sz w:val="28"/>
    </w:rPr>
  </w:style>
  <w:style w:type="character" w:styleId="ListLabel2">
    <w:name w:val="ListLabel 2"/>
    <w:qFormat/>
    <w:rPr>
      <w:rFonts w:cs="Times New Roman"/>
    </w:rPr>
  </w:style>
  <w:style w:type="character" w:styleId="ListLabel3">
    <w:name w:val="ListLabel 3"/>
    <w:qFormat/>
    <w:rPr>
      <w:rFonts w:cs="Times New Roman"/>
    </w:rPr>
  </w:style>
  <w:style w:type="character" w:styleId="ListLabel4">
    <w:name w:val="ListLabel 4"/>
    <w:qFormat/>
    <w:rPr>
      <w:rFonts w:cs="Times New Roman"/>
    </w:rPr>
  </w:style>
  <w:style w:type="character" w:styleId="ListLabel5">
    <w:name w:val="ListLabel 5"/>
    <w:qFormat/>
    <w:rPr>
      <w:rFonts w:cs="Times New Roman"/>
    </w:rPr>
  </w:style>
  <w:style w:type="character" w:styleId="ListLabel6">
    <w:name w:val="ListLabel 6"/>
    <w:qFormat/>
    <w:rPr>
      <w:rFonts w:cs="Times New Roman"/>
    </w:rPr>
  </w:style>
  <w:style w:type="character" w:styleId="ListLabel7">
    <w:name w:val="ListLabel 7"/>
    <w:qFormat/>
    <w:rPr>
      <w:rFonts w:cs="Times New Roman"/>
    </w:rPr>
  </w:style>
  <w:style w:type="character" w:styleId="ListLabel8">
    <w:name w:val="ListLabel 8"/>
    <w:qFormat/>
    <w:rPr>
      <w:rFonts w:cs="Times New Roman"/>
    </w:rPr>
  </w:style>
  <w:style w:type="character" w:styleId="ListLabel9">
    <w:name w:val="ListLabel 9"/>
    <w:qFormat/>
    <w:rPr>
      <w:rFonts w:cs="Times New Roman"/>
    </w:rPr>
  </w:style>
  <w:style w:type="character" w:styleId="ListLabel10">
    <w:name w:val="ListLabel 10"/>
    <w:qFormat/>
    <w:rPr>
      <w:color w:val="00000A"/>
    </w:rPr>
  </w:style>
  <w:style w:type="character" w:styleId="ListLabel11">
    <w:name w:val="ListLabel 11"/>
    <w:qFormat/>
    <w:rPr>
      <w:b w:val="false"/>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cs="Courier New"/>
    </w:rPr>
  </w:style>
  <w:style w:type="character" w:styleId="ListLabel41">
    <w:name w:val="ListLabel 41"/>
    <w:qFormat/>
    <w:rPr>
      <w:rFonts w:cs="Courier New"/>
    </w:rPr>
  </w:style>
  <w:style w:type="character" w:styleId="Style44">
    <w:name w:val="Ссылка указателя"/>
    <w:qFormat/>
    <w:rPr/>
  </w:style>
  <w:style w:type="paragraph" w:styleId="Style45">
    <w:name w:val="Заголовок"/>
    <w:basedOn w:val="Normal"/>
    <w:next w:val="Style46"/>
    <w:qFormat/>
    <w:pPr>
      <w:widowControl/>
      <w:overflowPunct w:val="true"/>
      <w:bidi w:val="0"/>
      <w:jc w:val="left"/>
    </w:pPr>
    <w:rPr>
      <w:rFonts w:ascii="Arial" w:hAnsi="Arial" w:eastAsia="Times New Roman" w:cs="Arial"/>
      <w:b/>
      <w:sz w:val="22"/>
    </w:rPr>
  </w:style>
  <w:style w:type="paragraph" w:styleId="Style46">
    <w:name w:val="Body Text"/>
    <w:basedOn w:val="Normal"/>
    <w:pPr>
      <w:widowControl w:val="false"/>
      <w:suppressAutoHyphens w:val="true"/>
      <w:spacing w:lineRule="auto" w:line="240" w:before="0" w:after="120"/>
    </w:pPr>
    <w:rPr>
      <w:rFonts w:ascii="Times New Roman" w:hAnsi="Times New Roman" w:eastAsia="SimSun" w:cs="Tahoma"/>
      <w:kern w:val="2"/>
      <w:sz w:val="24"/>
      <w:szCs w:val="24"/>
      <w:lang w:eastAsia="hi-IN" w:bidi="hi-IN"/>
    </w:rPr>
  </w:style>
  <w:style w:type="paragraph" w:styleId="Style47">
    <w:name w:val="List"/>
    <w:basedOn w:val="Normal"/>
    <w:pPr>
      <w:spacing w:lineRule="auto" w:line="240" w:before="0" w:after="0"/>
      <w:ind w:left="283" w:right="0" w:hanging="283"/>
    </w:pPr>
    <w:rPr>
      <w:rFonts w:ascii="Times New Roman" w:hAnsi="Times New Roman" w:eastAsia="Times New Roman" w:cs="Times New Roman"/>
      <w:sz w:val="28"/>
      <w:szCs w:val="20"/>
      <w:lang w:eastAsia="ru-RU"/>
    </w:rPr>
  </w:style>
  <w:style w:type="paragraph" w:styleId="Style48">
    <w:name w:val="Caption"/>
    <w:basedOn w:val="Normal"/>
    <w:qFormat/>
    <w:pPr>
      <w:suppressLineNumbers/>
      <w:spacing w:before="120" w:after="120"/>
    </w:pPr>
    <w:rPr>
      <w:rFonts w:cs="Mangal"/>
      <w:i/>
      <w:iCs/>
      <w:sz w:val="24"/>
      <w:szCs w:val="24"/>
    </w:rPr>
  </w:style>
  <w:style w:type="paragraph" w:styleId="Style49">
    <w:name w:val="Указатель"/>
    <w:basedOn w:val="Normal"/>
    <w:qFormat/>
    <w:pPr>
      <w:suppressLineNumbers/>
    </w:pPr>
    <w:rPr>
      <w:rFonts w:cs="Mangal"/>
    </w:rPr>
  </w:style>
  <w:style w:type="paragraph" w:styleId="Default">
    <w:name w:val="Default"/>
    <w:qFormat/>
    <w:pPr>
      <w:widowControl/>
      <w:suppressAutoHyphens w:val="true"/>
      <w:bidi w:val="0"/>
      <w:jc w:val="left"/>
    </w:pPr>
    <w:rPr>
      <w:rFonts w:ascii="Haettenschweiler" w:hAnsi="Haettenschweiler" w:eastAsia="Calibri" w:cs="Haettenschweiler"/>
      <w:color w:val="000000"/>
      <w:kern w:val="2"/>
      <w:sz w:val="24"/>
      <w:szCs w:val="24"/>
      <w:lang w:val="ru-RU" w:eastAsia="en-US" w:bidi="ar-SA"/>
    </w:rPr>
  </w:style>
  <w:style w:type="paragraph" w:styleId="ListParagraph">
    <w:name w:val="List Paragraph"/>
    <w:basedOn w:val="Normal"/>
    <w:qFormat/>
    <w:pPr>
      <w:spacing w:before="0" w:after="200"/>
      <w:ind w:left="720" w:right="0" w:hanging="0"/>
      <w:contextualSpacing/>
    </w:pPr>
    <w:rPr/>
  </w:style>
  <w:style w:type="paragraph" w:styleId="ConsPlusNormal1">
    <w:name w:val="ConsPlusNormal"/>
    <w:qFormat/>
    <w:pPr>
      <w:widowControl w:val="false"/>
      <w:suppressAutoHyphens w:val="true"/>
      <w:bidi w:val="0"/>
      <w:ind w:left="0" w:right="0" w:firstLine="720"/>
      <w:jc w:val="both"/>
    </w:pPr>
    <w:rPr>
      <w:rFonts w:ascii="Arial" w:hAnsi="Arial" w:eastAsia="Calibri" w:cs="Times New Roman"/>
      <w:color w:val="auto"/>
      <w:kern w:val="2"/>
      <w:sz w:val="22"/>
      <w:szCs w:val="22"/>
      <w:lang w:val="ru-RU" w:eastAsia="ar-SA" w:bidi="ar-SA"/>
    </w:rPr>
  </w:style>
  <w:style w:type="paragraph" w:styleId="S3">
    <w:name w:val="S_Обычный"/>
    <w:basedOn w:val="Normal"/>
    <w:qFormat/>
    <w:pPr>
      <w:spacing w:lineRule="auto" w:line="360" w:before="0" w:after="0"/>
      <w:ind w:left="0" w:right="0" w:firstLine="709"/>
      <w:jc w:val="both"/>
    </w:pPr>
    <w:rPr>
      <w:rFonts w:ascii="Times New Roman" w:hAnsi="Times New Roman" w:cs="Times New Roman"/>
      <w:sz w:val="24"/>
      <w:szCs w:val="20"/>
      <w:lang w:eastAsia="ru-RU"/>
    </w:rPr>
  </w:style>
  <w:style w:type="paragraph" w:styleId="S0">
    <w:name w:val="s0"/>
    <w:basedOn w:val="Normal"/>
    <w:qFormat/>
    <w:pPr>
      <w:spacing w:lineRule="auto" w:line="240" w:before="280" w:after="280"/>
    </w:pPr>
    <w:rPr>
      <w:rFonts w:ascii="Times New Roman" w:hAnsi="Times New Roman" w:eastAsia="Times New Roman" w:cs="Times New Roman"/>
      <w:sz w:val="24"/>
      <w:szCs w:val="24"/>
      <w:lang w:eastAsia="ru-RU"/>
    </w:rPr>
  </w:style>
  <w:style w:type="paragraph" w:styleId="25">
    <w:name w:val="Основной текст2"/>
    <w:basedOn w:val="Normal"/>
    <w:qFormat/>
    <w:pPr>
      <w:shd w:fill="FFFFFF" w:val="clear"/>
      <w:spacing w:lineRule="exact" w:line="278" w:before="0" w:after="0"/>
    </w:pPr>
    <w:rPr>
      <w:sz w:val="25"/>
      <w:szCs w:val="25"/>
    </w:rPr>
  </w:style>
  <w:style w:type="paragraph" w:styleId="Style50">
    <w:name w:val="Header"/>
    <w:basedOn w:val="Normal"/>
    <w:pPr>
      <w:tabs>
        <w:tab w:val="center" w:pos="4677" w:leader="none"/>
        <w:tab w:val="right" w:pos="9355" w:leader="none"/>
      </w:tabs>
      <w:spacing w:lineRule="auto" w:line="240" w:before="0" w:after="0"/>
    </w:pPr>
    <w:rPr/>
  </w:style>
  <w:style w:type="paragraph" w:styleId="Style51">
    <w:name w:val="Footer"/>
    <w:basedOn w:val="Normal"/>
    <w:pPr>
      <w:tabs>
        <w:tab w:val="center" w:pos="4677" w:leader="none"/>
        <w:tab w:val="right" w:pos="9355" w:leader="none"/>
      </w:tabs>
      <w:spacing w:lineRule="auto" w:line="240" w:before="0" w:after="0"/>
    </w:pPr>
    <w:rPr/>
  </w:style>
  <w:style w:type="paragraph" w:styleId="113">
    <w:name w:val="TOC 1"/>
    <w:basedOn w:val="Normal"/>
    <w:pPr>
      <w:spacing w:before="0" w:after="100"/>
    </w:pPr>
    <w:rPr/>
  </w:style>
  <w:style w:type="paragraph" w:styleId="NormalWeb">
    <w:name w:val="Normal (Web)"/>
    <w:basedOn w:val="Normal"/>
    <w:qFormat/>
    <w:pPr>
      <w:spacing w:lineRule="auto" w:line="240" w:before="280" w:after="280"/>
    </w:pPr>
    <w:rPr>
      <w:rFonts w:ascii="Times New Roman" w:hAnsi="Times New Roman" w:eastAsia="Times New Roman" w:cs="Times New Roman"/>
      <w:sz w:val="24"/>
      <w:szCs w:val="24"/>
      <w:lang w:eastAsia="ru-RU"/>
    </w:rPr>
  </w:style>
  <w:style w:type="paragraph" w:styleId="ConsNormal1">
    <w:name w:val="ConsNormal"/>
    <w:qFormat/>
    <w:pPr>
      <w:widowControl w:val="false"/>
      <w:suppressAutoHyphens w:val="true"/>
      <w:bidi w:val="0"/>
      <w:ind w:left="0" w:right="19772" w:firstLine="720"/>
      <w:jc w:val="left"/>
    </w:pPr>
    <w:rPr>
      <w:rFonts w:ascii="Arial" w:hAnsi="Arial" w:eastAsia="Times New Roman" w:cs="Arial"/>
      <w:color w:val="auto"/>
      <w:kern w:val="2"/>
      <w:sz w:val="22"/>
      <w:szCs w:val="20"/>
      <w:lang w:val="ru-RU" w:eastAsia="ru-RU" w:bidi="ar-SA"/>
    </w:rPr>
  </w:style>
  <w:style w:type="paragraph" w:styleId="BalloonText">
    <w:name w:val="Balloon Text"/>
    <w:basedOn w:val="Normal"/>
    <w:qFormat/>
    <w:pPr>
      <w:spacing w:lineRule="auto" w:line="240" w:before="0" w:after="0"/>
    </w:pPr>
    <w:rPr>
      <w:rFonts w:ascii="Tahoma" w:hAnsi="Tahoma" w:cs="Tahoma"/>
      <w:sz w:val="16"/>
      <w:szCs w:val="16"/>
    </w:rPr>
  </w:style>
  <w:style w:type="paragraph" w:styleId="NoSpacing">
    <w:name w:val="No Spacing"/>
    <w:qFormat/>
    <w:pPr>
      <w:widowControl/>
      <w:suppressAutoHyphens w:val="true"/>
      <w:bidi w:val="0"/>
      <w:jc w:val="left"/>
    </w:pPr>
    <w:rPr>
      <w:rFonts w:ascii="Calibri" w:hAnsi="Calibri" w:eastAsia="Calibri" w:cs="Times New Roman"/>
      <w:color w:val="auto"/>
      <w:kern w:val="2"/>
      <w:sz w:val="22"/>
      <w:szCs w:val="22"/>
      <w:lang w:val="ru-RU" w:eastAsia="en-US" w:bidi="ar-SA"/>
    </w:rPr>
  </w:style>
  <w:style w:type="paragraph" w:styleId="Style52">
    <w:name w:val="Абзац"/>
    <w:basedOn w:val="Normal"/>
    <w:qFormat/>
    <w:pPr>
      <w:spacing w:lineRule="auto" w:line="240" w:before="120" w:after="60"/>
      <w:ind w:left="0" w:right="0" w:firstLine="567"/>
      <w:jc w:val="both"/>
    </w:pPr>
    <w:rPr>
      <w:rFonts w:ascii="Times New Roman" w:hAnsi="Times New Roman" w:cs="Times New Roman"/>
      <w:sz w:val="24"/>
      <w:szCs w:val="20"/>
    </w:rPr>
  </w:style>
  <w:style w:type="paragraph" w:styleId="Style53">
    <w:name w:val="Содержимое таблицы"/>
    <w:basedOn w:val="Normal"/>
    <w:qFormat/>
    <w:pPr>
      <w:widowControl w:val="false"/>
      <w:suppressLineNumbers/>
      <w:suppressAutoHyphens w:val="true"/>
      <w:spacing w:lineRule="auto" w:line="240" w:before="0" w:after="0"/>
    </w:pPr>
    <w:rPr>
      <w:rFonts w:ascii="Times New Roman" w:hAnsi="Times New Roman" w:eastAsia="SimSun" w:cs="Tahoma"/>
      <w:kern w:val="2"/>
      <w:sz w:val="24"/>
      <w:szCs w:val="24"/>
      <w:lang w:eastAsia="hi-IN" w:bidi="hi-IN"/>
    </w:rPr>
  </w:style>
  <w:style w:type="paragraph" w:styleId="PlainText">
    <w:name w:val="Plain Text"/>
    <w:basedOn w:val="Normal"/>
    <w:qFormat/>
    <w:pPr>
      <w:spacing w:lineRule="auto" w:line="240" w:before="0" w:after="0"/>
    </w:pPr>
    <w:rPr>
      <w:rFonts w:ascii="Courier New" w:hAnsi="Courier New" w:eastAsia="Times New Roman" w:cs="Courier New"/>
      <w:sz w:val="20"/>
      <w:szCs w:val="20"/>
      <w:lang w:eastAsia="ru-RU"/>
    </w:rPr>
  </w:style>
  <w:style w:type="paragraph" w:styleId="Style54">
    <w:name w:val="Геоград-ТХ"/>
    <w:basedOn w:val="Normal"/>
    <w:qFormat/>
    <w:pPr>
      <w:spacing w:before="120" w:after="120"/>
      <w:ind w:left="0" w:right="0" w:firstLine="851"/>
      <w:contextualSpacing/>
      <w:jc w:val="both"/>
    </w:pPr>
    <w:rPr>
      <w:rFonts w:ascii="Times New Roman" w:hAnsi="Times New Roman" w:cs="Times New Roman"/>
      <w:sz w:val="28"/>
      <w:szCs w:val="20"/>
    </w:rPr>
  </w:style>
  <w:style w:type="paragraph" w:styleId="1BE92B2CA75D4A32AFD4B072B27109A0">
    <w:name w:val="1BE92B2CA75D4A32AFD4B072B27109A0"/>
    <w:qFormat/>
    <w:pPr>
      <w:widowControl/>
      <w:suppressAutoHyphens w:val="true"/>
      <w:bidi w:val="0"/>
      <w:spacing w:lineRule="auto" w:line="276" w:before="0" w:after="200"/>
      <w:jc w:val="left"/>
    </w:pPr>
    <w:rPr>
      <w:rFonts w:ascii="Calibri" w:hAnsi="Calibri" w:eastAsia="Times New Roman" w:cs="Times New Roman"/>
      <w:color w:val="auto"/>
      <w:kern w:val="2"/>
      <w:sz w:val="22"/>
      <w:szCs w:val="22"/>
      <w:lang w:val="en-US" w:eastAsia="en-US" w:bidi="ar-SA"/>
    </w:rPr>
  </w:style>
  <w:style w:type="paragraph" w:styleId="ConsNonformat1">
    <w:name w:val="ConsNonformat"/>
    <w:qFormat/>
    <w:pPr>
      <w:widowControl w:val="false"/>
      <w:suppressAutoHyphens w:val="true"/>
      <w:bidi w:val="0"/>
      <w:jc w:val="left"/>
    </w:pPr>
    <w:rPr>
      <w:rFonts w:ascii="Courier New" w:hAnsi="Courier New" w:eastAsia="Calibri" w:cs="Courier New"/>
      <w:color w:val="auto"/>
      <w:kern w:val="2"/>
      <w:sz w:val="22"/>
      <w:szCs w:val="22"/>
      <w:lang w:val="ru-RU" w:eastAsia="en-US" w:bidi="ar-SA"/>
    </w:rPr>
  </w:style>
  <w:style w:type="paragraph" w:styleId="54">
    <w:name w:val="5 МГП Обычный текст"/>
    <w:basedOn w:val="Normal"/>
    <w:qFormat/>
    <w:pPr>
      <w:spacing w:before="0" w:after="0"/>
      <w:ind w:left="0" w:right="0" w:firstLine="709"/>
      <w:jc w:val="both"/>
    </w:pPr>
    <w:rPr>
      <w:rFonts w:ascii="Times New Roman" w:hAnsi="Times New Roman" w:cs="Times New Roman"/>
      <w:szCs w:val="20"/>
    </w:rPr>
  </w:style>
  <w:style w:type="paragraph" w:styleId="Style55">
    <w:name w:val="Н-Таблица"/>
    <w:basedOn w:val="Normal"/>
    <w:qFormat/>
    <w:pPr>
      <w:keepLines/>
      <w:spacing w:lineRule="auto" w:line="240" w:before="0" w:after="120"/>
    </w:pPr>
    <w:rPr>
      <w:rFonts w:ascii="Tahoma" w:hAnsi="Tahoma" w:eastAsia="Times New Roman" w:cs="Tahoma"/>
      <w:color w:val="000000"/>
      <w:szCs w:val="20"/>
    </w:rPr>
  </w:style>
  <w:style w:type="paragraph" w:styleId="Style56">
    <w:name w:val="Н-таблица-шапка"/>
    <w:basedOn w:val="Style55"/>
    <w:qFormat/>
    <w:pPr>
      <w:keepNext w:val="true"/>
      <w:jc w:val="center"/>
    </w:pPr>
    <w:rPr/>
  </w:style>
  <w:style w:type="paragraph" w:styleId="Style57">
    <w:name w:val="Знак"/>
    <w:basedOn w:val="Normal"/>
    <w:qFormat/>
    <w:pPr>
      <w:spacing w:lineRule="exact" w:line="240" w:before="0" w:after="160"/>
    </w:pPr>
    <w:rPr>
      <w:rFonts w:ascii="Verdana" w:hAnsi="Verdana" w:eastAsia="Times New Roman" w:cs="Verdana"/>
      <w:sz w:val="24"/>
      <w:szCs w:val="24"/>
      <w:lang w:val="en-US"/>
    </w:rPr>
  </w:style>
  <w:style w:type="paragraph" w:styleId="Style58">
    <w:name w:val="Body Text Indent"/>
    <w:basedOn w:val="Normal"/>
    <w:pPr>
      <w:spacing w:lineRule="auto" w:line="240" w:before="0" w:after="120"/>
      <w:ind w:left="283" w:right="0" w:hanging="0"/>
    </w:pPr>
    <w:rPr>
      <w:rFonts w:ascii="Times New Roman" w:hAnsi="Times New Roman" w:eastAsia="Times New Roman" w:cs="Times New Roman"/>
      <w:sz w:val="20"/>
      <w:szCs w:val="20"/>
    </w:rPr>
  </w:style>
  <w:style w:type="paragraph" w:styleId="Style59">
    <w:name w:val="Title"/>
    <w:basedOn w:val="Normal"/>
    <w:next w:val="Style46"/>
    <w:qFormat/>
    <w:pPr>
      <w:spacing w:lineRule="auto" w:line="240" w:before="0" w:after="0"/>
      <w:jc w:val="center"/>
    </w:pPr>
    <w:rPr>
      <w:rFonts w:ascii="Cambria" w:hAnsi="Cambria" w:eastAsia="Times New Roman" w:cs="Cambria"/>
      <w:b/>
      <w:bCs/>
      <w:color w:val="000000"/>
      <w:kern w:val="2"/>
      <w:sz w:val="32"/>
      <w:szCs w:val="32"/>
    </w:rPr>
  </w:style>
  <w:style w:type="paragraph" w:styleId="DocumentMap">
    <w:name w:val="Document Map"/>
    <w:basedOn w:val="Normal"/>
    <w:qFormat/>
    <w:pPr>
      <w:shd w:fill="000080" w:val="clear"/>
      <w:spacing w:lineRule="auto" w:line="240" w:before="0" w:after="0"/>
    </w:pPr>
    <w:rPr>
      <w:rFonts w:ascii="Times New Roman" w:hAnsi="Times New Roman" w:eastAsia="Times New Roman" w:cs="Times New Roman"/>
      <w:color w:val="000000"/>
      <w:sz w:val="2"/>
      <w:szCs w:val="20"/>
    </w:rPr>
  </w:style>
  <w:style w:type="paragraph" w:styleId="BlockText">
    <w:name w:val="Block Text"/>
    <w:basedOn w:val="Normal"/>
    <w:qFormat/>
    <w:pPr>
      <w:spacing w:lineRule="auto" w:line="240" w:before="0" w:after="0"/>
      <w:ind w:left="1418" w:right="452" w:hanging="0"/>
      <w:jc w:val="both"/>
    </w:pPr>
    <w:rPr>
      <w:rFonts w:ascii="Times New Roman" w:hAnsi="Times New Roman" w:eastAsia="Times New Roman" w:cs="Times New Roman"/>
      <w:sz w:val="28"/>
      <w:szCs w:val="20"/>
      <w:lang w:eastAsia="ru-RU"/>
    </w:rPr>
  </w:style>
  <w:style w:type="paragraph" w:styleId="BodyTextIndent3">
    <w:name w:val="Body Text Indent 3"/>
    <w:basedOn w:val="Normal"/>
    <w:qFormat/>
    <w:pPr>
      <w:spacing w:lineRule="auto" w:line="240" w:before="0" w:after="120"/>
      <w:ind w:left="283" w:right="0" w:hanging="0"/>
    </w:pPr>
    <w:rPr>
      <w:rFonts w:ascii="Times New Roman" w:hAnsi="Times New Roman" w:eastAsia="Times New Roman" w:cs="Times New Roman"/>
      <w:color w:val="000000"/>
      <w:sz w:val="16"/>
      <w:szCs w:val="16"/>
    </w:rPr>
  </w:style>
  <w:style w:type="paragraph" w:styleId="BodyTextIndent2">
    <w:name w:val="Body Text Indent 2"/>
    <w:basedOn w:val="Normal"/>
    <w:qFormat/>
    <w:pPr>
      <w:spacing w:lineRule="auto" w:line="480" w:before="0" w:after="120"/>
      <w:ind w:left="283" w:right="0" w:hanging="0"/>
    </w:pPr>
    <w:rPr>
      <w:rFonts w:ascii="Times New Roman" w:hAnsi="Times New Roman" w:eastAsia="Times New Roman" w:cs="Times New Roman"/>
      <w:color w:val="000000"/>
      <w:sz w:val="28"/>
      <w:szCs w:val="28"/>
    </w:rPr>
  </w:style>
  <w:style w:type="paragraph" w:styleId="BodyText2">
    <w:name w:val="Body Text 2"/>
    <w:basedOn w:val="Normal"/>
    <w:qFormat/>
    <w:pPr>
      <w:spacing w:lineRule="auto" w:line="240" w:before="0" w:after="0"/>
      <w:ind w:left="0" w:right="322" w:hanging="0"/>
      <w:jc w:val="both"/>
    </w:pPr>
    <w:rPr>
      <w:rFonts w:ascii="Times New Roman" w:hAnsi="Times New Roman" w:eastAsia="Times New Roman" w:cs="Times New Roman"/>
      <w:sz w:val="24"/>
      <w:szCs w:val="24"/>
    </w:rPr>
  </w:style>
  <w:style w:type="paragraph" w:styleId="BodyText3">
    <w:name w:val="Body Text 3"/>
    <w:basedOn w:val="Normal"/>
    <w:qFormat/>
    <w:pPr>
      <w:spacing w:lineRule="auto" w:line="240" w:before="0" w:after="0"/>
      <w:jc w:val="both"/>
    </w:pPr>
    <w:rPr>
      <w:rFonts w:ascii="Times New Roman" w:hAnsi="Times New Roman" w:eastAsia="Times New Roman" w:cs="Times New Roman"/>
      <w:color w:val="000000"/>
      <w:sz w:val="16"/>
      <w:szCs w:val="16"/>
    </w:rPr>
  </w:style>
  <w:style w:type="paragraph" w:styleId="FR1">
    <w:name w:val="FR1"/>
    <w:qFormat/>
    <w:pPr>
      <w:widowControl/>
      <w:suppressAutoHyphens w:val="true"/>
      <w:bidi w:val="0"/>
      <w:spacing w:lineRule="auto" w:line="420"/>
      <w:ind w:left="0" w:right="0" w:firstLine="720"/>
      <w:jc w:val="left"/>
    </w:pPr>
    <w:rPr>
      <w:rFonts w:ascii="Arial" w:hAnsi="Arial" w:eastAsia="Times New Roman" w:cs="Times New Roman"/>
      <w:color w:val="auto"/>
      <w:kern w:val="2"/>
      <w:sz w:val="28"/>
      <w:szCs w:val="20"/>
      <w:lang w:val="ru-RU" w:eastAsia="ru-RU" w:bidi="ar-SA"/>
    </w:rPr>
  </w:style>
  <w:style w:type="paragraph" w:styleId="BodyText21">
    <w:name w:val="Body Text 21"/>
    <w:basedOn w:val="Normal"/>
    <w:qFormat/>
    <w:pPr>
      <w:widowControl w:val="false"/>
      <w:overflowPunct w:val="true"/>
      <w:spacing w:lineRule="auto" w:line="240" w:before="0" w:after="0"/>
      <w:ind w:left="1080" w:right="0" w:hanging="0"/>
    </w:pPr>
    <w:rPr>
      <w:rFonts w:ascii="Times New Roman" w:hAnsi="Times New Roman" w:eastAsia="Times New Roman" w:cs="Times New Roman"/>
      <w:sz w:val="28"/>
      <w:szCs w:val="20"/>
      <w:lang w:eastAsia="ru-RU"/>
    </w:rPr>
  </w:style>
  <w:style w:type="paragraph" w:styleId="BodyTextIndent31">
    <w:name w:val="Body Text Indent 31"/>
    <w:basedOn w:val="Normal"/>
    <w:qFormat/>
    <w:pPr>
      <w:overflowPunct w:val="true"/>
      <w:spacing w:lineRule="auto" w:line="240" w:before="0" w:after="0"/>
      <w:ind w:left="0" w:right="0" w:firstLine="708"/>
      <w:jc w:val="both"/>
    </w:pPr>
    <w:rPr>
      <w:rFonts w:ascii="Times New Roman" w:hAnsi="Times New Roman" w:eastAsia="Times New Roman" w:cs="Times New Roman"/>
      <w:sz w:val="28"/>
      <w:szCs w:val="20"/>
      <w:lang w:eastAsia="ru-RU"/>
    </w:rPr>
  </w:style>
  <w:style w:type="paragraph" w:styleId="BodyText31">
    <w:name w:val="Body Text 31"/>
    <w:basedOn w:val="Normal"/>
    <w:qFormat/>
    <w:pPr>
      <w:overflowPunct w:val="true"/>
      <w:spacing w:lineRule="auto" w:line="240" w:before="0" w:after="0"/>
      <w:jc w:val="both"/>
    </w:pPr>
    <w:rPr>
      <w:rFonts w:ascii="Times New Roman" w:hAnsi="Times New Roman" w:eastAsia="Times New Roman" w:cs="Times New Roman"/>
      <w:sz w:val="28"/>
      <w:szCs w:val="20"/>
      <w:lang w:eastAsia="ru-RU"/>
    </w:rPr>
  </w:style>
  <w:style w:type="paragraph" w:styleId="BodyTextIndent21">
    <w:name w:val="Body Text Indent 21"/>
    <w:basedOn w:val="Normal"/>
    <w:qFormat/>
    <w:pPr>
      <w:overflowPunct w:val="true"/>
      <w:spacing w:lineRule="auto" w:line="240" w:before="0" w:after="0"/>
      <w:ind w:left="0" w:right="0" w:firstLine="705"/>
      <w:jc w:val="both"/>
    </w:pPr>
    <w:rPr>
      <w:rFonts w:ascii="Times New Roman" w:hAnsi="Times New Roman" w:eastAsia="Times New Roman" w:cs="Times New Roman"/>
      <w:sz w:val="28"/>
      <w:szCs w:val="20"/>
      <w:lang w:eastAsia="ru-RU"/>
    </w:rPr>
  </w:style>
  <w:style w:type="paragraph" w:styleId="Preformat">
    <w:name w:val="Preformat"/>
    <w:qFormat/>
    <w:pPr>
      <w:widowControl/>
      <w:suppressAutoHyphens w:val="true"/>
      <w:overflowPunct w:val="true"/>
      <w:bidi w:val="0"/>
      <w:jc w:val="left"/>
    </w:pPr>
    <w:rPr>
      <w:rFonts w:ascii="Courier New" w:hAnsi="Courier New" w:eastAsia="Times New Roman" w:cs="Times New Roman"/>
      <w:color w:val="auto"/>
      <w:kern w:val="2"/>
      <w:sz w:val="22"/>
      <w:szCs w:val="20"/>
      <w:lang w:val="ru-RU" w:eastAsia="ru-RU" w:bidi="ar-SA"/>
    </w:rPr>
  </w:style>
  <w:style w:type="paragraph" w:styleId="FR2">
    <w:name w:val="FR2"/>
    <w:qFormat/>
    <w:pPr>
      <w:widowControl/>
      <w:suppressAutoHyphens w:val="true"/>
      <w:bidi w:val="0"/>
      <w:spacing w:lineRule="auto" w:line="360" w:before="100" w:after="0"/>
      <w:ind w:left="80" w:right="0" w:firstLine="820"/>
      <w:jc w:val="left"/>
    </w:pPr>
    <w:rPr>
      <w:rFonts w:ascii="Arial" w:hAnsi="Arial" w:eastAsia="Times New Roman" w:cs="Times New Roman"/>
      <w:color w:val="auto"/>
      <w:kern w:val="2"/>
      <w:sz w:val="24"/>
      <w:szCs w:val="20"/>
      <w:lang w:val="ru-RU" w:eastAsia="ru-RU" w:bidi="ar-SA"/>
    </w:rPr>
  </w:style>
  <w:style w:type="paragraph" w:styleId="Style60">
    <w:name w:val="Текст абзаца"/>
    <w:basedOn w:val="Normal"/>
    <w:qFormat/>
    <w:pPr>
      <w:spacing w:lineRule="auto" w:line="240" w:before="0" w:after="0"/>
      <w:ind w:left="142" w:right="0" w:hanging="0"/>
      <w:jc w:val="center"/>
    </w:pPr>
    <w:rPr>
      <w:rFonts w:ascii="Times New Roman" w:hAnsi="Times New Roman" w:eastAsia="Times New Roman" w:cs="Times New Roman"/>
      <w:b/>
      <w:sz w:val="32"/>
      <w:szCs w:val="32"/>
      <w:lang w:eastAsia="ru-RU"/>
    </w:rPr>
  </w:style>
  <w:style w:type="paragraph" w:styleId="BodyText22">
    <w:name w:val="Body Text 22"/>
    <w:basedOn w:val="Normal"/>
    <w:qFormat/>
    <w:pPr>
      <w:overflowPunct w:val="true"/>
      <w:spacing w:lineRule="auto" w:line="360" w:before="0" w:after="0"/>
      <w:ind w:left="0" w:right="0" w:firstLine="720"/>
      <w:jc w:val="both"/>
      <w:textAlignment w:val="baseline"/>
    </w:pPr>
    <w:rPr>
      <w:rFonts w:ascii="Tahoma" w:hAnsi="Tahoma" w:eastAsia="Times New Roman" w:cs="Tahoma"/>
      <w:sz w:val="24"/>
      <w:szCs w:val="20"/>
      <w:lang w:eastAsia="ru-RU"/>
    </w:rPr>
  </w:style>
  <w:style w:type="paragraph" w:styleId="Style61">
    <w:name w:val="Слайд"/>
    <w:basedOn w:val="Style60"/>
    <w:qFormat/>
    <w:pPr/>
    <w:rPr/>
  </w:style>
  <w:style w:type="paragraph" w:styleId="Style62">
    <w:name w:val="Ариал"/>
    <w:basedOn w:val="Normal"/>
    <w:qFormat/>
    <w:pPr>
      <w:spacing w:lineRule="auto" w:line="360" w:before="120" w:after="120"/>
      <w:ind w:left="0" w:right="0" w:firstLine="851"/>
      <w:jc w:val="both"/>
    </w:pPr>
    <w:rPr>
      <w:rFonts w:ascii="Arial" w:hAnsi="Arial" w:eastAsia="Times New Roman" w:cs="Arial"/>
      <w:sz w:val="24"/>
      <w:szCs w:val="20"/>
      <w:lang w:eastAsia="ru-RU"/>
    </w:rPr>
  </w:style>
  <w:style w:type="paragraph" w:styleId="1Arial12">
    <w:name w:val="Заголовок 1_Arial 12 полужирный"/>
    <w:basedOn w:val="1"/>
    <w:qFormat/>
    <w:pPr>
      <w:keepLines w:val="false"/>
      <w:numPr>
        <w:ilvl w:val="0"/>
        <w:numId w:val="0"/>
      </w:numPr>
      <w:spacing w:lineRule="auto" w:line="240" w:before="280" w:after="0"/>
      <w:jc w:val="center"/>
    </w:pPr>
    <w:rPr>
      <w:rFonts w:ascii="Arial" w:hAnsi="Arial" w:cs="Arial"/>
      <w:bCs w:val="false"/>
      <w:color w:val="00000A"/>
      <w:sz w:val="24"/>
      <w:szCs w:val="24"/>
    </w:rPr>
  </w:style>
  <w:style w:type="paragraph" w:styleId="26">
    <w:name w:val="Стиль2"/>
    <w:basedOn w:val="2"/>
    <w:qFormat/>
    <w:pPr>
      <w:keepNext w:val="false"/>
      <w:keepLines w:val="false"/>
      <w:numPr>
        <w:ilvl w:val="0"/>
        <w:numId w:val="0"/>
      </w:numPr>
      <w:spacing w:lineRule="auto" w:line="240" w:before="0" w:after="0"/>
      <w:ind w:left="0" w:right="0" w:firstLine="709"/>
    </w:pPr>
    <w:rPr>
      <w:rFonts w:ascii="Times New Roman" w:hAnsi="Times New Roman" w:cs="Times New Roman"/>
      <w:bCs w:val="false"/>
      <w:color w:val="00000A"/>
      <w:sz w:val="24"/>
      <w:szCs w:val="24"/>
    </w:rPr>
  </w:style>
  <w:style w:type="paragraph" w:styleId="114">
    <w:name w:val="Стиль1"/>
    <w:basedOn w:val="1"/>
    <w:qFormat/>
    <w:pPr>
      <w:keepLines w:val="false"/>
      <w:numPr>
        <w:ilvl w:val="0"/>
        <w:numId w:val="0"/>
      </w:numPr>
      <w:spacing w:lineRule="auto" w:line="240" w:before="240" w:after="60"/>
      <w:ind w:left="360" w:right="1132" w:hanging="360"/>
    </w:pPr>
    <w:rPr>
      <w:color w:val="00000A"/>
      <w:kern w:val="2"/>
      <w:sz w:val="24"/>
      <w:szCs w:val="24"/>
    </w:rPr>
  </w:style>
  <w:style w:type="paragraph" w:styleId="TimesNewRoman">
    <w:name w:val="Текст + Times New Roman"/>
    <w:basedOn w:val="Normal"/>
    <w:qFormat/>
    <w:pPr>
      <w:spacing w:lineRule="auto" w:line="360" w:before="0" w:after="100"/>
      <w:ind w:left="0" w:right="0" w:firstLine="720"/>
      <w:jc w:val="both"/>
    </w:pPr>
    <w:rPr>
      <w:rFonts w:ascii="Arial" w:hAnsi="Arial" w:eastAsia="Times New Roman" w:cs="Arial"/>
      <w:sz w:val="24"/>
      <w:szCs w:val="20"/>
      <w:lang w:eastAsia="ru-RU"/>
    </w:rPr>
  </w:style>
  <w:style w:type="paragraph" w:styleId="Style63">
    <w:name w:val="Абзац рядовой Знак"/>
    <w:basedOn w:val="Normal"/>
    <w:qFormat/>
    <w:pPr>
      <w:spacing w:lineRule="auto" w:line="240" w:before="0" w:after="0"/>
      <w:ind w:left="284" w:right="0" w:hanging="0"/>
      <w:jc w:val="both"/>
    </w:pPr>
    <w:rPr>
      <w:rFonts w:ascii="Times New Roman" w:hAnsi="Times New Roman" w:cs="Times New Roman"/>
      <w:sz w:val="28"/>
      <w:szCs w:val="20"/>
      <w:lang w:val="en-US"/>
    </w:rPr>
  </w:style>
  <w:style w:type="paragraph" w:styleId="35">
    <w:name w:val="TOC 3"/>
    <w:basedOn w:val="Normal"/>
    <w:pPr>
      <w:spacing w:lineRule="auto" w:line="240" w:before="0" w:after="0"/>
      <w:ind w:left="560" w:right="0" w:hanging="0"/>
    </w:pPr>
    <w:rPr>
      <w:rFonts w:ascii="Times New Roman" w:hAnsi="Times New Roman" w:eastAsia="Times New Roman" w:cs="Times New Roman"/>
      <w:b/>
      <w:color w:val="000000"/>
      <w:sz w:val="24"/>
      <w:szCs w:val="20"/>
      <w:lang w:eastAsia="ru-RU"/>
    </w:rPr>
  </w:style>
  <w:style w:type="paragraph" w:styleId="CharChar">
    <w:name w:val="Char Char"/>
    <w:basedOn w:val="Normal"/>
    <w:qFormat/>
    <w:pPr>
      <w:spacing w:lineRule="exact" w:line="240" w:before="0" w:after="160"/>
    </w:pPr>
    <w:rPr>
      <w:rFonts w:ascii="Verdana" w:hAnsi="Verdana" w:eastAsia="Times New Roman" w:cs="Verdana"/>
      <w:sz w:val="24"/>
      <w:szCs w:val="24"/>
      <w:lang w:val="en-US"/>
    </w:rPr>
  </w:style>
  <w:style w:type="paragraph" w:styleId="Style64">
    <w:name w:val="заголовок таб"/>
    <w:basedOn w:val="PlainText"/>
    <w:qFormat/>
    <w:pPr>
      <w:keepNext w:val="true"/>
      <w:keepLines/>
      <w:tabs>
        <w:tab w:val="left" w:pos="-38" w:leader="none"/>
      </w:tabs>
      <w:spacing w:before="120" w:after="240"/>
      <w:jc w:val="center"/>
    </w:pPr>
    <w:rPr>
      <w:rFonts w:ascii="Times New Roman" w:hAnsi="Times New Roman" w:eastAsia="Calibri" w:cs="Times New Roman"/>
      <w:b/>
      <w:sz w:val="24"/>
    </w:rPr>
  </w:style>
  <w:style w:type="paragraph" w:styleId="BodyText23">
    <w:name w:val="Body Text 23"/>
    <w:basedOn w:val="Normal"/>
    <w:qFormat/>
    <w:pPr>
      <w:widowControl w:val="false"/>
      <w:overflowPunct w:val="true"/>
      <w:spacing w:lineRule="auto" w:line="240" w:before="0" w:after="0"/>
      <w:ind w:left="1080" w:right="0" w:hanging="0"/>
    </w:pPr>
    <w:rPr>
      <w:rFonts w:ascii="Times New Roman" w:hAnsi="Times New Roman" w:eastAsia="Times New Roman" w:cs="Times New Roman"/>
      <w:sz w:val="28"/>
      <w:szCs w:val="20"/>
      <w:lang w:eastAsia="ru-RU"/>
    </w:rPr>
  </w:style>
  <w:style w:type="paragraph" w:styleId="BodyTextIndent32">
    <w:name w:val="Body Text Indent 32"/>
    <w:basedOn w:val="Normal"/>
    <w:qFormat/>
    <w:pPr>
      <w:overflowPunct w:val="true"/>
      <w:spacing w:lineRule="auto" w:line="240" w:before="0" w:after="0"/>
      <w:ind w:left="0" w:right="0" w:firstLine="708"/>
      <w:jc w:val="both"/>
    </w:pPr>
    <w:rPr>
      <w:rFonts w:ascii="Times New Roman" w:hAnsi="Times New Roman" w:eastAsia="Times New Roman" w:cs="Times New Roman"/>
      <w:sz w:val="28"/>
      <w:szCs w:val="20"/>
      <w:lang w:eastAsia="ru-RU"/>
    </w:rPr>
  </w:style>
  <w:style w:type="paragraph" w:styleId="BodyText32">
    <w:name w:val="Body Text 32"/>
    <w:basedOn w:val="Normal"/>
    <w:qFormat/>
    <w:pPr>
      <w:overflowPunct w:val="true"/>
      <w:spacing w:lineRule="auto" w:line="240" w:before="0" w:after="0"/>
      <w:jc w:val="both"/>
    </w:pPr>
    <w:rPr>
      <w:rFonts w:ascii="Times New Roman" w:hAnsi="Times New Roman" w:eastAsia="Times New Roman" w:cs="Times New Roman"/>
      <w:sz w:val="28"/>
      <w:szCs w:val="20"/>
      <w:lang w:eastAsia="ru-RU"/>
    </w:rPr>
  </w:style>
  <w:style w:type="paragraph" w:styleId="BodyTextIndent22">
    <w:name w:val="Body Text Indent 22"/>
    <w:basedOn w:val="Normal"/>
    <w:qFormat/>
    <w:pPr>
      <w:overflowPunct w:val="true"/>
      <w:spacing w:lineRule="auto" w:line="240" w:before="0" w:after="0"/>
      <w:ind w:left="0" w:right="0" w:firstLine="705"/>
      <w:jc w:val="both"/>
    </w:pPr>
    <w:rPr>
      <w:rFonts w:ascii="Times New Roman" w:hAnsi="Times New Roman" w:eastAsia="Times New Roman" w:cs="Times New Roman"/>
      <w:sz w:val="28"/>
      <w:szCs w:val="20"/>
      <w:lang w:eastAsia="ru-RU"/>
    </w:rPr>
  </w:style>
  <w:style w:type="paragraph" w:styleId="Style65">
    <w:name w:val="Заголовок раздела"/>
    <w:basedOn w:val="1"/>
    <w:qFormat/>
    <w:pPr>
      <w:keepLines w:val="false"/>
      <w:numPr>
        <w:ilvl w:val="0"/>
        <w:numId w:val="0"/>
      </w:numPr>
      <w:spacing w:lineRule="auto" w:line="480" w:before="240" w:after="60"/>
      <w:jc w:val="center"/>
    </w:pPr>
    <w:rPr>
      <w:rFonts w:ascii="Times New Roman" w:hAnsi="Times New Roman" w:cs="Times New Roman"/>
      <w:color w:val="000000"/>
      <w:kern w:val="2"/>
      <w:szCs w:val="32"/>
    </w:rPr>
  </w:style>
  <w:style w:type="paragraph" w:styleId="27">
    <w:name w:val="Знак2"/>
    <w:basedOn w:val="Normal"/>
    <w:qFormat/>
    <w:pPr>
      <w:spacing w:lineRule="exact" w:line="240" w:before="0" w:after="160"/>
    </w:pPr>
    <w:rPr>
      <w:rFonts w:ascii="Verdana" w:hAnsi="Verdana" w:eastAsia="Times New Roman" w:cs="Verdana"/>
      <w:sz w:val="24"/>
      <w:szCs w:val="24"/>
      <w:lang w:val="en-US"/>
    </w:rPr>
  </w:style>
  <w:style w:type="paragraph" w:styleId="211">
    <w:name w:val="Знак21"/>
    <w:basedOn w:val="Normal"/>
    <w:qFormat/>
    <w:pPr>
      <w:spacing w:lineRule="exact" w:line="240" w:before="0" w:after="160"/>
    </w:pPr>
    <w:rPr>
      <w:rFonts w:ascii="Verdana" w:hAnsi="Verdana" w:eastAsia="Times New Roman" w:cs="Verdana"/>
      <w:sz w:val="24"/>
      <w:szCs w:val="24"/>
      <w:lang w:val="en-US"/>
    </w:rPr>
  </w:style>
  <w:style w:type="paragraph" w:styleId="ConsPlusTitle">
    <w:name w:val="ConsPlusTitle"/>
    <w:qFormat/>
    <w:pPr>
      <w:widowControl w:val="false"/>
      <w:suppressAutoHyphens w:val="true"/>
      <w:bidi w:val="0"/>
      <w:jc w:val="left"/>
    </w:pPr>
    <w:rPr>
      <w:rFonts w:ascii="Times New Roman" w:hAnsi="Times New Roman" w:eastAsia="Times New Roman" w:cs="Times New Roman"/>
      <w:b/>
      <w:bCs/>
      <w:color w:val="auto"/>
      <w:kern w:val="2"/>
      <w:sz w:val="24"/>
      <w:szCs w:val="24"/>
      <w:lang w:val="ru-RU" w:eastAsia="ru-RU" w:bidi="ar-SA"/>
    </w:rPr>
  </w:style>
  <w:style w:type="paragraph" w:styleId="ListParagraph1">
    <w:name w:val="List Paragraph1"/>
    <w:basedOn w:val="Normal"/>
    <w:qFormat/>
    <w:pPr>
      <w:spacing w:lineRule="auto" w:line="240" w:before="0" w:after="0"/>
      <w:ind w:left="720" w:right="0" w:hanging="0"/>
    </w:pPr>
    <w:rPr>
      <w:rFonts w:ascii="Times New Roman" w:hAnsi="Times New Roman" w:eastAsia="Times New Roman" w:cs="Times New Roman"/>
      <w:color w:val="000000"/>
      <w:sz w:val="28"/>
      <w:szCs w:val="28"/>
      <w:lang w:eastAsia="ru-RU"/>
    </w:rPr>
  </w:style>
  <w:style w:type="paragraph" w:styleId="Style66">
    <w:name w:val="Абзац рядовой"/>
    <w:basedOn w:val="Normal"/>
    <w:qFormat/>
    <w:pPr>
      <w:spacing w:lineRule="auto" w:line="240" w:before="0" w:after="0"/>
      <w:ind w:left="0" w:right="0" w:firstLine="420"/>
      <w:jc w:val="both"/>
    </w:pPr>
    <w:rPr>
      <w:rFonts w:ascii="Times New Roman" w:hAnsi="Times New Roman" w:eastAsia="Times New Roman" w:cs="Times New Roman"/>
      <w:sz w:val="24"/>
      <w:szCs w:val="24"/>
      <w:lang w:eastAsia="ru-RU"/>
    </w:rPr>
  </w:style>
  <w:style w:type="paragraph" w:styleId="28">
    <w:name w:val="TOC 2"/>
    <w:basedOn w:val="Normal"/>
    <w:pPr>
      <w:spacing w:lineRule="auto" w:line="240" w:before="120" w:after="0"/>
      <w:ind w:left="280" w:right="0" w:hanging="0"/>
    </w:pPr>
    <w:rPr>
      <w:rFonts w:ascii="Times New Roman" w:hAnsi="Times New Roman" w:eastAsia="Times New Roman" w:cs="Times New Roman"/>
      <w:b/>
      <w:bCs/>
      <w:color w:val="000000"/>
      <w:sz w:val="28"/>
      <w:lang w:eastAsia="ru-RU"/>
    </w:rPr>
  </w:style>
  <w:style w:type="paragraph" w:styleId="ConsPlusNonformat">
    <w:name w:val="ConsPlusNonformat"/>
    <w:qFormat/>
    <w:pPr>
      <w:widowControl w:val="false"/>
      <w:suppressAutoHyphens w:val="true"/>
      <w:bidi w:val="0"/>
      <w:jc w:val="left"/>
    </w:pPr>
    <w:rPr>
      <w:rFonts w:ascii="Courier New" w:hAnsi="Courier New" w:eastAsia="Times New Roman" w:cs="Courier New"/>
      <w:color w:val="auto"/>
      <w:kern w:val="2"/>
      <w:sz w:val="22"/>
      <w:szCs w:val="20"/>
      <w:lang w:val="ru-RU" w:eastAsia="ru-RU" w:bidi="ar-SA"/>
    </w:rPr>
  </w:style>
  <w:style w:type="paragraph" w:styleId="82">
    <w:name w:val="8 МГП Таблица Текст"/>
    <w:basedOn w:val="54"/>
    <w:qFormat/>
    <w:pPr>
      <w:spacing w:lineRule="auto" w:line="240"/>
      <w:ind w:left="-57" w:right="-57" w:hanging="0"/>
      <w:jc w:val="center"/>
    </w:pPr>
    <w:rPr>
      <w:sz w:val="24"/>
      <w:szCs w:val="24"/>
    </w:rPr>
  </w:style>
  <w:style w:type="paragraph" w:styleId="212">
    <w:name w:val="2 МГП 1"/>
    <w:basedOn w:val="2"/>
    <w:qFormat/>
    <w:pPr>
      <w:keepLines w:val="false"/>
      <w:pageBreakBefore/>
      <w:numPr>
        <w:ilvl w:val="0"/>
        <w:numId w:val="0"/>
      </w:numPr>
      <w:spacing w:lineRule="auto" w:line="240" w:before="360" w:after="120"/>
      <w:ind w:left="709" w:right="0" w:hanging="0"/>
    </w:pPr>
    <w:rPr>
      <w:rFonts w:ascii="Times New Roman" w:hAnsi="Times New Roman" w:eastAsia="Calibri" w:cs="Times New Roman"/>
      <w:bCs w:val="false"/>
      <w:color w:val="00000A"/>
      <w:sz w:val="28"/>
      <w:szCs w:val="20"/>
    </w:rPr>
  </w:style>
  <w:style w:type="paragraph" w:styleId="1I1">
    <w:name w:val="1 МГП I"/>
    <w:basedOn w:val="1"/>
    <w:qFormat/>
    <w:pPr>
      <w:keepNext w:val="false"/>
      <w:keepLines w:val="false"/>
      <w:pageBreakBefore/>
      <w:widowControl w:val="false"/>
      <w:numPr>
        <w:ilvl w:val="0"/>
        <w:numId w:val="0"/>
      </w:numPr>
      <w:spacing w:lineRule="auto" w:line="240" w:before="240" w:after="240"/>
      <w:ind w:left="709" w:right="709" w:hanging="0"/>
    </w:pPr>
    <w:rPr>
      <w:rFonts w:ascii="Arial" w:hAnsi="Arial" w:eastAsia="Calibri" w:cs="Arial"/>
      <w:b w:val="false"/>
      <w:bCs w:val="false"/>
      <w:color w:val="000000"/>
      <w:kern w:val="2"/>
      <w:sz w:val="32"/>
      <w:szCs w:val="20"/>
    </w:rPr>
  </w:style>
  <w:style w:type="paragraph" w:styleId="1112">
    <w:name w:val="МГП 1.1.1"/>
    <w:basedOn w:val="Style58"/>
    <w:qFormat/>
    <w:pPr>
      <w:spacing w:before="0" w:after="0"/>
      <w:ind w:left="0" w:right="0" w:firstLine="709"/>
      <w:jc w:val="both"/>
    </w:pPr>
    <w:rPr>
      <w:b/>
      <w:sz w:val="28"/>
      <w:szCs w:val="28"/>
    </w:rPr>
  </w:style>
  <w:style w:type="paragraph" w:styleId="Footnotetext">
    <w:name w:val="footnote text"/>
    <w:basedOn w:val="Normal"/>
    <w:qFormat/>
    <w:pPr>
      <w:spacing w:lineRule="auto" w:line="240" w:before="0" w:after="0"/>
      <w:ind w:left="0" w:right="0" w:firstLine="709"/>
      <w:jc w:val="both"/>
    </w:pPr>
    <w:rPr>
      <w:rFonts w:ascii="Times New Roman" w:hAnsi="Times New Roman" w:eastAsia="Times New Roman" w:cs="Times New Roman"/>
      <w:color w:val="000000"/>
      <w:sz w:val="20"/>
      <w:szCs w:val="20"/>
    </w:rPr>
  </w:style>
  <w:style w:type="paragraph" w:styleId="Annotationtext">
    <w:name w:val="annotation text"/>
    <w:basedOn w:val="Normal"/>
    <w:qFormat/>
    <w:pPr>
      <w:spacing w:lineRule="auto" w:line="240" w:before="0" w:after="0"/>
    </w:pPr>
    <w:rPr>
      <w:rFonts w:ascii="Times New Roman" w:hAnsi="Times New Roman" w:eastAsia="Times New Roman" w:cs="Times New Roman"/>
      <w:color w:val="000000"/>
      <w:sz w:val="20"/>
      <w:szCs w:val="20"/>
    </w:rPr>
  </w:style>
  <w:style w:type="paragraph" w:styleId="Caption">
    <w:name w:val="caption"/>
    <w:basedOn w:val="Normal"/>
    <w:qFormat/>
    <w:pPr>
      <w:spacing w:lineRule="auto" w:line="240" w:before="0" w:after="0"/>
      <w:jc w:val="center"/>
    </w:pPr>
    <w:rPr>
      <w:rFonts w:ascii="Times New Roman" w:hAnsi="Times New Roman" w:eastAsia="Times New Roman" w:cs="Times New Roman"/>
      <w:sz w:val="26"/>
      <w:szCs w:val="26"/>
      <w:lang w:eastAsia="ru-RU"/>
    </w:rPr>
  </w:style>
  <w:style w:type="paragraph" w:styleId="Endnotetext">
    <w:name w:val="endnote text"/>
    <w:basedOn w:val="Normal"/>
    <w:qFormat/>
    <w:pPr>
      <w:widowControl w:val="false"/>
      <w:spacing w:lineRule="auto" w:line="240" w:before="0" w:after="0"/>
    </w:pPr>
    <w:rPr>
      <w:rFonts w:ascii="Times New Roman" w:hAnsi="Times New Roman" w:eastAsia="Times New Roman" w:cs="Times New Roman"/>
      <w:color w:val="000000"/>
      <w:sz w:val="20"/>
      <w:szCs w:val="20"/>
    </w:rPr>
  </w:style>
  <w:style w:type="paragraph" w:styleId="MessageHeader">
    <w:name w:val="Message Header"/>
    <w:basedOn w:val="Normal"/>
    <w:qFormat/>
    <w:pPr>
      <w:pBdr>
        <w:top w:val="single" w:sz="6" w:space="1" w:color="00000A"/>
        <w:left w:val="single" w:sz="6" w:space="1" w:color="00000A"/>
        <w:bottom w:val="single" w:sz="6" w:space="1" w:color="00000A"/>
        <w:right w:val="single" w:sz="6" w:space="1" w:color="00000A"/>
      </w:pBdr>
      <w:shd w:fill="CCCCCC" w:val="clear"/>
      <w:spacing w:lineRule="auto" w:line="240" w:before="0" w:after="0"/>
      <w:ind w:left="1134" w:right="0" w:hanging="1134"/>
    </w:pPr>
    <w:rPr>
      <w:rFonts w:ascii="Cambria" w:hAnsi="Cambria" w:eastAsia="Times New Roman" w:cs="Cambria"/>
      <w:color w:val="000000"/>
      <w:sz w:val="24"/>
      <w:szCs w:val="24"/>
    </w:rPr>
  </w:style>
  <w:style w:type="paragraph" w:styleId="Style67">
    <w:name w:val="Subtitle"/>
    <w:basedOn w:val="Normal"/>
    <w:next w:val="Style46"/>
    <w:qFormat/>
    <w:pPr>
      <w:spacing w:lineRule="auto" w:line="240" w:before="0" w:after="0"/>
      <w:ind w:left="2127" w:right="0" w:hanging="0"/>
    </w:pPr>
    <w:rPr>
      <w:rFonts w:ascii="Cambria" w:hAnsi="Cambria" w:eastAsia="Times New Roman" w:cs="Cambria"/>
      <w:color w:val="000000"/>
      <w:sz w:val="24"/>
      <w:szCs w:val="24"/>
    </w:rPr>
  </w:style>
  <w:style w:type="paragraph" w:styleId="Style68">
    <w:name w:val="шапка"/>
    <w:basedOn w:val="Normal"/>
    <w:qFormat/>
    <w:pPr>
      <w:spacing w:lineRule="auto" w:line="240" w:before="0" w:after="0"/>
      <w:jc w:val="center"/>
    </w:pPr>
    <w:rPr>
      <w:rFonts w:ascii="Times New Roman" w:hAnsi="Times New Roman" w:eastAsia="Times New Roman" w:cs="Times New Roman"/>
      <w:sz w:val="24"/>
      <w:szCs w:val="24"/>
      <w:lang w:eastAsia="ru-RU"/>
    </w:rPr>
  </w:style>
  <w:style w:type="paragraph" w:styleId="Style69">
    <w:name w:val="текст"/>
    <w:basedOn w:val="PlainText"/>
    <w:qFormat/>
    <w:pPr>
      <w:tabs>
        <w:tab w:val="left" w:pos="-38" w:leader="none"/>
      </w:tabs>
      <w:ind w:left="284" w:right="-58" w:firstLine="284"/>
      <w:jc w:val="both"/>
    </w:pPr>
    <w:rPr>
      <w:rFonts w:ascii="Times New Roman" w:hAnsi="Times New Roman" w:cs="Times New Roman"/>
      <w:color w:val="000000"/>
      <w:spacing w:val="-1"/>
      <w:sz w:val="28"/>
      <w:szCs w:val="28"/>
    </w:rPr>
  </w:style>
  <w:style w:type="paragraph" w:styleId="29">
    <w:name w:val="заголовок 2"/>
    <w:basedOn w:val="Normal"/>
    <w:qFormat/>
    <w:pPr>
      <w:keepNext w:val="true"/>
      <w:widowControl w:val="false"/>
      <w:spacing w:lineRule="auto" w:line="240" w:before="0" w:after="0"/>
      <w:jc w:val="center"/>
    </w:pPr>
    <w:rPr>
      <w:rFonts w:ascii="Times New Roman" w:hAnsi="Times New Roman" w:eastAsia="Times New Roman" w:cs="Times New Roman"/>
      <w:sz w:val="28"/>
      <w:szCs w:val="28"/>
      <w:lang w:eastAsia="ru-RU"/>
    </w:rPr>
  </w:style>
  <w:style w:type="paragraph" w:styleId="62">
    <w:name w:val="заголовок 6"/>
    <w:basedOn w:val="Normal"/>
    <w:qFormat/>
    <w:pPr>
      <w:keepNext w:val="true"/>
      <w:spacing w:lineRule="exact" w:line="300" w:before="0" w:after="0"/>
      <w:jc w:val="center"/>
    </w:pPr>
    <w:rPr>
      <w:rFonts w:ascii="Times New Roman" w:hAnsi="Times New Roman" w:eastAsia="Times New Roman" w:cs="Times New Roman"/>
      <w:sz w:val="24"/>
      <w:szCs w:val="24"/>
      <w:lang w:eastAsia="ru-RU"/>
    </w:rPr>
  </w:style>
  <w:style w:type="paragraph" w:styleId="Style70">
    <w:name w:val="Çàã.ðàçäåëà"/>
    <w:basedOn w:val="Normal"/>
    <w:qFormat/>
    <w:pPr>
      <w:widowControl w:val="false"/>
      <w:spacing w:lineRule="auto" w:line="240" w:before="0" w:after="0"/>
      <w:jc w:val="center"/>
    </w:pPr>
    <w:rPr>
      <w:rFonts w:ascii="Antiqua" w:hAnsi="Antiqua" w:eastAsia="Times New Roman" w:cs="Antiqua"/>
      <w:sz w:val="26"/>
      <w:szCs w:val="26"/>
      <w:lang w:eastAsia="ru-RU"/>
    </w:rPr>
  </w:style>
  <w:style w:type="paragraph" w:styleId="Style71">
    <w:name w:val="Заголовок таблицы"/>
    <w:basedOn w:val="Normal"/>
    <w:qFormat/>
    <w:pPr>
      <w:spacing w:lineRule="auto" w:line="240" w:before="0" w:after="0"/>
      <w:jc w:val="center"/>
    </w:pPr>
    <w:rPr>
      <w:rFonts w:ascii="Peterburg" w:hAnsi="Peterburg" w:eastAsia="Times New Roman" w:cs="Peterburg"/>
      <w:sz w:val="28"/>
      <w:szCs w:val="28"/>
      <w:lang w:eastAsia="ru-RU"/>
    </w:rPr>
  </w:style>
  <w:style w:type="paragraph" w:styleId="Style72">
    <w:name w:val="Назв.табл."/>
    <w:basedOn w:val="Normal"/>
    <w:qFormat/>
    <w:pPr>
      <w:spacing w:lineRule="auto" w:line="240" w:before="0" w:after="0"/>
      <w:jc w:val="right"/>
    </w:pPr>
    <w:rPr>
      <w:rFonts w:ascii="HelvDL" w:hAnsi="HelvDL" w:eastAsia="Times New Roman" w:cs="HelvDL"/>
      <w:i/>
      <w:iCs/>
      <w:lang w:eastAsia="ru-RU"/>
    </w:rPr>
  </w:style>
  <w:style w:type="paragraph" w:styleId="115">
    <w:name w:val="Список 1"/>
    <w:basedOn w:val="Normal"/>
    <w:qFormat/>
    <w:pPr>
      <w:spacing w:lineRule="auto" w:line="240" w:before="120" w:after="120"/>
      <w:ind w:left="360" w:right="0" w:hanging="360"/>
      <w:jc w:val="both"/>
    </w:pPr>
    <w:rPr>
      <w:rFonts w:ascii="Times New Roman" w:hAnsi="Times New Roman" w:eastAsia="Times New Roman" w:cs="Times New Roman"/>
      <w:sz w:val="16"/>
      <w:szCs w:val="16"/>
      <w:lang w:eastAsia="ru-RU"/>
    </w:rPr>
  </w:style>
  <w:style w:type="paragraph" w:styleId="Style73">
    <w:name w:val="Список с маркерами"/>
    <w:basedOn w:val="Style46"/>
    <w:qFormat/>
    <w:pPr>
      <w:widowControl/>
      <w:tabs>
        <w:tab w:val="left" w:pos="1080" w:leader="none"/>
        <w:tab w:val="left" w:pos="1571" w:leader="none"/>
      </w:tabs>
      <w:suppressAutoHyphens w:val="false"/>
      <w:spacing w:lineRule="auto" w:line="288" w:before="120" w:after="0"/>
      <w:ind w:left="1060" w:right="0" w:hanging="340"/>
      <w:jc w:val="both"/>
    </w:pPr>
    <w:rPr>
      <w:rFonts w:eastAsia="Times New Roman" w:cs="Times New Roman"/>
      <w:kern w:val="2"/>
      <w:sz w:val="26"/>
      <w:szCs w:val="26"/>
    </w:rPr>
  </w:style>
  <w:style w:type="paragraph" w:styleId="Xl401">
    <w:name w:val="xl401"/>
    <w:basedOn w:val="Normal"/>
    <w:qFormat/>
    <w:pPr>
      <w:spacing w:lineRule="auto" w:line="240" w:before="100" w:after="100"/>
    </w:pPr>
    <w:rPr>
      <w:rFonts w:ascii="Courier New" w:hAnsi="Courier New" w:eastAsia="Times New Roman" w:cs="Courier New"/>
      <w:sz w:val="16"/>
      <w:szCs w:val="16"/>
      <w:lang w:eastAsia="ru-RU"/>
    </w:rPr>
  </w:style>
  <w:style w:type="paragraph" w:styleId="Style74">
    <w:name w:val="Заг.раздела"/>
    <w:basedOn w:val="Normal"/>
    <w:qFormat/>
    <w:pPr>
      <w:overflowPunct w:val="true"/>
      <w:spacing w:lineRule="auto" w:line="240" w:before="0" w:after="0"/>
      <w:jc w:val="center"/>
    </w:pPr>
    <w:rPr>
      <w:rFonts w:ascii="Antiqua" w:hAnsi="Antiqua" w:eastAsia="Times New Roman" w:cs="Antiqua"/>
      <w:sz w:val="26"/>
      <w:szCs w:val="26"/>
      <w:lang w:eastAsia="ru-RU"/>
    </w:rPr>
  </w:style>
  <w:style w:type="paragraph" w:styleId="36">
    <w:name w:val="заголовок 3"/>
    <w:basedOn w:val="Normal"/>
    <w:qFormat/>
    <w:pPr>
      <w:keepNext w:val="true"/>
      <w:spacing w:lineRule="exact" w:line="300" w:before="0" w:after="0"/>
      <w:jc w:val="center"/>
    </w:pPr>
    <w:rPr>
      <w:rFonts w:ascii="Times New Roman" w:hAnsi="Times New Roman" w:eastAsia="Times New Roman" w:cs="Times New Roman"/>
      <w:b/>
      <w:bCs/>
      <w:sz w:val="28"/>
      <w:szCs w:val="28"/>
      <w:lang w:eastAsia="ru-RU"/>
    </w:rPr>
  </w:style>
  <w:style w:type="paragraph" w:styleId="Oaenooaae">
    <w:name w:val="Oaeno oaae."/>
    <w:basedOn w:val="Normal"/>
    <w:qFormat/>
    <w:pPr>
      <w:spacing w:lineRule="exact" w:line="260" w:before="0" w:after="0"/>
    </w:pPr>
    <w:rPr>
      <w:rFonts w:ascii="HelvDL" w:hAnsi="HelvDL" w:eastAsia="Times New Roman" w:cs="HelvDL"/>
      <w:sz w:val="28"/>
      <w:szCs w:val="28"/>
      <w:lang w:eastAsia="ar-SA"/>
    </w:rPr>
  </w:style>
  <w:style w:type="paragraph" w:styleId="Oaenoaiee">
    <w:name w:val="Oaeno aiee."/>
    <w:basedOn w:val="Normal"/>
    <w:qFormat/>
    <w:pPr>
      <w:spacing w:lineRule="exact" w:line="300" w:before="0" w:after="0"/>
      <w:ind w:left="0" w:right="0" w:firstLine="720"/>
      <w:jc w:val="both"/>
    </w:pPr>
    <w:rPr>
      <w:rFonts w:ascii="Peterburg" w:hAnsi="Peterburg" w:eastAsia="Times New Roman" w:cs="Peterburg"/>
      <w:spacing w:val="-4"/>
      <w:sz w:val="28"/>
      <w:szCs w:val="28"/>
      <w:lang w:eastAsia="ar-SA"/>
    </w:rPr>
  </w:style>
  <w:style w:type="paragraph" w:styleId="Style75">
    <w:name w:val="Заголграф"/>
    <w:basedOn w:val="3"/>
    <w:qFormat/>
    <w:pPr>
      <w:numPr>
        <w:ilvl w:val="0"/>
        <w:numId w:val="0"/>
      </w:numPr>
      <w:spacing w:before="120" w:after="240"/>
      <w:jc w:val="center"/>
    </w:pPr>
    <w:rPr>
      <w:sz w:val="22"/>
      <w:szCs w:val="22"/>
    </w:rPr>
  </w:style>
  <w:style w:type="paragraph" w:styleId="Style76">
    <w:name w:val="Çàãîëîâîê ò"/>
    <w:basedOn w:val="Normal"/>
    <w:qFormat/>
    <w:pPr>
      <w:widowControl w:val="false"/>
      <w:spacing w:before="0" w:after="0"/>
      <w:jc w:val="center"/>
    </w:pPr>
    <w:rPr>
      <w:rFonts w:ascii="Peterburg" w:hAnsi="Peterburg" w:eastAsia="Times New Roman" w:cs="Peterburg"/>
      <w:sz w:val="28"/>
      <w:szCs w:val="28"/>
      <w:lang w:eastAsia="ar-SA"/>
    </w:rPr>
  </w:style>
  <w:style w:type="paragraph" w:styleId="Xl33">
    <w:name w:val="xl33"/>
    <w:basedOn w:val="Normal"/>
    <w:qFormat/>
    <w:pPr>
      <w:spacing w:lineRule="auto" w:line="240" w:before="280" w:after="280"/>
      <w:jc w:val="center"/>
    </w:pPr>
    <w:rPr>
      <w:rFonts w:ascii="Times New Roman" w:hAnsi="Times New Roman" w:eastAsia="Arial Unicode MS" w:cs="Times New Roman"/>
      <w:b/>
      <w:bCs/>
      <w:sz w:val="28"/>
      <w:szCs w:val="28"/>
      <w:lang w:eastAsia="ru-RU"/>
    </w:rPr>
  </w:style>
  <w:style w:type="paragraph" w:styleId="Style77">
    <w:name w:val="текст сноски"/>
    <w:basedOn w:val="Normal"/>
    <w:qFormat/>
    <w:pPr>
      <w:widowControl w:val="false"/>
      <w:spacing w:lineRule="auto" w:line="240" w:before="0" w:after="0"/>
      <w:ind w:left="0" w:right="0" w:firstLine="709"/>
      <w:jc w:val="both"/>
    </w:pPr>
    <w:rPr>
      <w:rFonts w:ascii="Arial" w:hAnsi="Arial" w:eastAsia="Times New Roman" w:cs="Arial"/>
      <w:sz w:val="24"/>
      <w:szCs w:val="24"/>
      <w:lang w:eastAsia="ru-RU"/>
    </w:rPr>
  </w:style>
  <w:style w:type="paragraph" w:styleId="Normal1">
    <w:name w:val="Normal1"/>
    <w:qFormat/>
    <w:pPr>
      <w:widowControl/>
      <w:suppressAutoHyphens w:val="true"/>
      <w:bidi w:val="0"/>
      <w:jc w:val="left"/>
    </w:pPr>
    <w:rPr>
      <w:rFonts w:ascii="Times New Roman" w:hAnsi="Times New Roman" w:eastAsia="Times New Roman" w:cs="Times New Roman"/>
      <w:color w:val="auto"/>
      <w:kern w:val="2"/>
      <w:sz w:val="22"/>
      <w:szCs w:val="20"/>
      <w:lang w:val="ru-RU" w:eastAsia="ru-RU" w:bidi="ar-SA"/>
    </w:rPr>
  </w:style>
  <w:style w:type="paragraph" w:styleId="Style78">
    <w:name w:val="Таблица"/>
    <w:basedOn w:val="MessageHeader"/>
    <w:qFormat/>
    <w:pPr>
      <w:pBdr/>
      <w:shd w:fill="FFFFFF" w:val="clear"/>
      <w:spacing w:lineRule="exact" w:line="220"/>
      <w:ind w:left="0" w:right="0" w:hanging="0"/>
    </w:pPr>
    <w:rPr>
      <w:sz w:val="20"/>
      <w:szCs w:val="20"/>
    </w:rPr>
  </w:style>
  <w:style w:type="paragraph" w:styleId="116">
    <w:name w:val="çàãîëîâîê 1"/>
    <w:basedOn w:val="Normal"/>
    <w:qFormat/>
    <w:pPr>
      <w:keepNext w:val="true"/>
      <w:widowControl w:val="false"/>
      <w:spacing w:lineRule="auto" w:line="240" w:before="0" w:after="0"/>
      <w:jc w:val="center"/>
    </w:pPr>
    <w:rPr>
      <w:rFonts w:ascii="Peterburg" w:hAnsi="Peterburg" w:eastAsia="Times New Roman" w:cs="Peterburg"/>
      <w:b/>
      <w:sz w:val="28"/>
      <w:szCs w:val="20"/>
      <w:lang w:eastAsia="ru-RU"/>
    </w:rPr>
  </w:style>
  <w:style w:type="paragraph" w:styleId="Style79">
    <w:name w:val="Список с номерами"/>
    <w:basedOn w:val="Style52"/>
    <w:qFormat/>
    <w:pPr>
      <w:tabs>
        <w:tab w:val="left" w:pos="1276" w:leader="none"/>
        <w:tab w:val="left" w:pos="1680" w:leader="none"/>
      </w:tabs>
      <w:spacing w:before="120" w:after="0"/>
      <w:ind w:left="1680" w:right="0" w:firstLine="851"/>
    </w:pPr>
    <w:rPr>
      <w:sz w:val="16"/>
      <w:szCs w:val="16"/>
    </w:rPr>
  </w:style>
  <w:style w:type="paragraph" w:styleId="Xl24">
    <w:name w:val="xl24"/>
    <w:basedOn w:val="Normal"/>
    <w:qFormat/>
    <w:pPr>
      <w:spacing w:lineRule="auto" w:line="240" w:before="280" w:after="280"/>
      <w:jc w:val="right"/>
    </w:pPr>
    <w:rPr>
      <w:rFonts w:ascii="Times New Roman" w:hAnsi="Times New Roman" w:eastAsia="Arial Unicode MS" w:cs="Times New Roman"/>
      <w:i/>
      <w:iCs/>
      <w:sz w:val="26"/>
      <w:szCs w:val="26"/>
      <w:lang w:eastAsia="ru-RU"/>
    </w:rPr>
  </w:style>
  <w:style w:type="paragraph" w:styleId="TOCHeading">
    <w:name w:val="TOC Heading"/>
    <w:basedOn w:val="1"/>
    <w:qFormat/>
    <w:pPr>
      <w:numPr>
        <w:ilvl w:val="0"/>
        <w:numId w:val="0"/>
      </w:numPr>
    </w:pPr>
    <w:rPr/>
  </w:style>
  <w:style w:type="paragraph" w:styleId="44">
    <w:name w:val="TOC 4"/>
    <w:basedOn w:val="Normal"/>
    <w:pPr>
      <w:spacing w:lineRule="auto" w:line="240" w:before="0" w:after="0"/>
      <w:ind w:left="840" w:right="0" w:hanging="0"/>
    </w:pPr>
    <w:rPr>
      <w:rFonts w:ascii="Times New Roman" w:hAnsi="Times New Roman" w:eastAsia="Times New Roman" w:cs="Times New Roman"/>
      <w:color w:val="000000"/>
      <w:sz w:val="24"/>
      <w:szCs w:val="20"/>
      <w:lang w:eastAsia="ru-RU"/>
    </w:rPr>
  </w:style>
  <w:style w:type="paragraph" w:styleId="56">
    <w:name w:val="TOC 5"/>
    <w:basedOn w:val="Normal"/>
    <w:pPr>
      <w:spacing w:lineRule="auto" w:line="240" w:before="0" w:after="0"/>
      <w:ind w:left="1120" w:right="0" w:hanging="0"/>
    </w:pPr>
    <w:rPr>
      <w:rFonts w:eastAsia="Times New Roman"/>
      <w:color w:val="000000"/>
      <w:sz w:val="20"/>
      <w:szCs w:val="20"/>
      <w:lang w:eastAsia="ru-RU"/>
    </w:rPr>
  </w:style>
  <w:style w:type="paragraph" w:styleId="63">
    <w:name w:val="TOC 6"/>
    <w:basedOn w:val="Normal"/>
    <w:pPr>
      <w:spacing w:lineRule="auto" w:line="240" w:before="0" w:after="0"/>
      <w:ind w:left="1400" w:right="0" w:hanging="0"/>
    </w:pPr>
    <w:rPr>
      <w:rFonts w:eastAsia="Times New Roman"/>
      <w:color w:val="000000"/>
      <w:sz w:val="20"/>
      <w:szCs w:val="20"/>
      <w:lang w:eastAsia="ru-RU"/>
    </w:rPr>
  </w:style>
  <w:style w:type="paragraph" w:styleId="73">
    <w:name w:val="TOC 7"/>
    <w:basedOn w:val="Normal"/>
    <w:pPr>
      <w:spacing w:lineRule="auto" w:line="240" w:before="0" w:after="0"/>
      <w:ind w:left="1680" w:right="0" w:hanging="0"/>
    </w:pPr>
    <w:rPr>
      <w:rFonts w:eastAsia="Times New Roman"/>
      <w:color w:val="000000"/>
      <w:sz w:val="20"/>
      <w:szCs w:val="20"/>
      <w:lang w:eastAsia="ru-RU"/>
    </w:rPr>
  </w:style>
  <w:style w:type="paragraph" w:styleId="83">
    <w:name w:val="TOC 8"/>
    <w:basedOn w:val="Normal"/>
    <w:pPr>
      <w:spacing w:lineRule="auto" w:line="240" w:before="0" w:after="0"/>
      <w:ind w:left="1960" w:right="0" w:hanging="0"/>
    </w:pPr>
    <w:rPr>
      <w:rFonts w:eastAsia="Times New Roman"/>
      <w:color w:val="000000"/>
      <w:sz w:val="20"/>
      <w:szCs w:val="20"/>
      <w:lang w:eastAsia="ru-RU"/>
    </w:rPr>
  </w:style>
  <w:style w:type="paragraph" w:styleId="92">
    <w:name w:val="TOC 9"/>
    <w:basedOn w:val="Normal"/>
    <w:pPr>
      <w:spacing w:lineRule="auto" w:line="240" w:before="0" w:after="0"/>
      <w:ind w:left="2240" w:right="0" w:hanging="0"/>
    </w:pPr>
    <w:rPr>
      <w:rFonts w:eastAsia="Times New Roman"/>
      <w:color w:val="000000"/>
      <w:sz w:val="20"/>
      <w:szCs w:val="20"/>
      <w:lang w:eastAsia="ru-RU"/>
    </w:rPr>
  </w:style>
  <w:style w:type="paragraph" w:styleId="Font5">
    <w:name w:val="font5"/>
    <w:basedOn w:val="Normal"/>
    <w:qFormat/>
    <w:pPr>
      <w:spacing w:lineRule="auto" w:line="240" w:before="280" w:after="280"/>
    </w:pPr>
    <w:rPr>
      <w:rFonts w:ascii="Times New Roman" w:hAnsi="Times New Roman" w:eastAsia="Times New Roman" w:cs="Times New Roman"/>
      <w:lang w:eastAsia="ru-RU"/>
    </w:rPr>
  </w:style>
  <w:style w:type="paragraph" w:styleId="Font6">
    <w:name w:val="font6"/>
    <w:basedOn w:val="Normal"/>
    <w:qFormat/>
    <w:pPr>
      <w:spacing w:lineRule="auto" w:line="240" w:before="280" w:after="280"/>
    </w:pPr>
    <w:rPr>
      <w:rFonts w:ascii="Times New Roman" w:hAnsi="Times New Roman" w:eastAsia="Times New Roman" w:cs="Times New Roman"/>
      <w:lang w:eastAsia="ru-RU"/>
    </w:rPr>
  </w:style>
  <w:style w:type="paragraph" w:styleId="Font7">
    <w:name w:val="font7"/>
    <w:basedOn w:val="Normal"/>
    <w:qFormat/>
    <w:pPr>
      <w:spacing w:lineRule="auto" w:line="240" w:before="280" w:after="280"/>
    </w:pPr>
    <w:rPr>
      <w:rFonts w:ascii="Times New Roman" w:hAnsi="Times New Roman" w:eastAsia="Times New Roman" w:cs="Times New Roman"/>
      <w:lang w:eastAsia="ru-RU"/>
    </w:rPr>
  </w:style>
  <w:style w:type="paragraph" w:styleId="Xl63">
    <w:name w:val="xl63"/>
    <w:basedOn w:val="Normal"/>
    <w:qFormat/>
    <w:pPr>
      <w:spacing w:lineRule="auto" w:line="240" w:before="280" w:after="280"/>
    </w:pPr>
    <w:rPr>
      <w:rFonts w:ascii="Times New Roman" w:hAnsi="Times New Roman" w:eastAsia="Times New Roman" w:cs="Times New Roman"/>
      <w:lang w:eastAsia="ru-RU"/>
    </w:rPr>
  </w:style>
  <w:style w:type="paragraph" w:styleId="Xl64">
    <w:name w:val="xl64"/>
    <w:basedOn w:val="Normal"/>
    <w:qFormat/>
    <w:pPr>
      <w:spacing w:lineRule="auto" w:line="240" w:before="280" w:after="280"/>
      <w:jc w:val="center"/>
      <w:textAlignment w:val="top"/>
    </w:pPr>
    <w:rPr>
      <w:rFonts w:ascii="Times New Roman" w:hAnsi="Times New Roman" w:eastAsia="Times New Roman" w:cs="Times New Roman"/>
      <w:lang w:eastAsia="ru-RU"/>
    </w:rPr>
  </w:style>
  <w:style w:type="paragraph" w:styleId="Xl65">
    <w:name w:val="xl65"/>
    <w:basedOn w:val="Normal"/>
    <w:qFormat/>
    <w:pPr>
      <w:spacing w:lineRule="auto" w:line="240" w:before="280" w:after="280"/>
    </w:pPr>
    <w:rPr>
      <w:rFonts w:ascii="Times New Roman" w:hAnsi="Times New Roman" w:eastAsia="Times New Roman" w:cs="Times New Roman"/>
      <w:b/>
      <w:bCs/>
      <w:lang w:eastAsia="ru-RU"/>
    </w:rPr>
  </w:style>
  <w:style w:type="paragraph" w:styleId="Xl66">
    <w:name w:val="xl66"/>
    <w:basedOn w:val="Normal"/>
    <w:qFormat/>
    <w:pPr>
      <w:pBdr>
        <w:top w:val="single" w:sz="4" w:space="0" w:color="00000A"/>
        <w:left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67">
    <w:name w:val="xl67"/>
    <w:basedOn w:val="Normal"/>
    <w:qFormat/>
    <w:pPr>
      <w:pBdr>
        <w:top w:val="single" w:sz="4" w:space="0" w:color="00000A"/>
        <w:left w:val="single" w:sz="4" w:space="0" w:color="00000A"/>
        <w:bottom w:val="single" w:sz="4" w:space="0" w:color="00000A"/>
      </w:pBdr>
      <w:spacing w:lineRule="auto" w:line="240" w:before="280" w:after="280"/>
    </w:pPr>
    <w:rPr>
      <w:rFonts w:ascii="Times New Roman" w:hAnsi="Times New Roman" w:eastAsia="Times New Roman" w:cs="Times New Roman"/>
      <w:b/>
      <w:bCs/>
      <w:lang w:eastAsia="ru-RU"/>
    </w:rPr>
  </w:style>
  <w:style w:type="paragraph" w:styleId="Xl68">
    <w:name w:val="xl68"/>
    <w:basedOn w:val="Normal"/>
    <w:qFormat/>
    <w:pPr>
      <w:pBdr>
        <w:top w:val="single" w:sz="4" w:space="0" w:color="00000A"/>
        <w:left w:val="single" w:sz="4" w:space="0" w:color="00000A"/>
        <w:bottom w:val="single" w:sz="4" w:space="0" w:color="00000A"/>
      </w:pBdr>
      <w:spacing w:lineRule="auto" w:line="240" w:before="280" w:after="280"/>
      <w:jc w:val="center"/>
      <w:textAlignment w:val="top"/>
    </w:pPr>
    <w:rPr>
      <w:rFonts w:ascii="Times New Roman" w:hAnsi="Times New Roman" w:eastAsia="Times New Roman" w:cs="Times New Roman"/>
      <w:lang w:eastAsia="ru-RU"/>
    </w:rPr>
  </w:style>
  <w:style w:type="paragraph" w:styleId="Xl69">
    <w:name w:val="xl69"/>
    <w:basedOn w:val="Normal"/>
    <w:qFormat/>
    <w:pPr>
      <w:pBdr>
        <w:top w:val="single" w:sz="4" w:space="0" w:color="00000A"/>
        <w:bottom w:val="single" w:sz="4" w:space="0" w:color="00000A"/>
      </w:pBdr>
      <w:spacing w:lineRule="auto" w:line="240" w:before="280" w:after="280"/>
      <w:jc w:val="center"/>
      <w:textAlignment w:val="top"/>
    </w:pPr>
    <w:rPr>
      <w:rFonts w:ascii="Times New Roman" w:hAnsi="Times New Roman" w:eastAsia="Times New Roman" w:cs="Times New Roman"/>
      <w:lang w:eastAsia="ru-RU"/>
    </w:rPr>
  </w:style>
  <w:style w:type="paragraph" w:styleId="Xl70">
    <w:name w:val="xl70"/>
    <w:basedOn w:val="Normal"/>
    <w:qFormat/>
    <w:pPr>
      <w:pBdr>
        <w:top w:val="single" w:sz="4" w:space="0" w:color="00000A"/>
        <w:bottom w:val="single" w:sz="4" w:space="0" w:color="00000A"/>
        <w:right w:val="single" w:sz="4" w:space="0" w:color="00000A"/>
      </w:pBdr>
      <w:spacing w:lineRule="auto" w:line="240" w:before="280" w:after="280"/>
      <w:jc w:val="center"/>
      <w:textAlignment w:val="top"/>
    </w:pPr>
    <w:rPr>
      <w:rFonts w:ascii="Times New Roman" w:hAnsi="Times New Roman" w:eastAsia="Times New Roman" w:cs="Times New Roman"/>
      <w:lang w:eastAsia="ru-RU"/>
    </w:rPr>
  </w:style>
  <w:style w:type="paragraph" w:styleId="Xl71">
    <w:name w:val="xl71"/>
    <w:basedOn w:val="Normal"/>
    <w:qFormat/>
    <w:pPr>
      <w:pBdr>
        <w:top w:val="single" w:sz="4" w:space="0" w:color="00000A"/>
        <w:left w:val="single" w:sz="4" w:space="0" w:color="00000A"/>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72">
    <w:name w:val="xl72"/>
    <w:basedOn w:val="Normal"/>
    <w:qFormat/>
    <w:pPr>
      <w:pBdr>
        <w:top w:val="single" w:sz="4" w:space="0" w:color="00000A"/>
        <w:left w:val="single" w:sz="4" w:space="0" w:color="00000A"/>
        <w:bottom w:val="single" w:sz="4" w:space="0" w:color="00000A"/>
        <w:right w:val="single" w:sz="4" w:space="0" w:color="00000A"/>
      </w:pBdr>
      <w:spacing w:lineRule="auto" w:line="240" w:before="280" w:after="280"/>
      <w:jc w:val="center"/>
      <w:textAlignment w:val="top"/>
    </w:pPr>
    <w:rPr>
      <w:rFonts w:ascii="Times New Roman" w:hAnsi="Times New Roman" w:eastAsia="Times New Roman" w:cs="Times New Roman"/>
      <w:lang w:eastAsia="ru-RU"/>
    </w:rPr>
  </w:style>
  <w:style w:type="paragraph" w:styleId="Xl73">
    <w:name w:val="xl73"/>
    <w:basedOn w:val="Normal"/>
    <w:qFormat/>
    <w:pPr>
      <w:pBdr>
        <w:top w:val="single" w:sz="4" w:space="0" w:color="00000A"/>
        <w:left w:val="single" w:sz="4" w:space="0" w:color="00000A"/>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74">
    <w:name w:val="xl74"/>
    <w:basedOn w:val="Normal"/>
    <w:qFormat/>
    <w:pPr>
      <w:pBdr>
        <w:top w:val="single" w:sz="4" w:space="0" w:color="00000A"/>
        <w:lef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75">
    <w:name w:val="xl75"/>
    <w:basedOn w:val="Normal"/>
    <w:qFormat/>
    <w:pPr>
      <w:pBdr>
        <w:top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76">
    <w:name w:val="xl76"/>
    <w:basedOn w:val="Normal"/>
    <w:qFormat/>
    <w:pPr>
      <w:pBdr>
        <w:top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77">
    <w:name w:val="xl77"/>
    <w:basedOn w:val="Normal"/>
    <w:qFormat/>
    <w:pPr>
      <w:pBdr>
        <w:left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78">
    <w:name w:val="xl78"/>
    <w:basedOn w:val="Normal"/>
    <w:qFormat/>
    <w:pPr>
      <w:pBdr>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79">
    <w:name w:val="xl79"/>
    <w:basedOn w:val="Normal"/>
    <w:qFormat/>
    <w:pPr>
      <w:pBdr>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80">
    <w:name w:val="xl80"/>
    <w:basedOn w:val="Normal"/>
    <w:qFormat/>
    <w:pPr>
      <w:pBdr>
        <w:top w:val="single" w:sz="4" w:space="0" w:color="00000A"/>
        <w:left w:val="single" w:sz="4" w:space="0" w:color="00000A"/>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81">
    <w:name w:val="xl81"/>
    <w:basedOn w:val="Normal"/>
    <w:qFormat/>
    <w:pPr>
      <w:pBdr>
        <w:top w:val="single" w:sz="4" w:space="0" w:color="00000A"/>
        <w:lef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82">
    <w:name w:val="xl82"/>
    <w:basedOn w:val="Normal"/>
    <w:qFormat/>
    <w:pPr>
      <w:pBdr>
        <w:left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83">
    <w:name w:val="xl83"/>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84">
    <w:name w:val="xl84"/>
    <w:basedOn w:val="Normal"/>
    <w:qFormat/>
    <w:pPr>
      <w:pBdr>
        <w:top w:val="single" w:sz="4" w:space="0" w:color="00000A"/>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85">
    <w:name w:val="xl85"/>
    <w:basedOn w:val="Normal"/>
    <w:qFormat/>
    <w:pPr>
      <w:pBdr>
        <w:top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86">
    <w:name w:val="xl86"/>
    <w:basedOn w:val="Normal"/>
    <w:qFormat/>
    <w:pPr>
      <w:pBdr>
        <w:top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87">
    <w:name w:val="xl87"/>
    <w:basedOn w:val="Normal"/>
    <w:qFormat/>
    <w:pPr>
      <w:pBdr>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88">
    <w:name w:val="xl88"/>
    <w:basedOn w:val="Normal"/>
    <w:qFormat/>
    <w:pPr>
      <w:pBdr>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89">
    <w:name w:val="xl89"/>
    <w:basedOn w:val="Normal"/>
    <w:qFormat/>
    <w:pPr>
      <w:pBdr>
        <w:top w:val="single" w:sz="4" w:space="0" w:color="00000A"/>
        <w:left w:val="single" w:sz="4" w:space="0" w:color="00000A"/>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90">
    <w:name w:val="xl90"/>
    <w:basedOn w:val="Normal"/>
    <w:qFormat/>
    <w:pPr>
      <w:pBdr>
        <w:lef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91">
    <w:name w:val="xl91"/>
    <w:basedOn w:val="Normal"/>
    <w:qFormat/>
    <w:pPr>
      <w:spacing w:lineRule="auto" w:line="240" w:before="280" w:after="280"/>
      <w:jc w:val="center"/>
      <w:textAlignment w:val="center"/>
    </w:pPr>
    <w:rPr>
      <w:rFonts w:ascii="Times New Roman" w:hAnsi="Times New Roman" w:eastAsia="Times New Roman" w:cs="Times New Roman"/>
      <w:lang w:eastAsia="ru-RU"/>
    </w:rPr>
  </w:style>
  <w:style w:type="paragraph" w:styleId="Xl92">
    <w:name w:val="xl92"/>
    <w:basedOn w:val="Normal"/>
    <w:qFormat/>
    <w:pPr>
      <w:pBdr>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93">
    <w:name w:val="xl93"/>
    <w:basedOn w:val="Normal"/>
    <w:qFormat/>
    <w:pPr>
      <w:pBdr>
        <w:top w:val="single" w:sz="4" w:space="0" w:color="00000A"/>
        <w:left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94">
    <w:name w:val="xl94"/>
    <w:basedOn w:val="Normal"/>
    <w:qFormat/>
    <w:pPr>
      <w:pBdr>
        <w:top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95">
    <w:name w:val="xl95"/>
    <w:basedOn w:val="Normal"/>
    <w:qFormat/>
    <w:pPr>
      <w:pBdr>
        <w:top w:val="single" w:sz="4" w:space="0" w:color="00000A"/>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96">
    <w:name w:val="xl96"/>
    <w:basedOn w:val="Normal"/>
    <w:qFormat/>
    <w:pPr>
      <w:pBdr>
        <w:top w:val="single" w:sz="4" w:space="0" w:color="00000A"/>
        <w:left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97">
    <w:name w:val="xl97"/>
    <w:basedOn w:val="Normal"/>
    <w:qFormat/>
    <w:pPr>
      <w:pBdr>
        <w:top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98">
    <w:name w:val="xl98"/>
    <w:basedOn w:val="Normal"/>
    <w:qFormat/>
    <w:pPr>
      <w:pBdr>
        <w:top w:val="single" w:sz="4" w:space="0" w:color="00000A"/>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99">
    <w:name w:val="xl99"/>
    <w:basedOn w:val="Normal"/>
    <w:qFormat/>
    <w:pPr>
      <w:pBdr>
        <w:top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00">
    <w:name w:val="xl100"/>
    <w:basedOn w:val="Normal"/>
    <w:qFormat/>
    <w:pPr>
      <w:pBdr>
        <w:top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01">
    <w:name w:val="xl101"/>
    <w:basedOn w:val="Normal"/>
    <w:qFormat/>
    <w:pPr>
      <w:pBdr>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02">
    <w:name w:val="xl102"/>
    <w:basedOn w:val="Normal"/>
    <w:qFormat/>
    <w:pPr>
      <w:pBdr>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03">
    <w:name w:val="xl103"/>
    <w:basedOn w:val="Normal"/>
    <w:qFormat/>
    <w:pPr>
      <w:pBdr>
        <w:top w:val="single" w:sz="4" w:space="0" w:color="00000A"/>
        <w:left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04">
    <w:name w:val="xl104"/>
    <w:basedOn w:val="Normal"/>
    <w:qFormat/>
    <w:pPr>
      <w:pBdr>
        <w:top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05">
    <w:name w:val="xl105"/>
    <w:basedOn w:val="Normal"/>
    <w:qFormat/>
    <w:pPr>
      <w:pBdr>
        <w:top w:val="single" w:sz="4" w:space="0" w:color="00000A"/>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06">
    <w:name w:val="xl106"/>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07">
    <w:name w:val="xl107"/>
    <w:basedOn w:val="Normal"/>
    <w:qFormat/>
    <w:pPr>
      <w:pBdr>
        <w:top w:val="single" w:sz="4" w:space="0" w:color="00000A"/>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08">
    <w:name w:val="xl108"/>
    <w:basedOn w:val="Normal"/>
    <w:qFormat/>
    <w:pPr>
      <w:pBdr>
        <w:top w:val="single" w:sz="4" w:space="0" w:color="00000A"/>
      </w:pBdr>
      <w:spacing w:lineRule="auto" w:line="240" w:before="280" w:after="280"/>
      <w:textAlignment w:val="center"/>
    </w:pPr>
    <w:rPr>
      <w:rFonts w:ascii="Times New Roman" w:hAnsi="Times New Roman" w:eastAsia="Times New Roman" w:cs="Times New Roman"/>
      <w:u w:val="single"/>
      <w:lang w:eastAsia="ru-RU"/>
    </w:rPr>
  </w:style>
  <w:style w:type="paragraph" w:styleId="Xl109">
    <w:name w:val="xl109"/>
    <w:basedOn w:val="Normal"/>
    <w:qFormat/>
    <w:pPr>
      <w:pBdr>
        <w:top w:val="single" w:sz="4" w:space="0" w:color="00000A"/>
        <w:right w:val="single" w:sz="4" w:space="0" w:color="00000A"/>
      </w:pBdr>
      <w:spacing w:lineRule="auto" w:line="240" w:before="280" w:after="280"/>
      <w:textAlignment w:val="center"/>
    </w:pPr>
    <w:rPr>
      <w:rFonts w:ascii="Times New Roman" w:hAnsi="Times New Roman" w:eastAsia="Times New Roman" w:cs="Times New Roman"/>
      <w:u w:val="single"/>
      <w:lang w:eastAsia="ru-RU"/>
    </w:rPr>
  </w:style>
  <w:style w:type="paragraph" w:styleId="Xl110">
    <w:name w:val="xl110"/>
    <w:basedOn w:val="Normal"/>
    <w:qFormat/>
    <w:pPr>
      <w:pBdr>
        <w:bottom w:val="single" w:sz="4" w:space="0" w:color="00000A"/>
      </w:pBdr>
      <w:spacing w:lineRule="auto" w:line="240" w:before="280" w:after="280"/>
      <w:textAlignment w:val="center"/>
    </w:pPr>
    <w:rPr>
      <w:rFonts w:ascii="Times New Roman" w:hAnsi="Times New Roman" w:eastAsia="Times New Roman" w:cs="Times New Roman"/>
      <w:u w:val="single"/>
      <w:lang w:eastAsia="ru-RU"/>
    </w:rPr>
  </w:style>
  <w:style w:type="paragraph" w:styleId="Xl111">
    <w:name w:val="xl111"/>
    <w:basedOn w:val="Normal"/>
    <w:qFormat/>
    <w:pPr>
      <w:pBdr>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u w:val="single"/>
      <w:lang w:eastAsia="ru-RU"/>
    </w:rPr>
  </w:style>
  <w:style w:type="paragraph" w:styleId="Xl112">
    <w:name w:val="xl112"/>
    <w:basedOn w:val="Normal"/>
    <w:qFormat/>
    <w:pPr>
      <w:spacing w:lineRule="auto" w:line="240" w:before="280" w:after="280"/>
      <w:textAlignment w:val="center"/>
    </w:pPr>
    <w:rPr>
      <w:rFonts w:ascii="Times New Roman" w:hAnsi="Times New Roman" w:eastAsia="Times New Roman" w:cs="Times New Roman"/>
      <w:b/>
      <w:bCs/>
      <w:lang w:eastAsia="ru-RU"/>
    </w:rPr>
  </w:style>
  <w:style w:type="paragraph" w:styleId="Xl113">
    <w:name w:val="xl113"/>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b/>
      <w:bCs/>
      <w:lang w:eastAsia="ru-RU"/>
    </w:rPr>
  </w:style>
  <w:style w:type="paragraph" w:styleId="Xl114">
    <w:name w:val="xl114"/>
    <w:basedOn w:val="Normal"/>
    <w:qFormat/>
    <w:pPr>
      <w:pBdr>
        <w:top w:val="single" w:sz="4" w:space="0" w:color="00000A"/>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b/>
      <w:bCs/>
      <w:lang w:eastAsia="ru-RU"/>
    </w:rPr>
  </w:style>
  <w:style w:type="paragraph" w:styleId="Xl115">
    <w:name w:val="xl115"/>
    <w:basedOn w:val="Normal"/>
    <w:qFormat/>
    <w:pPr>
      <w:pBdr>
        <w:lef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16">
    <w:name w:val="xl116"/>
    <w:basedOn w:val="Normal"/>
    <w:qFormat/>
    <w:pPr>
      <w:spacing w:lineRule="auto" w:line="240" w:before="280" w:after="280"/>
      <w:textAlignment w:val="center"/>
    </w:pPr>
    <w:rPr>
      <w:rFonts w:ascii="Times New Roman" w:hAnsi="Times New Roman" w:eastAsia="Times New Roman" w:cs="Times New Roman"/>
      <w:lang w:eastAsia="ru-RU"/>
    </w:rPr>
  </w:style>
  <w:style w:type="paragraph" w:styleId="Xl117">
    <w:name w:val="xl117"/>
    <w:basedOn w:val="Normal"/>
    <w:qFormat/>
    <w:pPr>
      <w:pBdr>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18">
    <w:name w:val="xl118"/>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b/>
      <w:bCs/>
      <w:lang w:eastAsia="ru-RU"/>
    </w:rPr>
  </w:style>
  <w:style w:type="paragraph" w:styleId="Xl119">
    <w:name w:val="xl119"/>
    <w:basedOn w:val="Normal"/>
    <w:qFormat/>
    <w:pPr>
      <w:pBdr>
        <w:top w:val="single" w:sz="4" w:space="0" w:color="00000A"/>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b/>
      <w:bCs/>
      <w:lang w:eastAsia="ru-RU"/>
    </w:rPr>
  </w:style>
  <w:style w:type="paragraph" w:styleId="Xl120">
    <w:name w:val="xl120"/>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21">
    <w:name w:val="xl121"/>
    <w:basedOn w:val="Normal"/>
    <w:qFormat/>
    <w:pPr>
      <w:pBdr>
        <w:top w:val="single" w:sz="4" w:space="0" w:color="00000A"/>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22">
    <w:name w:val="xl122"/>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23">
    <w:name w:val="xl123"/>
    <w:basedOn w:val="Normal"/>
    <w:qFormat/>
    <w:pPr>
      <w:pBdr>
        <w:top w:val="single" w:sz="4" w:space="0" w:color="00000A"/>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Definition">
    <w:name w:val="definition"/>
    <w:basedOn w:val="Normal"/>
    <w:qFormat/>
    <w:pPr>
      <w:spacing w:lineRule="auto" w:line="240" w:before="280" w:after="280"/>
    </w:pPr>
    <w:rPr>
      <w:rFonts w:ascii="Times New Roman" w:hAnsi="Times New Roman" w:eastAsia="Times New Roman" w:cs="Times New Roman"/>
      <w:sz w:val="24"/>
      <w:szCs w:val="24"/>
      <w:lang w:eastAsia="ru-RU"/>
    </w:rPr>
  </w:style>
  <w:style w:type="paragraph" w:styleId="Source">
    <w:name w:val="source"/>
    <w:basedOn w:val="Normal"/>
    <w:qFormat/>
    <w:pPr>
      <w:spacing w:lineRule="auto" w:line="240" w:before="280" w:after="280"/>
    </w:pPr>
    <w:rPr>
      <w:rFonts w:ascii="Times New Roman" w:hAnsi="Times New Roman" w:eastAsia="Times New Roman" w:cs="Times New Roman"/>
      <w:sz w:val="24"/>
      <w:szCs w:val="24"/>
      <w:lang w:eastAsia="ru-RU"/>
    </w:rPr>
  </w:style>
  <w:style w:type="paragraph" w:styleId="41111">
    <w:name w:val="4 МГП 1.1.1"/>
    <w:basedOn w:val="54"/>
    <w:qFormat/>
    <w:pPr>
      <w:spacing w:before="240" w:after="120"/>
    </w:pPr>
    <w:rPr>
      <w:b/>
      <w:i/>
    </w:rPr>
  </w:style>
  <w:style w:type="paragraph" w:styleId="3111">
    <w:name w:val="3 МГП 1.1"/>
    <w:basedOn w:val="54"/>
    <w:qFormat/>
    <w:pPr>
      <w:spacing w:lineRule="auto" w:line="240" w:before="480" w:after="120"/>
    </w:pPr>
    <w:rPr>
      <w:b/>
    </w:rPr>
  </w:style>
  <w:style w:type="paragraph" w:styleId="Style80">
    <w:name w:val="Обычный в таблице"/>
    <w:basedOn w:val="Normal"/>
    <w:qFormat/>
    <w:pPr>
      <w:spacing w:lineRule="auto" w:line="240" w:before="0" w:after="0"/>
      <w:jc w:val="center"/>
    </w:pPr>
    <w:rPr>
      <w:rFonts w:ascii="Times New Roman" w:hAnsi="Times New Roman" w:cs="Times New Roman"/>
      <w:sz w:val="24"/>
      <w:szCs w:val="20"/>
    </w:rPr>
  </w:style>
  <w:style w:type="paragraph" w:styleId="84">
    <w:name w:val="Основной текст8"/>
    <w:basedOn w:val="Normal"/>
    <w:qFormat/>
    <w:pPr>
      <w:shd w:fill="FFFFFF" w:val="clear"/>
      <w:spacing w:lineRule="atLeast" w:line="240" w:before="0" w:after="0"/>
    </w:pPr>
    <w:rPr>
      <w:rFonts w:ascii="Times New Roman" w:hAnsi="Times New Roman" w:eastAsia="Times New Roman" w:cs="Times New Roman"/>
      <w:sz w:val="15"/>
      <w:szCs w:val="15"/>
    </w:rPr>
  </w:style>
  <w:style w:type="paragraph" w:styleId="03">
    <w:name w:val="0ПЗ Обычный"/>
    <w:basedOn w:val="Normal"/>
    <w:qFormat/>
    <w:pPr>
      <w:spacing w:lineRule="auto" w:line="240" w:before="0" w:after="0"/>
      <w:ind w:left="284" w:right="0" w:firstLine="709"/>
      <w:jc w:val="both"/>
    </w:pPr>
    <w:rPr>
      <w:rFonts w:ascii="Times New Roman" w:hAnsi="Times New Roman" w:cs="Times New Roman"/>
      <w:color w:val="000000"/>
      <w:sz w:val="28"/>
      <w:szCs w:val="20"/>
    </w:rPr>
  </w:style>
  <w:style w:type="paragraph" w:styleId="Style81">
    <w:name w:val="МГП Обычный"/>
    <w:basedOn w:val="03"/>
    <w:qFormat/>
    <w:pPr>
      <w:ind w:left="113" w:right="0" w:firstLine="851"/>
    </w:pPr>
    <w:rPr/>
  </w:style>
  <w:style w:type="paragraph" w:styleId="64">
    <w:name w:val="6 МГП Таблица Заголовок"/>
    <w:basedOn w:val="54"/>
    <w:qFormat/>
    <w:pPr>
      <w:spacing w:lineRule="auto" w:line="240" w:before="240" w:after="120"/>
      <w:ind w:left="0" w:right="0" w:hanging="0"/>
      <w:jc w:val="center"/>
    </w:pPr>
    <w:rPr>
      <w:b/>
    </w:rPr>
  </w:style>
  <w:style w:type="paragraph" w:styleId="117">
    <w:name w:val="МГП 1.1"/>
    <w:basedOn w:val="Normal"/>
    <w:qFormat/>
    <w:pPr>
      <w:keepNext w:val="true"/>
      <w:spacing w:lineRule="auto" w:line="240" w:before="240" w:after="60"/>
      <w:ind w:left="1418" w:right="0" w:hanging="454"/>
    </w:pPr>
    <w:rPr>
      <w:rFonts w:ascii="Times New Roman" w:hAnsi="Times New Roman" w:eastAsia="Times New Roman" w:cs="Arial"/>
      <w:b/>
      <w:iCs/>
      <w:color w:val="000000"/>
      <w:sz w:val="28"/>
      <w:szCs w:val="28"/>
      <w:lang w:eastAsia="ru-RU"/>
    </w:rPr>
  </w:style>
  <w:style w:type="paragraph" w:styleId="74">
    <w:name w:val="7 МГП Таблица Нумерация"/>
    <w:basedOn w:val="Normal"/>
    <w:qFormat/>
    <w:pPr>
      <w:spacing w:lineRule="auto" w:line="240" w:before="0" w:after="0"/>
    </w:pPr>
    <w:rPr>
      <w:rFonts w:ascii="Times New Roman" w:hAnsi="Times New Roman" w:cs="Times New Roman"/>
      <w:color w:val="000000"/>
      <w:sz w:val="28"/>
      <w:szCs w:val="20"/>
    </w:rPr>
  </w:style>
  <w:style w:type="paragraph" w:styleId="Style82">
    <w:name w:val="МГП таблица"/>
    <w:basedOn w:val="54"/>
    <w:qFormat/>
    <w:pPr>
      <w:spacing w:lineRule="auto" w:line="240" w:before="280" w:after="280"/>
      <w:ind w:left="-57" w:right="-57" w:hanging="0"/>
      <w:jc w:val="center"/>
    </w:pPr>
    <w:rPr>
      <w:rFonts w:ascii="Arial" w:hAnsi="Arial" w:cs="Arial"/>
      <w:sz w:val="24"/>
      <w:szCs w:val="24"/>
    </w:rPr>
  </w:style>
  <w:style w:type="paragraph" w:styleId="45">
    <w:name w:val="4"/>
    <w:basedOn w:val="54"/>
    <w:qFormat/>
    <w:pPr/>
    <w:rPr>
      <w:b/>
    </w:rPr>
  </w:style>
  <w:style w:type="paragraph" w:styleId="118">
    <w:name w:val="МГП 1"/>
    <w:basedOn w:val="Normal"/>
    <w:qFormat/>
    <w:pPr>
      <w:keepNext w:val="true"/>
      <w:spacing w:lineRule="auto" w:line="240" w:before="120" w:after="120"/>
      <w:ind w:left="1259" w:right="0" w:hanging="295"/>
    </w:pPr>
    <w:rPr>
      <w:rFonts w:ascii="Times New Roman" w:hAnsi="Times New Roman" w:eastAsia="Times New Roman" w:cs="Arial"/>
      <w:b/>
      <w:bCs/>
      <w:color w:val="000000"/>
      <w:kern w:val="2"/>
      <w:sz w:val="32"/>
      <w:szCs w:val="32"/>
      <w:lang w:eastAsia="ru-RU"/>
    </w:rPr>
  </w:style>
  <w:style w:type="paragraph" w:styleId="Xl124">
    <w:name w:val="xl124"/>
    <w:basedOn w:val="Normal"/>
    <w:qFormat/>
    <w:pPr>
      <w:pBdr>
        <w:bottom w:val="single" w:sz="4" w:space="0" w:color="00000A"/>
        <w:right w:val="single" w:sz="4" w:space="0" w:color="00000A"/>
      </w:pBdr>
      <w:spacing w:lineRule="auto" w:line="240" w:before="280" w:after="280"/>
    </w:pPr>
    <w:rPr>
      <w:rFonts w:ascii="Times New Roman" w:hAnsi="Times New Roman" w:eastAsia="Times New Roman" w:cs="Times New Roman"/>
      <w:lang w:eastAsia="ru-RU"/>
    </w:rPr>
  </w:style>
  <w:style w:type="paragraph" w:styleId="Xl125">
    <w:name w:val="xl125"/>
    <w:basedOn w:val="Normal"/>
    <w:qFormat/>
    <w:pPr>
      <w:pBdr>
        <w:top w:val="single" w:sz="4" w:space="0" w:color="00000A"/>
        <w:left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26">
    <w:name w:val="xl126"/>
    <w:basedOn w:val="Normal"/>
    <w:qFormat/>
    <w:pPr>
      <w:pBdr>
        <w:top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27">
    <w:name w:val="xl127"/>
    <w:basedOn w:val="Normal"/>
    <w:qFormat/>
    <w:pPr>
      <w:pBdr>
        <w:top w:val="single" w:sz="4" w:space="0" w:color="00000A"/>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28">
    <w:name w:val="xl128"/>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29">
    <w:name w:val="xl129"/>
    <w:basedOn w:val="Normal"/>
    <w:qFormat/>
    <w:pPr>
      <w:pBdr>
        <w:top w:val="single" w:sz="4" w:space="0" w:color="00000A"/>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30">
    <w:name w:val="xl130"/>
    <w:basedOn w:val="Normal"/>
    <w:qFormat/>
    <w:pPr>
      <w:pBdr>
        <w:top w:val="single" w:sz="4" w:space="0" w:color="00000A"/>
      </w:pBdr>
      <w:spacing w:lineRule="auto" w:line="240" w:before="280" w:after="280"/>
    </w:pPr>
    <w:rPr>
      <w:rFonts w:ascii="Times New Roman" w:hAnsi="Times New Roman" w:eastAsia="Times New Roman" w:cs="Times New Roman"/>
      <w:u w:val="single"/>
      <w:lang w:eastAsia="ru-RU"/>
    </w:rPr>
  </w:style>
  <w:style w:type="paragraph" w:styleId="Xl131">
    <w:name w:val="xl131"/>
    <w:basedOn w:val="Normal"/>
    <w:qFormat/>
    <w:pPr>
      <w:pBdr>
        <w:bottom w:val="single" w:sz="4" w:space="0" w:color="00000A"/>
      </w:pBdr>
      <w:spacing w:lineRule="auto" w:line="240" w:before="280" w:after="280"/>
    </w:pPr>
    <w:rPr>
      <w:rFonts w:ascii="Times New Roman" w:hAnsi="Times New Roman" w:eastAsia="Times New Roman" w:cs="Times New Roman"/>
      <w:u w:val="single"/>
      <w:lang w:eastAsia="ru-RU"/>
    </w:rPr>
  </w:style>
  <w:style w:type="paragraph" w:styleId="Xl132">
    <w:name w:val="xl132"/>
    <w:basedOn w:val="Normal"/>
    <w:qFormat/>
    <w:pPr>
      <w:pBdr>
        <w:top w:val="single" w:sz="4" w:space="0" w:color="00000A"/>
        <w:right w:val="single" w:sz="4" w:space="0" w:color="00000A"/>
      </w:pBdr>
      <w:spacing w:lineRule="auto" w:line="240" w:before="280" w:after="280"/>
    </w:pPr>
    <w:rPr>
      <w:rFonts w:ascii="Times New Roman" w:hAnsi="Times New Roman" w:eastAsia="Times New Roman" w:cs="Times New Roman"/>
      <w:u w:val="single"/>
      <w:lang w:eastAsia="ru-RU"/>
    </w:rPr>
  </w:style>
  <w:style w:type="paragraph" w:styleId="Xl133">
    <w:name w:val="xl133"/>
    <w:basedOn w:val="Normal"/>
    <w:qFormat/>
    <w:pPr>
      <w:pBdr>
        <w:bottom w:val="single" w:sz="4" w:space="0" w:color="00000A"/>
        <w:right w:val="single" w:sz="4" w:space="0" w:color="00000A"/>
      </w:pBdr>
      <w:spacing w:lineRule="auto" w:line="240" w:before="280" w:after="280"/>
    </w:pPr>
    <w:rPr>
      <w:rFonts w:ascii="Times New Roman" w:hAnsi="Times New Roman" w:eastAsia="Times New Roman" w:cs="Times New Roman"/>
      <w:u w:val="single"/>
      <w:lang w:eastAsia="ru-RU"/>
    </w:rPr>
  </w:style>
  <w:style w:type="paragraph" w:styleId="Xl134">
    <w:name w:val="xl134"/>
    <w:basedOn w:val="Normal"/>
    <w:qFormat/>
    <w:pPr>
      <w:pBdr>
        <w:top w:val="single" w:sz="4" w:space="0" w:color="00000A"/>
      </w:pBdr>
      <w:spacing w:lineRule="auto" w:line="240" w:before="280" w:after="280"/>
      <w:textAlignment w:val="center"/>
    </w:pPr>
    <w:rPr>
      <w:rFonts w:ascii="Times New Roman" w:hAnsi="Times New Roman" w:eastAsia="Times New Roman" w:cs="Times New Roman"/>
      <w:u w:val="single"/>
      <w:lang w:eastAsia="ru-RU"/>
    </w:rPr>
  </w:style>
  <w:style w:type="paragraph" w:styleId="Xl135">
    <w:name w:val="xl135"/>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36">
    <w:name w:val="xl136"/>
    <w:basedOn w:val="Normal"/>
    <w:qFormat/>
    <w:pPr>
      <w:pBdr>
        <w:top w:val="single" w:sz="4" w:space="0" w:color="00000A"/>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37">
    <w:name w:val="xl137"/>
    <w:basedOn w:val="Normal"/>
    <w:qFormat/>
    <w:pPr>
      <w:pBdr>
        <w:top w:val="single" w:sz="4" w:space="0" w:color="00000A"/>
        <w:lef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38">
    <w:name w:val="xl138"/>
    <w:basedOn w:val="Normal"/>
    <w:qFormat/>
    <w:pPr>
      <w:pBdr>
        <w:top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39">
    <w:name w:val="xl139"/>
    <w:basedOn w:val="Normal"/>
    <w:qFormat/>
    <w:pPr>
      <w:pBdr>
        <w:top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40">
    <w:name w:val="xl140"/>
    <w:basedOn w:val="Normal"/>
    <w:qFormat/>
    <w:pPr>
      <w:pBdr>
        <w:left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41">
    <w:name w:val="xl141"/>
    <w:basedOn w:val="Normal"/>
    <w:qFormat/>
    <w:pPr>
      <w:pBdr>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42">
    <w:name w:val="xl142"/>
    <w:basedOn w:val="Normal"/>
    <w:qFormat/>
    <w:pPr>
      <w:pBdr>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43">
    <w:name w:val="xl143"/>
    <w:basedOn w:val="Normal"/>
    <w:qFormat/>
    <w:pPr>
      <w:pBdr>
        <w:bottom w:val="single" w:sz="4" w:space="0" w:color="00000A"/>
      </w:pBdr>
      <w:spacing w:lineRule="auto" w:line="240" w:before="280" w:after="280"/>
      <w:textAlignment w:val="center"/>
    </w:pPr>
    <w:rPr>
      <w:rFonts w:ascii="Times New Roman" w:hAnsi="Times New Roman" w:eastAsia="Times New Roman" w:cs="Times New Roman"/>
      <w:u w:val="single"/>
      <w:lang w:eastAsia="ru-RU"/>
    </w:rPr>
  </w:style>
  <w:style w:type="paragraph" w:styleId="Xl144">
    <w:name w:val="xl144"/>
    <w:basedOn w:val="Normal"/>
    <w:qFormat/>
    <w:pPr>
      <w:pBdr>
        <w:top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45">
    <w:name w:val="xl145"/>
    <w:basedOn w:val="Normal"/>
    <w:qFormat/>
    <w:pPr>
      <w:pBdr>
        <w:top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46">
    <w:name w:val="xl146"/>
    <w:basedOn w:val="Normal"/>
    <w:qFormat/>
    <w:pPr>
      <w:pBdr>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47">
    <w:name w:val="xl147"/>
    <w:basedOn w:val="Normal"/>
    <w:qFormat/>
    <w:pPr>
      <w:pBdr>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48">
    <w:name w:val="xl148"/>
    <w:basedOn w:val="Normal"/>
    <w:qFormat/>
    <w:pPr>
      <w:pBdr>
        <w:top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49">
    <w:name w:val="xl149"/>
    <w:basedOn w:val="Normal"/>
    <w:qFormat/>
    <w:pPr>
      <w:pBdr>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50">
    <w:name w:val="xl150"/>
    <w:basedOn w:val="Normal"/>
    <w:qFormat/>
    <w:pPr>
      <w:pBdr>
        <w:top w:val="single" w:sz="4" w:space="0" w:color="00000A"/>
        <w:left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51">
    <w:name w:val="xl151"/>
    <w:basedOn w:val="Normal"/>
    <w:qFormat/>
    <w:pPr>
      <w:pBdr>
        <w:top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52">
    <w:name w:val="xl152"/>
    <w:basedOn w:val="Normal"/>
    <w:qFormat/>
    <w:pPr>
      <w:pBdr>
        <w:top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53">
    <w:name w:val="xl153"/>
    <w:basedOn w:val="Normal"/>
    <w:qFormat/>
    <w:pPr>
      <w:pBdr>
        <w:left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54">
    <w:name w:val="xl154"/>
    <w:basedOn w:val="Normal"/>
    <w:qFormat/>
    <w:pPr>
      <w:pBdr>
        <w:bottom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55">
    <w:name w:val="xl155"/>
    <w:basedOn w:val="Normal"/>
    <w:qFormat/>
    <w:pPr>
      <w:pBdr>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b/>
      <w:bCs/>
      <w:lang w:eastAsia="ru-RU"/>
    </w:rPr>
  </w:style>
  <w:style w:type="paragraph" w:styleId="Xl156">
    <w:name w:val="xl156"/>
    <w:basedOn w:val="Normal"/>
    <w:qFormat/>
    <w:pPr>
      <w:pBdr>
        <w:top w:val="single" w:sz="4" w:space="0" w:color="00000A"/>
        <w:left w:val="single" w:sz="4" w:space="0" w:color="00000A"/>
        <w:bottom w:val="single" w:sz="4" w:space="0" w:color="00000A"/>
        <w:right w:val="single" w:sz="4" w:space="0" w:color="00000A"/>
      </w:pBdr>
      <w:spacing w:lineRule="auto" w:line="240" w:before="280" w:after="280"/>
      <w:jc w:val="center"/>
    </w:pPr>
    <w:rPr>
      <w:rFonts w:ascii="Times New Roman" w:hAnsi="Times New Roman" w:eastAsia="Times New Roman" w:cs="Times New Roman"/>
      <w:lang w:eastAsia="ru-RU"/>
    </w:rPr>
  </w:style>
  <w:style w:type="paragraph" w:styleId="Xl157">
    <w:name w:val="xl157"/>
    <w:basedOn w:val="Normal"/>
    <w:qFormat/>
    <w:pPr>
      <w:pBdr>
        <w:top w:val="single" w:sz="4" w:space="0" w:color="00000A"/>
        <w:left w:val="single" w:sz="4" w:space="0" w:color="00000A"/>
        <w:bottom w:val="single" w:sz="4" w:space="0" w:color="00000A"/>
      </w:pBdr>
      <w:spacing w:lineRule="auto" w:line="240" w:before="280" w:after="280"/>
      <w:jc w:val="center"/>
    </w:pPr>
    <w:rPr>
      <w:rFonts w:ascii="Times New Roman" w:hAnsi="Times New Roman" w:eastAsia="Times New Roman" w:cs="Times New Roman"/>
      <w:lang w:eastAsia="ru-RU"/>
    </w:rPr>
  </w:style>
  <w:style w:type="paragraph" w:styleId="Xl158">
    <w:name w:val="xl158"/>
    <w:basedOn w:val="Normal"/>
    <w:qFormat/>
    <w:pPr>
      <w:pBdr>
        <w:top w:val="single" w:sz="4" w:space="0" w:color="00000A"/>
        <w:bottom w:val="single" w:sz="4" w:space="0" w:color="00000A"/>
      </w:pBdr>
      <w:spacing w:lineRule="auto" w:line="240" w:before="280" w:after="280"/>
      <w:jc w:val="center"/>
    </w:pPr>
    <w:rPr>
      <w:rFonts w:ascii="Times New Roman" w:hAnsi="Times New Roman" w:eastAsia="Times New Roman" w:cs="Times New Roman"/>
      <w:lang w:eastAsia="ru-RU"/>
    </w:rPr>
  </w:style>
  <w:style w:type="paragraph" w:styleId="Xl159">
    <w:name w:val="xl159"/>
    <w:basedOn w:val="Normal"/>
    <w:qFormat/>
    <w:pPr>
      <w:pBdr>
        <w:top w:val="single" w:sz="4" w:space="0" w:color="00000A"/>
        <w:bottom w:val="single" w:sz="4" w:space="0" w:color="00000A"/>
        <w:right w:val="single" w:sz="4" w:space="0" w:color="00000A"/>
      </w:pBdr>
      <w:spacing w:lineRule="auto" w:line="240" w:before="280" w:after="280"/>
      <w:jc w:val="center"/>
    </w:pPr>
    <w:rPr>
      <w:rFonts w:ascii="Times New Roman" w:hAnsi="Times New Roman" w:eastAsia="Times New Roman" w:cs="Times New Roman"/>
      <w:lang w:eastAsia="ru-RU"/>
    </w:rPr>
  </w:style>
  <w:style w:type="paragraph" w:styleId="Xl160">
    <w:name w:val="xl160"/>
    <w:basedOn w:val="Normal"/>
    <w:qFormat/>
    <w:pPr>
      <w:spacing w:lineRule="auto" w:line="240" w:before="280" w:after="280"/>
      <w:textAlignment w:val="center"/>
    </w:pPr>
    <w:rPr>
      <w:rFonts w:ascii="Times New Roman" w:hAnsi="Times New Roman" w:eastAsia="Times New Roman" w:cs="Times New Roman"/>
      <w:lang w:eastAsia="ru-RU"/>
    </w:rPr>
  </w:style>
  <w:style w:type="paragraph" w:styleId="Xl161">
    <w:name w:val="xl161"/>
    <w:basedOn w:val="Normal"/>
    <w:qFormat/>
    <w:pPr>
      <w:pBdr>
        <w:top w:val="single" w:sz="4" w:space="0" w:color="00000A"/>
      </w:pBdr>
      <w:spacing w:lineRule="auto" w:line="240" w:before="280" w:after="280"/>
      <w:textAlignment w:val="center"/>
    </w:pPr>
    <w:rPr>
      <w:rFonts w:ascii="Times New Roman" w:hAnsi="Times New Roman" w:eastAsia="Times New Roman" w:cs="Times New Roman"/>
      <w:b/>
      <w:bCs/>
      <w:lang w:eastAsia="ru-RU"/>
    </w:rPr>
  </w:style>
  <w:style w:type="paragraph" w:styleId="Xl162">
    <w:name w:val="xl162"/>
    <w:basedOn w:val="Normal"/>
    <w:qFormat/>
    <w:pPr>
      <w:pBdr>
        <w:top w:val="single" w:sz="4" w:space="0" w:color="00000A"/>
        <w:right w:val="single" w:sz="4" w:space="0" w:color="00000A"/>
      </w:pBdr>
      <w:spacing w:lineRule="auto" w:line="240" w:before="280" w:after="280"/>
      <w:textAlignment w:val="center"/>
    </w:pPr>
    <w:rPr>
      <w:rFonts w:ascii="Times New Roman" w:hAnsi="Times New Roman" w:eastAsia="Times New Roman" w:cs="Times New Roman"/>
      <w:b/>
      <w:bCs/>
      <w:lang w:eastAsia="ru-RU"/>
    </w:rPr>
  </w:style>
  <w:style w:type="paragraph" w:styleId="Xl163">
    <w:name w:val="xl163"/>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64">
    <w:name w:val="xl164"/>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65">
    <w:name w:val="xl165"/>
    <w:basedOn w:val="Normal"/>
    <w:qFormat/>
    <w:pPr>
      <w:pBdr>
        <w:top w:val="single" w:sz="4" w:space="0" w:color="00000A"/>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66">
    <w:name w:val="xl166"/>
    <w:basedOn w:val="Normal"/>
    <w:qFormat/>
    <w:pPr>
      <w:pBdr>
        <w:top w:val="single" w:sz="4" w:space="0" w:color="00000A"/>
        <w:left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sz w:val="18"/>
      <w:szCs w:val="18"/>
      <w:lang w:eastAsia="ru-RU"/>
    </w:rPr>
  </w:style>
  <w:style w:type="paragraph" w:styleId="Xl167">
    <w:name w:val="xl167"/>
    <w:basedOn w:val="Normal"/>
    <w:qFormat/>
    <w:pPr>
      <w:pBdr>
        <w:top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sz w:val="18"/>
      <w:szCs w:val="18"/>
      <w:lang w:eastAsia="ru-RU"/>
    </w:rPr>
  </w:style>
  <w:style w:type="paragraph" w:styleId="Xl168">
    <w:name w:val="xl168"/>
    <w:basedOn w:val="Normal"/>
    <w:qFormat/>
    <w:pPr>
      <w:pBdr>
        <w:top w:val="single" w:sz="4" w:space="0" w:color="00000A"/>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sz w:val="18"/>
      <w:szCs w:val="18"/>
      <w:lang w:eastAsia="ru-RU"/>
    </w:rPr>
  </w:style>
  <w:style w:type="paragraph" w:styleId="Xl169">
    <w:name w:val="xl169"/>
    <w:basedOn w:val="Normal"/>
    <w:qFormat/>
    <w:pPr>
      <w:pBdr>
        <w:top w:val="single" w:sz="4" w:space="0" w:color="00000A"/>
        <w:bottom w:val="single" w:sz="4" w:space="0" w:color="00000A"/>
      </w:pBdr>
      <w:spacing w:lineRule="auto" w:line="240" w:before="280" w:after="280"/>
    </w:pPr>
    <w:rPr>
      <w:rFonts w:ascii="Times New Roman" w:hAnsi="Times New Roman" w:eastAsia="Times New Roman" w:cs="Times New Roman"/>
      <w:lang w:eastAsia="ru-RU"/>
    </w:rPr>
  </w:style>
  <w:style w:type="paragraph" w:styleId="Xl170">
    <w:name w:val="xl170"/>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b/>
      <w:bCs/>
      <w:lang w:eastAsia="ru-RU"/>
    </w:rPr>
  </w:style>
  <w:style w:type="paragraph" w:styleId="Xl171">
    <w:name w:val="xl171"/>
    <w:basedOn w:val="Normal"/>
    <w:qFormat/>
    <w:pPr>
      <w:pBdr>
        <w:top w:val="single" w:sz="4" w:space="0" w:color="00000A"/>
        <w:bottom w:val="single" w:sz="4" w:space="0" w:color="00000A"/>
        <w:right w:val="single" w:sz="4" w:space="0" w:color="00000A"/>
      </w:pBdr>
      <w:spacing w:lineRule="auto" w:line="240" w:before="280" w:after="280"/>
      <w:textAlignment w:val="center"/>
    </w:pPr>
    <w:rPr>
      <w:rFonts w:ascii="Times New Roman" w:hAnsi="Times New Roman" w:eastAsia="Times New Roman" w:cs="Times New Roman"/>
      <w:b/>
      <w:bCs/>
      <w:lang w:eastAsia="ru-RU"/>
    </w:rPr>
  </w:style>
  <w:style w:type="paragraph" w:styleId="Xl172">
    <w:name w:val="xl172"/>
    <w:basedOn w:val="Normal"/>
    <w:qFormat/>
    <w:pPr>
      <w:pBdr>
        <w:top w:val="single" w:sz="4" w:space="0" w:color="00000A"/>
        <w:left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73">
    <w:name w:val="xl173"/>
    <w:basedOn w:val="Normal"/>
    <w:qFormat/>
    <w:pPr>
      <w:pBdr>
        <w:top w:val="single" w:sz="4" w:space="0" w:color="00000A"/>
        <w:bottom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74">
    <w:name w:val="xl174"/>
    <w:basedOn w:val="Normal"/>
    <w:qFormat/>
    <w:pPr>
      <w:pBdr>
        <w:top w:val="single" w:sz="4" w:space="0" w:color="00000A"/>
        <w:bottom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75">
    <w:name w:val="xl175"/>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76">
    <w:name w:val="xl176"/>
    <w:basedOn w:val="Normal"/>
    <w:qFormat/>
    <w:pPr>
      <w:pBdr>
        <w:top w:val="single" w:sz="4" w:space="0" w:color="00000A"/>
        <w:bottom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77">
    <w:name w:val="xl177"/>
    <w:basedOn w:val="Normal"/>
    <w:qFormat/>
    <w:pPr>
      <w:pBdr>
        <w:top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78">
    <w:name w:val="xl178"/>
    <w:basedOn w:val="Normal"/>
    <w:qFormat/>
    <w:pPr>
      <w:pBdr>
        <w:top w:val="single" w:sz="4" w:space="0" w:color="00000A"/>
        <w:right w:val="single" w:sz="4" w:space="0" w:color="00000A"/>
      </w:pBdr>
      <w:spacing w:lineRule="auto" w:line="240" w:before="280" w:after="280"/>
      <w:textAlignment w:val="center"/>
    </w:pPr>
    <w:rPr>
      <w:rFonts w:ascii="Times New Roman" w:hAnsi="Times New Roman" w:eastAsia="Times New Roman" w:cs="Times New Roman"/>
      <w:lang w:eastAsia="ru-RU"/>
    </w:rPr>
  </w:style>
  <w:style w:type="paragraph" w:styleId="Xl179">
    <w:name w:val="xl179"/>
    <w:basedOn w:val="Normal"/>
    <w:qFormat/>
    <w:pPr>
      <w:pBdr>
        <w:top w:val="single" w:sz="4" w:space="0" w:color="00000A"/>
        <w:left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80">
    <w:name w:val="xl180"/>
    <w:basedOn w:val="Normal"/>
    <w:qFormat/>
    <w:pPr>
      <w:pBdr>
        <w:top w:val="single" w:sz="4" w:space="0" w:color="00000A"/>
        <w:left w:val="single" w:sz="4" w:space="0" w:color="00000A"/>
      </w:pBdr>
      <w:spacing w:lineRule="auto" w:line="240" w:before="280" w:after="280"/>
      <w:jc w:val="center"/>
    </w:pPr>
    <w:rPr>
      <w:rFonts w:ascii="Times New Roman" w:hAnsi="Times New Roman" w:eastAsia="Times New Roman" w:cs="Times New Roman"/>
      <w:lang w:eastAsia="ru-RU"/>
    </w:rPr>
  </w:style>
  <w:style w:type="paragraph" w:styleId="Xl181">
    <w:name w:val="xl181"/>
    <w:basedOn w:val="Normal"/>
    <w:qFormat/>
    <w:pPr>
      <w:pBdr>
        <w:top w:val="single" w:sz="4" w:space="0" w:color="00000A"/>
      </w:pBdr>
      <w:spacing w:lineRule="auto" w:line="240" w:before="280" w:after="280"/>
      <w:jc w:val="center"/>
    </w:pPr>
    <w:rPr>
      <w:rFonts w:ascii="Times New Roman" w:hAnsi="Times New Roman" w:eastAsia="Times New Roman" w:cs="Times New Roman"/>
      <w:lang w:eastAsia="ru-RU"/>
    </w:rPr>
  </w:style>
  <w:style w:type="paragraph" w:styleId="Xl182">
    <w:name w:val="xl182"/>
    <w:basedOn w:val="Normal"/>
    <w:qFormat/>
    <w:pPr>
      <w:pBdr>
        <w:top w:val="single" w:sz="4" w:space="0" w:color="00000A"/>
        <w:right w:val="single" w:sz="4" w:space="0" w:color="00000A"/>
      </w:pBdr>
      <w:spacing w:lineRule="auto" w:line="240" w:before="280" w:after="280"/>
      <w:jc w:val="center"/>
    </w:pPr>
    <w:rPr>
      <w:rFonts w:ascii="Times New Roman" w:hAnsi="Times New Roman" w:eastAsia="Times New Roman" w:cs="Times New Roman"/>
      <w:lang w:eastAsia="ru-RU"/>
    </w:rPr>
  </w:style>
  <w:style w:type="paragraph" w:styleId="Xl183">
    <w:name w:val="xl183"/>
    <w:basedOn w:val="Normal"/>
    <w:qFormat/>
    <w:pPr>
      <w:pBdr>
        <w:top w:val="single" w:sz="4" w:space="0" w:color="00000A"/>
      </w:pBdr>
      <w:spacing w:lineRule="auto" w:line="240" w:before="280" w:after="280"/>
    </w:pPr>
    <w:rPr>
      <w:rFonts w:ascii="Times New Roman" w:hAnsi="Times New Roman" w:eastAsia="Times New Roman" w:cs="Times New Roman"/>
      <w:b/>
      <w:bCs/>
      <w:lang w:eastAsia="ru-RU"/>
    </w:rPr>
  </w:style>
  <w:style w:type="paragraph" w:styleId="Xl184">
    <w:name w:val="xl184"/>
    <w:basedOn w:val="Normal"/>
    <w:qFormat/>
    <w:pPr>
      <w:pBdr>
        <w:top w:val="single" w:sz="4" w:space="0" w:color="00000A"/>
        <w:right w:val="single" w:sz="4" w:space="0" w:color="00000A"/>
      </w:pBdr>
      <w:spacing w:lineRule="auto" w:line="240" w:before="280" w:after="280"/>
    </w:pPr>
    <w:rPr>
      <w:rFonts w:ascii="Times New Roman" w:hAnsi="Times New Roman" w:eastAsia="Times New Roman" w:cs="Times New Roman"/>
      <w:b/>
      <w:bCs/>
      <w:lang w:eastAsia="ru-RU"/>
    </w:rPr>
  </w:style>
  <w:style w:type="paragraph" w:styleId="Xl185">
    <w:name w:val="xl185"/>
    <w:basedOn w:val="Normal"/>
    <w:qFormat/>
    <w:pPr>
      <w:pBdr>
        <w:top w:val="single" w:sz="4" w:space="0" w:color="00000A"/>
        <w:bottom w:val="single" w:sz="4" w:space="0" w:color="00000A"/>
      </w:pBdr>
      <w:spacing w:lineRule="auto" w:line="240" w:before="280" w:after="280"/>
    </w:pPr>
    <w:rPr>
      <w:rFonts w:ascii="Times New Roman" w:hAnsi="Times New Roman" w:eastAsia="Times New Roman" w:cs="Times New Roman"/>
      <w:lang w:eastAsia="ru-RU"/>
    </w:rPr>
  </w:style>
  <w:style w:type="paragraph" w:styleId="Xl186">
    <w:name w:val="xl186"/>
    <w:basedOn w:val="Normal"/>
    <w:qFormat/>
    <w:pPr>
      <w:pBdr>
        <w:top w:val="single" w:sz="4" w:space="0" w:color="00000A"/>
        <w:bottom w:val="single" w:sz="4" w:space="0" w:color="00000A"/>
        <w:right w:val="single" w:sz="4" w:space="0" w:color="00000A"/>
      </w:pBdr>
      <w:spacing w:lineRule="auto" w:line="240" w:before="280" w:after="280"/>
    </w:pPr>
    <w:rPr>
      <w:rFonts w:ascii="Times New Roman" w:hAnsi="Times New Roman" w:eastAsia="Times New Roman" w:cs="Times New Roman"/>
      <w:lang w:eastAsia="ru-RU"/>
    </w:rPr>
  </w:style>
  <w:style w:type="paragraph" w:styleId="Xl187">
    <w:name w:val="xl187"/>
    <w:basedOn w:val="Normal"/>
    <w:qFormat/>
    <w:pPr>
      <w:pBdr>
        <w:left w:val="single" w:sz="4" w:space="0" w:color="00000A"/>
        <w:right w:val="single" w:sz="4" w:space="0" w:color="00000A"/>
      </w:pBdr>
      <w:spacing w:lineRule="auto" w:line="240" w:before="280" w:after="280"/>
      <w:jc w:val="center"/>
      <w:textAlignment w:val="center"/>
    </w:pPr>
    <w:rPr>
      <w:rFonts w:ascii="Times New Roman" w:hAnsi="Times New Roman" w:eastAsia="Times New Roman" w:cs="Times New Roman"/>
      <w:lang w:eastAsia="ru-RU"/>
    </w:rPr>
  </w:style>
  <w:style w:type="paragraph" w:styleId="Xl188">
    <w:name w:val="xl188"/>
    <w:basedOn w:val="Normal"/>
    <w:qFormat/>
    <w:pPr>
      <w:spacing w:lineRule="auto" w:line="240" w:before="280" w:after="280"/>
    </w:pPr>
    <w:rPr>
      <w:rFonts w:ascii="Times New Roman" w:hAnsi="Times New Roman" w:eastAsia="Times New Roman" w:cs="Times New Roman"/>
      <w:lang w:eastAsia="ru-RU"/>
    </w:rPr>
  </w:style>
  <w:style w:type="paragraph" w:styleId="Xl189">
    <w:name w:val="xl189"/>
    <w:basedOn w:val="Normal"/>
    <w:qFormat/>
    <w:pPr>
      <w:pBdr>
        <w:right w:val="single" w:sz="4" w:space="0" w:color="00000A"/>
      </w:pBdr>
      <w:spacing w:lineRule="auto" w:line="240" w:before="280" w:after="280"/>
    </w:pPr>
    <w:rPr>
      <w:rFonts w:ascii="Times New Roman" w:hAnsi="Times New Roman" w:eastAsia="Times New Roman" w:cs="Times New Roman"/>
      <w:lang w:eastAsia="ru-RU"/>
    </w:rPr>
  </w:style>
  <w:style w:type="paragraph" w:styleId="Xl190">
    <w:name w:val="xl190"/>
    <w:basedOn w:val="Normal"/>
    <w:qFormat/>
    <w:pPr>
      <w:pBdr>
        <w:bottom w:val="single" w:sz="4" w:space="0" w:color="00000A"/>
      </w:pBdr>
      <w:spacing w:lineRule="auto" w:line="240" w:before="280" w:after="280"/>
    </w:pPr>
    <w:rPr>
      <w:rFonts w:ascii="Times New Roman" w:hAnsi="Times New Roman" w:eastAsia="Times New Roman" w:cs="Times New Roman"/>
      <w:lang w:eastAsia="ru-RU"/>
    </w:rPr>
  </w:style>
  <w:style w:type="paragraph" w:styleId="Xl191">
    <w:name w:val="xl191"/>
    <w:basedOn w:val="Normal"/>
    <w:qFormat/>
    <w:pPr>
      <w:pBdr>
        <w:bottom w:val="single" w:sz="4" w:space="0" w:color="00000A"/>
        <w:right w:val="single" w:sz="4" w:space="0" w:color="00000A"/>
      </w:pBdr>
      <w:spacing w:lineRule="auto" w:line="240" w:before="280" w:after="280"/>
    </w:pPr>
    <w:rPr>
      <w:rFonts w:ascii="Times New Roman" w:hAnsi="Times New Roman" w:eastAsia="Times New Roman" w:cs="Times New Roman"/>
      <w:lang w:eastAsia="ru-RU"/>
    </w:rPr>
  </w:style>
  <w:style w:type="paragraph" w:styleId="Xl192">
    <w:name w:val="xl192"/>
    <w:basedOn w:val="Normal"/>
    <w:qFormat/>
    <w:pPr>
      <w:pBdr>
        <w:left w:val="single" w:sz="4" w:space="0" w:color="00000A"/>
      </w:pBdr>
      <w:spacing w:lineRule="auto" w:line="240" w:before="280" w:after="280"/>
      <w:jc w:val="center"/>
    </w:pPr>
    <w:rPr>
      <w:rFonts w:ascii="Times New Roman" w:hAnsi="Times New Roman" w:eastAsia="Times New Roman" w:cs="Times New Roman"/>
      <w:lang w:eastAsia="ru-RU"/>
    </w:rPr>
  </w:style>
  <w:style w:type="paragraph" w:styleId="Xl193">
    <w:name w:val="xl193"/>
    <w:basedOn w:val="Normal"/>
    <w:qFormat/>
    <w:pPr>
      <w:spacing w:lineRule="auto" w:line="240" w:before="280" w:after="280"/>
      <w:jc w:val="center"/>
    </w:pPr>
    <w:rPr>
      <w:rFonts w:ascii="Times New Roman" w:hAnsi="Times New Roman" w:eastAsia="Times New Roman" w:cs="Times New Roman"/>
      <w:lang w:eastAsia="ru-RU"/>
    </w:rPr>
  </w:style>
  <w:style w:type="paragraph" w:styleId="Xl194">
    <w:name w:val="xl194"/>
    <w:basedOn w:val="Normal"/>
    <w:qFormat/>
    <w:pPr>
      <w:pBdr>
        <w:right w:val="single" w:sz="4" w:space="0" w:color="00000A"/>
      </w:pBdr>
      <w:spacing w:lineRule="auto" w:line="240" w:before="280" w:after="280"/>
      <w:jc w:val="center"/>
    </w:pPr>
    <w:rPr>
      <w:rFonts w:ascii="Times New Roman" w:hAnsi="Times New Roman" w:eastAsia="Times New Roman" w:cs="Times New Roman"/>
      <w:lang w:eastAsia="ru-RU"/>
    </w:rPr>
  </w:style>
  <w:style w:type="paragraph" w:styleId="HTMLPreformatted">
    <w:name w:val="HTML Preformatted"/>
    <w:basedOn w:val="Normal"/>
    <w:qFormat/>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eastAsia="Times New Roman" w:cs="Courier New"/>
      <w:color w:val="000000"/>
      <w:sz w:val="20"/>
      <w:szCs w:val="20"/>
    </w:rPr>
  </w:style>
  <w:style w:type="paragraph" w:styleId="119">
    <w:name w:val="обычный1"/>
    <w:basedOn w:val="Normal"/>
    <w:qFormat/>
    <w:pPr>
      <w:spacing w:lineRule="auto" w:line="240" w:before="0" w:after="0"/>
      <w:ind w:left="0" w:right="0" w:firstLine="709"/>
      <w:jc w:val="both"/>
    </w:pPr>
    <w:rPr>
      <w:rFonts w:ascii="Times New Roman" w:hAnsi="Times New Roman" w:eastAsia="Times New Roman" w:cs="Times New Roman"/>
      <w:color w:val="000000"/>
      <w:sz w:val="28"/>
      <w:szCs w:val="28"/>
      <w:lang w:eastAsia="ru-RU"/>
    </w:rPr>
  </w:style>
  <w:style w:type="paragraph" w:styleId="Style83">
    <w:name w:val="Обычный ПЗ"/>
    <w:basedOn w:val="Normal"/>
    <w:qFormat/>
    <w:pPr>
      <w:spacing w:lineRule="auto" w:line="240" w:before="0" w:after="120"/>
      <w:ind w:left="284" w:right="0" w:firstLine="709"/>
      <w:jc w:val="both"/>
    </w:pPr>
    <w:rPr>
      <w:rFonts w:ascii="Times New Roman" w:hAnsi="Times New Roman" w:eastAsia="Times New Roman" w:cs="Times New Roman"/>
      <w:color w:val="000000"/>
      <w:sz w:val="28"/>
      <w:szCs w:val="28"/>
      <w:lang w:eastAsia="ru-RU"/>
    </w:rPr>
  </w:style>
  <w:style w:type="paragraph" w:styleId="011">
    <w:name w:val="0ПЗ Заголовок 1.1"/>
    <w:basedOn w:val="2"/>
    <w:qFormat/>
    <w:pPr>
      <w:keepLines w:val="false"/>
      <w:numPr>
        <w:ilvl w:val="0"/>
        <w:numId w:val="0"/>
      </w:numPr>
      <w:spacing w:lineRule="auto" w:line="240" w:before="240" w:after="60"/>
      <w:ind w:left="1305" w:right="-227" w:hanging="454"/>
    </w:pPr>
    <w:rPr>
      <w:rFonts w:ascii="Times New Roman" w:hAnsi="Times New Roman" w:cs="Arial"/>
      <w:bCs w:val="false"/>
      <w:iCs/>
      <w:color w:val="000000"/>
      <w:sz w:val="28"/>
      <w:szCs w:val="28"/>
      <w:lang w:eastAsia="ru-RU"/>
    </w:rPr>
  </w:style>
  <w:style w:type="paragraph" w:styleId="0111">
    <w:name w:val="0ПЗ Заголовок 1.1.1"/>
    <w:basedOn w:val="3"/>
    <w:qFormat/>
    <w:pPr>
      <w:numPr>
        <w:ilvl w:val="0"/>
        <w:numId w:val="0"/>
      </w:numPr>
      <w:spacing w:before="120" w:after="60"/>
      <w:ind w:left="284" w:right="0" w:firstLine="680"/>
      <w:jc w:val="both"/>
    </w:pPr>
    <w:rPr>
      <w:rFonts w:ascii="Cambria" w:hAnsi="Cambria" w:cs="Cambria"/>
      <w:color w:val="000000"/>
      <w:sz w:val="28"/>
      <w:szCs w:val="28"/>
      <w:lang w:eastAsia="ru-RU"/>
    </w:rPr>
  </w:style>
  <w:style w:type="paragraph" w:styleId="012">
    <w:name w:val="0ПЗ Заголовок 1!"/>
    <w:basedOn w:val="1"/>
    <w:qFormat/>
    <w:pPr>
      <w:keepLines w:val="false"/>
      <w:numPr>
        <w:ilvl w:val="0"/>
        <w:numId w:val="0"/>
      </w:numPr>
      <w:spacing w:lineRule="auto" w:line="240" w:before="60" w:after="60"/>
      <w:ind w:left="284" w:right="76" w:hanging="63"/>
      <w:jc w:val="center"/>
    </w:pPr>
    <w:rPr>
      <w:rFonts w:ascii="Times New Roman" w:hAnsi="Times New Roman" w:cs="Arial"/>
      <w:color w:val="000000"/>
      <w:kern w:val="2"/>
      <w:sz w:val="32"/>
      <w:szCs w:val="32"/>
      <w:lang w:eastAsia="ru-RU"/>
    </w:rPr>
  </w:style>
  <w:style w:type="paragraph" w:styleId="312">
    <w:name w:val="Основной текст 31"/>
    <w:basedOn w:val="Normal"/>
    <w:qFormat/>
    <w:pPr>
      <w:widowControl w:val="false"/>
      <w:suppressAutoHyphens w:val="true"/>
      <w:spacing w:lineRule="auto" w:line="360" w:before="0" w:after="0"/>
      <w:ind w:left="0" w:right="-15" w:hanging="0"/>
      <w:jc w:val="both"/>
    </w:pPr>
    <w:rPr>
      <w:rFonts w:ascii="Arial" w:hAnsi="Arial" w:cs="Arial"/>
      <w:color w:val="000000"/>
      <w:kern w:val="2"/>
      <w:sz w:val="26"/>
      <w:szCs w:val="28"/>
    </w:rPr>
  </w:style>
  <w:style w:type="paragraph" w:styleId="013">
    <w:name w:val="0_ПЗ_Заголовок1"/>
    <w:basedOn w:val="1"/>
    <w:qFormat/>
    <w:pPr>
      <w:keepLines w:val="false"/>
      <w:numPr>
        <w:ilvl w:val="0"/>
        <w:numId w:val="0"/>
      </w:numPr>
      <w:spacing w:lineRule="auto" w:line="240" w:before="240" w:after="0"/>
      <w:ind w:left="284" w:right="0" w:hanging="0"/>
    </w:pPr>
    <w:rPr>
      <w:rFonts w:ascii="Times New Roman" w:hAnsi="Times New Roman" w:cs="Arial"/>
      <w:bCs w:val="false"/>
      <w:color w:val="000000"/>
      <w:kern w:val="2"/>
      <w:sz w:val="32"/>
      <w:szCs w:val="32"/>
      <w:lang w:eastAsia="ru-RU"/>
    </w:rPr>
  </w:style>
  <w:style w:type="paragraph" w:styleId="Western">
    <w:name w:val="western"/>
    <w:basedOn w:val="Normal"/>
    <w:qFormat/>
    <w:pPr>
      <w:spacing w:lineRule="auto" w:line="240" w:before="280" w:after="119"/>
    </w:pPr>
    <w:rPr>
      <w:rFonts w:ascii="Times New Roman" w:hAnsi="Times New Roman" w:eastAsia="Times New Roman" w:cs="Times New Roman"/>
      <w:color w:val="000000"/>
      <w:sz w:val="24"/>
      <w:szCs w:val="24"/>
      <w:lang w:eastAsia="ru-RU"/>
    </w:rPr>
  </w:style>
  <w:style w:type="paragraph" w:styleId="DecimalAligned">
    <w:name w:val="Decimal Aligned"/>
    <w:basedOn w:val="Normal"/>
    <w:qFormat/>
    <w:pPr>
      <w:tabs>
        <w:tab w:val="decimal" w:pos="360" w:leader="none"/>
      </w:tabs>
    </w:pPr>
    <w:rPr>
      <w:rFonts w:eastAsia="Times New Roman"/>
    </w:rPr>
  </w:style>
  <w:style w:type="paragraph" w:styleId="Annotationsubject">
    <w:name w:val="annotation subject"/>
    <w:basedOn w:val="Annotationtext"/>
    <w:qFormat/>
    <w:pPr/>
    <w:rPr>
      <w:b/>
      <w:bCs/>
      <w:lang w:eastAsia="ru-RU"/>
    </w:rPr>
  </w:style>
  <w:style w:type="paragraph" w:styleId="Rvps145">
    <w:name w:val="rvps145"/>
    <w:basedOn w:val="Normal"/>
    <w:qFormat/>
    <w:pPr>
      <w:spacing w:lineRule="auto" w:line="240" w:before="280" w:after="280"/>
    </w:pPr>
    <w:rPr>
      <w:rFonts w:ascii="Times New Roman" w:hAnsi="Times New Roman" w:eastAsia="Times New Roman" w:cs="Times New Roman"/>
      <w:sz w:val="24"/>
      <w:szCs w:val="24"/>
      <w:lang w:eastAsia="ru-RU"/>
    </w:rPr>
  </w:style>
  <w:style w:type="paragraph" w:styleId="Style84">
    <w:name w:val="Перечисление"/>
    <w:basedOn w:val="ListParagraph"/>
    <w:qFormat/>
    <w:pPr>
      <w:spacing w:lineRule="auto" w:line="312" w:before="0" w:after="0"/>
      <w:ind w:left="993" w:right="0" w:hanging="284"/>
      <w:contextualSpacing/>
      <w:jc w:val="both"/>
    </w:pPr>
    <w:rPr>
      <w:rFonts w:ascii="Times New Roman" w:hAnsi="Times New Roman" w:cs="Times New Roman"/>
      <w:sz w:val="24"/>
    </w:rPr>
  </w:style>
  <w:style w:type="paragraph" w:styleId="04">
    <w:name w:val="Стиль Слева:  0"/>
    <w:basedOn w:val="Normal"/>
    <w:qFormat/>
    <w:pPr>
      <w:spacing w:lineRule="auto" w:line="312" w:before="0" w:after="0"/>
      <w:ind w:left="284" w:right="0" w:firstLine="709"/>
      <w:jc w:val="both"/>
    </w:pPr>
    <w:rPr>
      <w:rFonts w:ascii="Times New Roman" w:hAnsi="Times New Roman" w:eastAsia="Times New Roman" w:cs="Times New Roman"/>
      <w:sz w:val="24"/>
      <w:szCs w:val="20"/>
    </w:rPr>
  </w:style>
  <w:style w:type="paragraph" w:styleId="S4">
    <w:name w:val="S_Обычный в таблице"/>
    <w:basedOn w:val="Normal"/>
    <w:qFormat/>
    <w:pPr>
      <w:spacing w:lineRule="auto" w:line="360" w:before="0" w:after="0"/>
      <w:jc w:val="center"/>
    </w:pPr>
    <w:rPr>
      <w:rFonts w:ascii="Times New Roman" w:hAnsi="Times New Roman" w:eastAsia="Times New Roman" w:cs="Times New Roman"/>
      <w:sz w:val="24"/>
      <w:szCs w:val="24"/>
      <w:lang w:eastAsia="ru-RU"/>
    </w:rPr>
  </w:style>
  <w:style w:type="paragraph" w:styleId="ListBullet">
    <w:name w:val="List Bullet"/>
    <w:basedOn w:val="Normal"/>
    <w:qFormat/>
    <w:pPr>
      <w:widowControl w:val="false"/>
      <w:tabs>
        <w:tab w:val="left" w:pos="540" w:leader="none"/>
      </w:tabs>
      <w:spacing w:lineRule="auto" w:line="240" w:before="0" w:after="60"/>
    </w:pPr>
    <w:rPr>
      <w:rFonts w:ascii="Times New Roman" w:hAnsi="Times New Roman" w:eastAsia="Times New Roman" w:cs="Times New Roman"/>
      <w:sz w:val="24"/>
      <w:szCs w:val="24"/>
      <w:lang w:eastAsia="ru-RU"/>
    </w:rPr>
  </w:style>
  <w:style w:type="paragraph" w:styleId="120">
    <w:name w:val="Текст1"/>
    <w:basedOn w:val="Normal"/>
    <w:qFormat/>
    <w:pPr>
      <w:spacing w:lineRule="auto" w:line="360" w:before="0" w:after="0"/>
      <w:ind w:left="0" w:right="0" w:firstLine="720"/>
      <w:jc w:val="both"/>
    </w:pPr>
    <w:rPr>
      <w:rFonts w:ascii="Times New Roman" w:hAnsi="Times New Roman" w:eastAsia="Times New Roman" w:cs="Times New Roman"/>
      <w:sz w:val="28"/>
      <w:szCs w:val="20"/>
      <w:lang w:eastAsia="ru-RU"/>
    </w:rPr>
  </w:style>
  <w:style w:type="paragraph" w:styleId="014">
    <w:name w:val="0ПЗ Заголовок 1"/>
    <w:basedOn w:val="012"/>
    <w:qFormat/>
    <w:pPr>
      <w:spacing w:before="120" w:after="120"/>
      <w:ind w:left="1248" w:right="74" w:hanging="397"/>
      <w:jc w:val="left"/>
    </w:pPr>
    <w:rPr/>
  </w:style>
  <w:style w:type="paragraph" w:styleId="121">
    <w:name w:val="1 МГП"/>
    <w:basedOn w:val="014"/>
    <w:qFormat/>
    <w:pPr>
      <w:ind w:left="0" w:right="0" w:hanging="0"/>
    </w:pPr>
    <w:rPr/>
  </w:style>
  <w:style w:type="paragraph" w:styleId="05">
    <w:name w:val="0 Основной текст"/>
    <w:basedOn w:val="Normal"/>
    <w:qFormat/>
    <w:pPr>
      <w:spacing w:lineRule="auto" w:line="240" w:before="0" w:after="0"/>
      <w:ind w:left="284" w:right="0" w:firstLine="709"/>
      <w:jc w:val="both"/>
    </w:pPr>
    <w:rPr>
      <w:rFonts w:ascii="Times New Roman" w:hAnsi="Times New Roman" w:eastAsia="Times New Roman" w:cs="Times New Roman"/>
      <w:color w:val="000000"/>
      <w:sz w:val="28"/>
      <w:szCs w:val="28"/>
      <w:lang w:eastAsia="ru-RU"/>
    </w:rPr>
  </w:style>
  <w:style w:type="paragraph" w:styleId="37">
    <w:name w:val="Стиль3"/>
    <w:basedOn w:val="118"/>
    <w:qFormat/>
    <w:pPr>
      <w:ind w:left="1361" w:right="0" w:hanging="397"/>
    </w:pPr>
    <w:rPr/>
  </w:style>
  <w:style w:type="paragraph" w:styleId="Style85">
    <w:name w:val="Стиль таблиц"/>
    <w:basedOn w:val="Normal"/>
    <w:qFormat/>
    <w:pPr>
      <w:spacing w:lineRule="auto" w:line="240" w:before="0" w:after="0"/>
      <w:jc w:val="both"/>
    </w:pPr>
    <w:rPr>
      <w:rFonts w:ascii="Times New Roman" w:hAnsi="Times New Roman" w:eastAsia="Times New Roman" w:cs="Times New Roman"/>
      <w:sz w:val="24"/>
      <w:szCs w:val="24"/>
      <w:lang w:eastAsia="ru-RU"/>
    </w:rPr>
  </w:style>
  <w:style w:type="paragraph" w:styleId="06">
    <w:name w:val="0 Содержание"/>
    <w:basedOn w:val="Normal"/>
    <w:qFormat/>
    <w:pPr>
      <w:spacing w:lineRule="auto" w:line="240" w:before="0" w:after="0"/>
      <w:jc w:val="center"/>
    </w:pPr>
    <w:rPr>
      <w:rFonts w:ascii="Times New Roman" w:hAnsi="Times New Roman" w:eastAsia="Times New Roman" w:cs="Times New Roman"/>
      <w:color w:val="000000"/>
      <w:sz w:val="28"/>
      <w:szCs w:val="28"/>
      <w:lang w:eastAsia="ru-RU"/>
    </w:rPr>
  </w:style>
  <w:style w:type="paragraph" w:styleId="Style86">
    <w:name w:val="МГП Таблица"/>
    <w:basedOn w:val="Style81"/>
    <w:qFormat/>
    <w:pPr>
      <w:ind w:left="0" w:right="0" w:hanging="0"/>
      <w:jc w:val="center"/>
    </w:pPr>
    <w:rPr>
      <w:sz w:val="24"/>
      <w:szCs w:val="24"/>
    </w:rPr>
  </w:style>
  <w:style w:type="paragraph" w:styleId="Revision">
    <w:name w:val="Revision"/>
    <w:qFormat/>
    <w:pPr>
      <w:widowControl/>
      <w:suppressAutoHyphens w:val="true"/>
      <w:bidi w:val="0"/>
      <w:jc w:val="left"/>
    </w:pPr>
    <w:rPr>
      <w:rFonts w:ascii="Times New Roman" w:hAnsi="Times New Roman" w:eastAsia="MS Mincho" w:cs="Times New Roman"/>
      <w:color w:val="auto"/>
      <w:kern w:val="2"/>
      <w:sz w:val="28"/>
      <w:szCs w:val="24"/>
      <w:lang w:val="ru-RU" w:eastAsia="ru-RU" w:bidi="ar-SA"/>
    </w:rPr>
  </w:style>
  <w:style w:type="paragraph" w:styleId="Style87">
    <w:name w:val="МГП ОСНОВНОЙ ТЕКСТ"/>
    <w:basedOn w:val="Style46"/>
    <w:qFormat/>
    <w:pPr>
      <w:widowControl/>
      <w:suppressAutoHyphens w:val="false"/>
      <w:spacing w:before="0" w:after="0"/>
      <w:ind w:left="0" w:right="0" w:firstLine="709"/>
      <w:jc w:val="both"/>
    </w:pPr>
    <w:rPr>
      <w:rFonts w:ascii="Calibri" w:hAnsi="Calibri" w:eastAsia="Calibri" w:cs="Times New Roman"/>
      <w:color w:val="000000"/>
      <w:kern w:val="2"/>
      <w:sz w:val="28"/>
      <w:szCs w:val="28"/>
    </w:rPr>
  </w:style>
  <w:style w:type="paragraph" w:styleId="1110">
    <w:name w:val="МГП 1.1 ПОДЗАГОЛОВОК"/>
    <w:basedOn w:val="2"/>
    <w:qFormat/>
    <w:pPr>
      <w:keepLines w:val="false"/>
      <w:numPr>
        <w:ilvl w:val="0"/>
        <w:numId w:val="0"/>
      </w:numPr>
      <w:spacing w:lineRule="auto" w:line="240" w:before="0" w:after="0"/>
      <w:ind w:left="0" w:right="0" w:firstLine="709"/>
    </w:pPr>
    <w:rPr>
      <w:rFonts w:ascii="Times New Roman" w:hAnsi="Times New Roman" w:cs="Times New Roman"/>
      <w:bCs w:val="false"/>
      <w:color w:val="00000A"/>
      <w:sz w:val="28"/>
      <w:szCs w:val="20"/>
      <w:lang w:eastAsia="ru-RU"/>
    </w:rPr>
  </w:style>
  <w:style w:type="paragraph" w:styleId="Style88">
    <w:name w:val="Стиль ИБС"/>
    <w:basedOn w:val="Normal"/>
    <w:qFormat/>
    <w:pPr>
      <w:tabs>
        <w:tab w:val="center" w:pos="4677" w:leader="none"/>
        <w:tab w:val="right" w:pos="9355" w:leader="none"/>
      </w:tabs>
      <w:spacing w:lineRule="auto" w:line="240" w:before="0" w:after="0"/>
      <w:ind w:left="284" w:right="0" w:firstLine="283"/>
      <w:jc w:val="both"/>
    </w:pPr>
    <w:rPr>
      <w:color w:val="003366"/>
      <w:sz w:val="28"/>
      <w:szCs w:val="20"/>
    </w:rPr>
  </w:style>
  <w:style w:type="paragraph" w:styleId="ConsPlusCell">
    <w:name w:val="ConsPlusCell"/>
    <w:qFormat/>
    <w:pPr>
      <w:widowControl/>
      <w:suppressAutoHyphens w:val="true"/>
      <w:bidi w:val="0"/>
      <w:jc w:val="left"/>
    </w:pPr>
    <w:rPr>
      <w:rFonts w:ascii="Times New Roman" w:hAnsi="Times New Roman" w:eastAsia="Times New Roman" w:cs="Times New Roman"/>
      <w:color w:val="auto"/>
      <w:kern w:val="2"/>
      <w:sz w:val="22"/>
      <w:szCs w:val="22"/>
      <w:lang w:val="ru-RU" w:eastAsia="ru-RU" w:bidi="ar-SA"/>
    </w:rPr>
  </w:style>
  <w:style w:type="paragraph" w:styleId="Style89">
    <w:name w:val="Норма"/>
    <w:basedOn w:val="Normal"/>
    <w:qFormat/>
    <w:pPr>
      <w:keepNext w:val="true"/>
      <w:keepLines/>
      <w:spacing w:lineRule="auto" w:line="360" w:before="0" w:after="0"/>
      <w:ind w:left="0" w:right="0" w:firstLine="709"/>
      <w:jc w:val="both"/>
    </w:pPr>
    <w:rPr>
      <w:rFonts w:ascii="Times New Roman" w:hAnsi="Times New Roman" w:eastAsia="MS Mincho" w:cs="Times New Roman"/>
      <w:sz w:val="28"/>
      <w:szCs w:val="24"/>
      <w:lang w:eastAsia="ru-RU"/>
    </w:rPr>
  </w:style>
  <w:style w:type="paragraph" w:styleId="122">
    <w:name w:val="1"/>
    <w:basedOn w:val="Normal"/>
    <w:qFormat/>
    <w:pPr>
      <w:spacing w:lineRule="auto" w:line="360" w:before="280" w:after="280"/>
      <w:ind w:left="0" w:right="0" w:firstLine="709"/>
    </w:pPr>
    <w:rPr>
      <w:rFonts w:ascii="Times New Roman" w:hAnsi="Times New Roman" w:eastAsia="MS Mincho" w:cs="Times New Roman"/>
      <w:color w:val="00004D"/>
      <w:sz w:val="28"/>
      <w:szCs w:val="24"/>
      <w:lang w:eastAsia="ru-RU"/>
    </w:rPr>
  </w:style>
  <w:style w:type="paragraph" w:styleId="Bl0">
    <w:name w:val="bl0"/>
    <w:basedOn w:val="Normal"/>
    <w:qFormat/>
    <w:pPr>
      <w:spacing w:lineRule="auto" w:line="360" w:before="280" w:after="280"/>
      <w:ind w:left="0" w:right="0" w:firstLine="709"/>
    </w:pPr>
    <w:rPr>
      <w:rFonts w:ascii="Times New Roman" w:hAnsi="Times New Roman" w:eastAsia="MS Mincho" w:cs="Times New Roman"/>
      <w:sz w:val="28"/>
      <w:szCs w:val="24"/>
      <w:lang w:eastAsia="ru-RU"/>
    </w:rPr>
  </w:style>
  <w:style w:type="paragraph" w:styleId="Style90">
    <w:name w:val="Предложение"/>
    <w:basedOn w:val="Normal"/>
    <w:qFormat/>
    <w:pPr>
      <w:widowControl w:val="false"/>
      <w:spacing w:lineRule="auto" w:line="360" w:before="0" w:after="0"/>
      <w:ind w:left="720" w:right="0" w:firstLine="709"/>
      <w:jc w:val="both"/>
    </w:pPr>
    <w:rPr>
      <w:rFonts w:ascii="Times New Roman" w:hAnsi="Times New Roman" w:eastAsia="MS Mincho" w:cs="Times New Roman"/>
      <w:bCs/>
      <w:spacing w:val="-2"/>
      <w:sz w:val="28"/>
      <w:szCs w:val="24"/>
      <w:lang w:eastAsia="ru-RU"/>
    </w:rPr>
  </w:style>
  <w:style w:type="paragraph" w:styleId="A0">
    <w:name w:val="a0"/>
    <w:basedOn w:val="Normal"/>
    <w:qFormat/>
    <w:pPr>
      <w:spacing w:lineRule="auto" w:line="360" w:before="0" w:after="0"/>
      <w:ind w:left="0" w:right="0" w:firstLine="709"/>
    </w:pPr>
    <w:rPr>
      <w:rFonts w:ascii="Times New Roman" w:hAnsi="Times New Roman" w:eastAsia="MS Mincho" w:cs="Times New Roman"/>
      <w:sz w:val="28"/>
      <w:szCs w:val="24"/>
      <w:lang w:eastAsia="ru-RU"/>
    </w:rPr>
  </w:style>
  <w:style w:type="paragraph" w:styleId="123">
    <w:name w:val="Обычный1"/>
    <w:qFormat/>
    <w:pPr>
      <w:widowControl w:val="false"/>
      <w:suppressAutoHyphens w:val="true"/>
      <w:bidi w:val="0"/>
      <w:snapToGrid w:val="false"/>
      <w:jc w:val="left"/>
    </w:pPr>
    <w:rPr>
      <w:rFonts w:ascii="Times New Roman" w:hAnsi="Times New Roman" w:eastAsia="MS Mincho" w:cs="Times New Roman"/>
      <w:color w:val="auto"/>
      <w:kern w:val="2"/>
      <w:sz w:val="22"/>
      <w:szCs w:val="20"/>
      <w:lang w:val="ru-RU" w:eastAsia="ru-RU" w:bidi="ar-SA"/>
    </w:rPr>
  </w:style>
  <w:style w:type="paragraph" w:styleId="Style91">
    <w:name w:val="Стиль"/>
    <w:qFormat/>
    <w:pPr>
      <w:widowControl w:val="false"/>
      <w:suppressAutoHyphens w:val="true"/>
      <w:bidi w:val="0"/>
      <w:jc w:val="left"/>
    </w:pPr>
    <w:rPr>
      <w:rFonts w:ascii="Times New Roman" w:hAnsi="Times New Roman" w:eastAsia="MS Mincho" w:cs="Times New Roman"/>
      <w:color w:val="auto"/>
      <w:kern w:val="2"/>
      <w:sz w:val="24"/>
      <w:szCs w:val="24"/>
      <w:lang w:val="ru-RU" w:eastAsia="ru-RU" w:bidi="ar-SA"/>
    </w:rPr>
  </w:style>
  <w:style w:type="paragraph" w:styleId="Style92">
    <w:name w:val="таблица"/>
    <w:qFormat/>
    <w:pPr>
      <w:widowControl/>
      <w:suppressAutoHyphens w:val="true"/>
      <w:bidi w:val="0"/>
      <w:spacing w:before="40" w:after="40"/>
      <w:jc w:val="left"/>
    </w:pPr>
    <w:rPr>
      <w:rFonts w:ascii="Arial Narrow" w:hAnsi="Arial Narrow" w:eastAsia="MS Mincho" w:cs="Times New Roman"/>
      <w:color w:val="auto"/>
      <w:kern w:val="2"/>
      <w:sz w:val="22"/>
      <w:szCs w:val="20"/>
      <w:lang w:val="ru-RU" w:eastAsia="ru-RU" w:bidi="ar-SA"/>
    </w:rPr>
  </w:style>
  <w:style w:type="paragraph" w:styleId="Style93">
    <w:name w:val="Исследования: Стиль абзаца"/>
    <w:basedOn w:val="Normal"/>
    <w:qFormat/>
    <w:pPr>
      <w:spacing w:lineRule="auto" w:line="360" w:before="0" w:after="0"/>
      <w:ind w:left="2835" w:right="0" w:firstLine="709"/>
      <w:jc w:val="both"/>
    </w:pPr>
    <w:rPr>
      <w:rFonts w:ascii="MS Mincho" w:hAnsi="MS Mincho" w:eastAsia="MS Mincho" w:cs="MS Mincho"/>
      <w:sz w:val="20"/>
      <w:szCs w:val="20"/>
    </w:rPr>
  </w:style>
  <w:style w:type="paragraph" w:styleId="CharCharCharCharCharCharCharChar">
    <w:name w:val="Char Знак Char Знак Знак Знак Знак Знак Знак Знак Знак Знак Char Знак Char Знак Char Знак Знак Знак Знак Char Знак Знак Знак Char Знак Знак Char Знак Знак Знак"/>
    <w:basedOn w:val="Normal"/>
    <w:qFormat/>
    <w:pPr>
      <w:spacing w:lineRule="exact" w:line="240" w:before="0" w:after="160"/>
      <w:ind w:left="0" w:right="0" w:firstLine="709"/>
    </w:pPr>
    <w:rPr>
      <w:rFonts w:ascii="Arial" w:hAnsi="Arial" w:eastAsia="MS Mincho" w:cs="Arial"/>
      <w:sz w:val="20"/>
      <w:szCs w:val="20"/>
      <w:lang w:val="en-US"/>
    </w:rPr>
  </w:style>
  <w:style w:type="paragraph" w:styleId="Style94">
    <w:name w:val="Оформление мониторинга"/>
    <w:basedOn w:val="Normal"/>
    <w:qFormat/>
    <w:pPr>
      <w:spacing w:lineRule="exact" w:line="300" w:before="0" w:after="0"/>
      <w:ind w:left="0" w:right="0" w:firstLine="709"/>
      <w:jc w:val="both"/>
    </w:pPr>
    <w:rPr>
      <w:rFonts w:ascii="MS Mincho" w:hAnsi="MS Mincho" w:eastAsia="MS Mincho" w:cs="MS Mincho"/>
      <w:sz w:val="26"/>
      <w:szCs w:val="20"/>
    </w:rPr>
  </w:style>
  <w:style w:type="paragraph" w:styleId="WPHeading3">
    <w:name w:val="WP Heading 3"/>
    <w:basedOn w:val="Normal"/>
    <w:qFormat/>
    <w:pPr>
      <w:tabs>
        <w:tab w:val="left" w:pos="2160" w:leader="none"/>
      </w:tabs>
      <w:spacing w:lineRule="auto" w:line="240" w:before="0" w:after="0"/>
      <w:ind w:left="2160" w:right="0" w:hanging="360"/>
    </w:pPr>
    <w:rPr>
      <w:rFonts w:ascii="Times New Roman" w:hAnsi="Times New Roman" w:eastAsia="Times New Roman" w:cs="Times New Roman"/>
      <w:sz w:val="24"/>
      <w:szCs w:val="24"/>
      <w:lang w:eastAsia="ru-RU"/>
    </w:rPr>
  </w:style>
  <w:style w:type="paragraph" w:styleId="124">
    <w:name w:val="Абзац списка1"/>
    <w:basedOn w:val="Normal"/>
    <w:qFormat/>
    <w:pPr>
      <w:spacing w:lineRule="auto" w:line="240" w:before="0" w:after="160"/>
      <w:ind w:left="720" w:right="0" w:hanging="0"/>
      <w:contextualSpacing/>
    </w:pPr>
    <w:rPr>
      <w:rFonts w:ascii="Times New Roman" w:hAnsi="Times New Roman" w:eastAsia="MS Mincho" w:cs="Times New Roman"/>
      <w:sz w:val="28"/>
      <w:szCs w:val="24"/>
      <w:lang w:eastAsia="ru-RU"/>
    </w:rPr>
  </w:style>
  <w:style w:type="paragraph" w:styleId="Style95">
    <w:name w:val="Нормальный (таблица)"/>
    <w:basedOn w:val="Normal"/>
    <w:qFormat/>
    <w:pPr>
      <w:widowControl w:val="false"/>
      <w:spacing w:lineRule="auto" w:line="240" w:before="0" w:after="0"/>
      <w:jc w:val="both"/>
    </w:pPr>
    <w:rPr>
      <w:rFonts w:ascii="Arial" w:hAnsi="Arial" w:eastAsia="Times New Roman" w:cs="Arial"/>
      <w:sz w:val="26"/>
      <w:szCs w:val="26"/>
      <w:lang w:eastAsia="ru-RU"/>
    </w:rPr>
  </w:style>
  <w:style w:type="paragraph" w:styleId="Style96">
    <w:name w:val="Прижатый влево"/>
    <w:basedOn w:val="Normal"/>
    <w:qFormat/>
    <w:pPr>
      <w:widowControl w:val="false"/>
      <w:spacing w:lineRule="auto" w:line="240" w:before="0" w:after="0"/>
    </w:pPr>
    <w:rPr>
      <w:rFonts w:ascii="Arial" w:hAnsi="Arial" w:eastAsia="Times New Roman" w:cs="Arial"/>
      <w:sz w:val="26"/>
      <w:szCs w:val="26"/>
      <w:lang w:eastAsia="ru-RU"/>
    </w:rPr>
  </w:style>
  <w:style w:type="paragraph" w:styleId="S5">
    <w:name w:val="S_Таблица"/>
    <w:basedOn w:val="Normal"/>
    <w:qFormat/>
    <w:pPr>
      <w:spacing w:before="0" w:after="0"/>
      <w:ind w:left="720" w:right="-159" w:hanging="0"/>
      <w:jc w:val="right"/>
    </w:pPr>
    <w:rPr>
      <w:rFonts w:ascii="Times New Roman" w:hAnsi="Times New Roman" w:cs="Times New Roman"/>
      <w:sz w:val="28"/>
      <w:szCs w:val="28"/>
    </w:rPr>
  </w:style>
  <w:style w:type="paragraph" w:styleId="Style97">
    <w:name w:val="Подзаголовой ЖИРНЫЙ КУРСИВ"/>
    <w:basedOn w:val="Normal"/>
    <w:qFormat/>
    <w:pPr>
      <w:keepNext w:val="true"/>
      <w:keepLines/>
      <w:spacing w:lineRule="auto" w:line="240" w:before="240" w:after="60"/>
      <w:ind w:left="284" w:right="284" w:firstLine="851"/>
      <w:jc w:val="both"/>
    </w:pPr>
    <w:rPr>
      <w:rFonts w:ascii="Times New Roman" w:hAnsi="Times New Roman" w:eastAsia="Times New Roman" w:cs="Times New Roman"/>
      <w:b/>
      <w:bCs/>
      <w:i/>
      <w:iCs/>
      <w:sz w:val="28"/>
      <w:szCs w:val="28"/>
      <w:lang w:eastAsia="ru-RU"/>
    </w:rPr>
  </w:style>
  <w:style w:type="paragraph" w:styleId="Style98">
    <w:name w:val="Подзаголовок КУРСИВ"/>
    <w:basedOn w:val="Style97"/>
    <w:qFormat/>
    <w:pPr>
      <w:spacing w:before="180" w:after="60"/>
    </w:pPr>
    <w:rPr>
      <w:b w:val="false"/>
    </w:rPr>
  </w:style>
  <w:style w:type="paragraph" w:styleId="213">
    <w:name w:val="Основной текст с отступом 21"/>
    <w:basedOn w:val="Normal"/>
    <w:qFormat/>
    <w:pPr>
      <w:suppressAutoHyphens w:val="true"/>
      <w:spacing w:lineRule="auto" w:line="360" w:before="0" w:after="0"/>
      <w:ind w:left="0" w:right="0" w:firstLine="720"/>
      <w:jc w:val="both"/>
    </w:pPr>
    <w:rPr>
      <w:rFonts w:ascii="Times New Roman" w:hAnsi="Times New Roman" w:eastAsia="Times New Roman" w:cs="Times New Roman"/>
      <w:sz w:val="20"/>
      <w:szCs w:val="20"/>
      <w:lang w:eastAsia="ar-SA"/>
    </w:rPr>
  </w:style>
  <w:style w:type="paragraph" w:styleId="125">
    <w:name w:val="Текст примечания1"/>
    <w:basedOn w:val="Normal"/>
    <w:qFormat/>
    <w:pPr>
      <w:suppressAutoHyphens w:val="true"/>
      <w:spacing w:lineRule="auto" w:line="240" w:before="0" w:after="0"/>
    </w:pPr>
    <w:rPr>
      <w:rFonts w:ascii="Times New Roman" w:hAnsi="Times New Roman" w:eastAsia="Times New Roman" w:cs="Times New Roman"/>
      <w:bCs/>
      <w:sz w:val="20"/>
      <w:szCs w:val="20"/>
      <w:lang w:eastAsia="ar-SA"/>
    </w:rPr>
  </w:style>
  <w:style w:type="paragraph" w:styleId="Style99">
    <w:name w:val="П_Обычный"/>
    <w:basedOn w:val="Normal"/>
    <w:qFormat/>
    <w:pPr>
      <w:spacing w:lineRule="auto" w:line="240" w:before="0" w:after="0"/>
      <w:ind w:left="0" w:right="0" w:firstLine="708"/>
      <w:jc w:val="center"/>
    </w:pPr>
    <w:rPr>
      <w:rFonts w:ascii="Times New Roman" w:hAnsi="Times New Roman" w:eastAsia="Times New Roman" w:cs="Times New Roman"/>
      <w:b/>
      <w:i/>
      <w:color w:val="000000"/>
      <w:sz w:val="28"/>
      <w:szCs w:val="28"/>
      <w:lang w:eastAsia="ru-RU"/>
    </w:rPr>
  </w:style>
  <w:style w:type="paragraph" w:styleId="Style100">
    <w:name w:val="Н-таблица-заг."/>
    <w:basedOn w:val="4"/>
    <w:qFormat/>
    <w:pPr>
      <w:numPr>
        <w:ilvl w:val="0"/>
        <w:numId w:val="0"/>
      </w:numPr>
      <w:spacing w:lineRule="auto" w:line="276" w:before="240" w:after="60"/>
      <w:ind w:left="0" w:right="0" w:hanging="0"/>
      <w:jc w:val="right"/>
    </w:pPr>
    <w:rPr>
      <w:rFonts w:eastAsia="Calibri"/>
      <w:bCs/>
      <w:color w:val="000000"/>
      <w:sz w:val="28"/>
      <w:szCs w:val="28"/>
    </w:rPr>
  </w:style>
  <w:style w:type="paragraph" w:styleId="Style101">
    <w:name w:val="Н-глава"/>
    <w:basedOn w:val="2"/>
    <w:qFormat/>
    <w:pPr>
      <w:numPr>
        <w:ilvl w:val="0"/>
        <w:numId w:val="0"/>
      </w:numPr>
      <w:suppressAutoHyphens w:val="true"/>
      <w:spacing w:before="240" w:after="60"/>
      <w:ind w:left="771" w:right="0" w:hanging="0"/>
      <w:jc w:val="both"/>
    </w:pPr>
    <w:rPr>
      <w:rFonts w:ascii="Tahoma" w:hAnsi="Tahoma" w:eastAsia="Calibri" w:cs="Tahoma"/>
      <w:bCs w:val="false"/>
      <w:i/>
      <w:iCs/>
      <w:color w:val="00000A"/>
      <w:sz w:val="24"/>
      <w:szCs w:val="28"/>
      <w:lang w:eastAsia="ar-SA"/>
    </w:rPr>
  </w:style>
  <w:style w:type="paragraph" w:styleId="Style102">
    <w:name w:val="Для таблицы"/>
    <w:basedOn w:val="Normal"/>
    <w:qFormat/>
    <w:pPr>
      <w:spacing w:lineRule="auto" w:line="240"/>
    </w:pPr>
    <w:rPr>
      <w:rFonts w:eastAsia="Times New Roman"/>
    </w:rPr>
  </w:style>
  <w:style w:type="paragraph" w:styleId="Style103">
    <w:name w:val="ПГлава"/>
    <w:basedOn w:val="1"/>
    <w:qFormat/>
    <w:pPr>
      <w:pageBreakBefore/>
      <w:numPr>
        <w:ilvl w:val="0"/>
        <w:numId w:val="0"/>
      </w:numPr>
      <w:suppressAutoHyphens w:val="true"/>
      <w:spacing w:before="120" w:after="120"/>
      <w:ind w:left="0" w:right="281" w:firstLine="709"/>
      <w:jc w:val="both"/>
    </w:pPr>
    <w:rPr>
      <w:rFonts w:ascii="Tahoma" w:hAnsi="Tahoma" w:cs="Tahoma"/>
      <w:color w:val="00000A"/>
      <w:sz w:val="24"/>
      <w:szCs w:val="24"/>
      <w:lang w:eastAsia="ru-RU"/>
    </w:rPr>
  </w:style>
  <w:style w:type="paragraph" w:styleId="Style104">
    <w:name w:val="ППункт"/>
    <w:basedOn w:val="Normal"/>
    <w:qFormat/>
    <w:pPr>
      <w:tabs>
        <w:tab w:val="left" w:pos="1134" w:leader="none"/>
      </w:tabs>
      <w:spacing w:before="0" w:after="0"/>
      <w:jc w:val="both"/>
    </w:pPr>
    <w:rPr>
      <w:rFonts w:ascii="Tahoma" w:hAnsi="Tahoma" w:eastAsia="Times New Roman" w:cs="Tahoma"/>
      <w:sz w:val="24"/>
      <w:szCs w:val="24"/>
    </w:rPr>
  </w:style>
  <w:style w:type="paragraph" w:styleId="Style105">
    <w:name w:val="ПСтатья"/>
    <w:basedOn w:val="Normal"/>
    <w:qFormat/>
    <w:pPr>
      <w:keepNext w:val="true"/>
      <w:spacing w:before="120" w:after="120"/>
      <w:contextualSpacing/>
      <w:jc w:val="both"/>
    </w:pPr>
    <w:rPr>
      <w:rFonts w:ascii="Tahoma" w:hAnsi="Tahoma" w:eastAsia="Times New Roman" w:cs="Tahoma"/>
      <w:b/>
      <w:sz w:val="24"/>
      <w:szCs w:val="24"/>
      <w:lang w:eastAsia="ru-RU"/>
    </w:rPr>
  </w:style>
  <w:style w:type="paragraph" w:styleId="Style106">
    <w:name w:val="ПЧасть"/>
    <w:basedOn w:val="Normal"/>
    <w:qFormat/>
    <w:pPr>
      <w:tabs>
        <w:tab w:val="left" w:pos="993" w:leader="none"/>
      </w:tabs>
      <w:spacing w:before="0" w:after="0"/>
      <w:ind w:left="1069" w:right="0" w:hanging="0"/>
      <w:contextualSpacing/>
      <w:jc w:val="both"/>
    </w:pPr>
    <w:rPr>
      <w:rFonts w:ascii="Tahoma" w:hAnsi="Tahoma" w:eastAsia="Times New Roman" w:cs="Tahoma"/>
      <w:color w:val="000000"/>
      <w:sz w:val="24"/>
      <w:szCs w:val="24"/>
      <w:lang w:val="en-US"/>
    </w:rPr>
  </w:style>
  <w:style w:type="paragraph" w:styleId="Style107">
    <w:name w:val="Таблица ГП"/>
    <w:basedOn w:val="Normal"/>
    <w:qFormat/>
    <w:pPr>
      <w:spacing w:lineRule="auto" w:line="240"/>
    </w:pPr>
    <w:rPr>
      <w:rFonts w:eastAsia="Times New Roman" w:cs="Tahoma"/>
      <w:sz w:val="20"/>
      <w:szCs w:val="20"/>
    </w:rPr>
  </w:style>
  <w:style w:type="paragraph" w:styleId="Style108">
    <w:name w:val="Н-приложение"/>
    <w:basedOn w:val="1"/>
    <w:qFormat/>
    <w:pPr>
      <w:widowControl w:val="false"/>
      <w:numPr>
        <w:ilvl w:val="0"/>
        <w:numId w:val="0"/>
      </w:numPr>
      <w:spacing w:lineRule="auto" w:line="240" w:before="120" w:after="240"/>
      <w:jc w:val="right"/>
    </w:pPr>
    <w:rPr>
      <w:rFonts w:ascii="Tahoma" w:hAnsi="Tahoma" w:cs="Tahoma"/>
      <w:b w:val="false"/>
      <w:color w:val="00000A"/>
    </w:rPr>
  </w:style>
  <w:style w:type="paragraph" w:styleId="Style109">
    <w:name w:val="Н-раздел"/>
    <w:basedOn w:val="1"/>
    <w:qFormat/>
    <w:pPr>
      <w:pageBreakBefore/>
      <w:numPr>
        <w:ilvl w:val="0"/>
        <w:numId w:val="0"/>
      </w:numPr>
      <w:jc w:val="both"/>
    </w:pPr>
    <w:rPr>
      <w:rFonts w:ascii="Tahoma" w:hAnsi="Tahoma" w:cs="Tahoma"/>
      <w:color w:val="00000A"/>
    </w:rPr>
  </w:style>
  <w:style w:type="paragraph" w:styleId="Style110">
    <w:name w:val="Н-часть"/>
    <w:basedOn w:val="Style106"/>
    <w:qFormat/>
    <w:pPr>
      <w:keepNext w:val="true"/>
      <w:keepLines/>
      <w:spacing w:before="0" w:after="240"/>
      <w:ind w:left="1072" w:right="0" w:hanging="0"/>
      <w:contextualSpacing/>
    </w:pPr>
    <w:rPr>
      <w:lang w:val="ru-RU"/>
    </w:rPr>
  </w:style>
  <w:style w:type="paragraph" w:styleId="Style111">
    <w:name w:val="Титул"/>
    <w:basedOn w:val="Style99"/>
    <w:qFormat/>
    <w:pPr>
      <w:spacing w:lineRule="auto" w:line="276"/>
      <w:ind w:left="0" w:right="0" w:hanging="0"/>
    </w:pPr>
    <w:rPr>
      <w:rFonts w:ascii="Tahoma" w:hAnsi="Tahoma" w:cs="Tahoma"/>
      <w:sz w:val="48"/>
      <w:szCs w:val="56"/>
    </w:rPr>
  </w:style>
  <w:style w:type="paragraph" w:styleId="210">
    <w:name w:val="титул-2"/>
    <w:basedOn w:val="Style99"/>
    <w:qFormat/>
    <w:pPr>
      <w:pageBreakBefore/>
      <w:spacing w:lineRule="auto" w:line="276"/>
      <w:ind w:left="0" w:right="0" w:hanging="0"/>
    </w:pPr>
    <w:rPr>
      <w:rFonts w:ascii="Tahoma" w:hAnsi="Tahoma" w:cs="Tahoma"/>
      <w:sz w:val="24"/>
      <w:szCs w:val="24"/>
    </w:rPr>
  </w:style>
  <w:style w:type="paragraph" w:styleId="Style112">
    <w:name w:val="Табличный_заголовки"/>
    <w:basedOn w:val="Normal"/>
    <w:qFormat/>
    <w:pPr>
      <w:keepNext w:val="true"/>
      <w:keepLines/>
      <w:spacing w:lineRule="auto" w:line="240" w:before="0" w:after="0"/>
      <w:jc w:val="center"/>
    </w:pPr>
    <w:rPr>
      <w:rFonts w:ascii="Times New Roman" w:hAnsi="Times New Roman" w:eastAsia="Times New Roman" w:cs="Times New Roman"/>
      <w:b/>
      <w:lang w:eastAsia="ru-RU"/>
    </w:rPr>
  </w:style>
  <w:style w:type="paragraph" w:styleId="Style113">
    <w:name w:val="Табличный_центр"/>
    <w:basedOn w:val="Normal"/>
    <w:qFormat/>
    <w:pPr>
      <w:spacing w:lineRule="auto" w:line="240" w:before="0" w:after="0"/>
      <w:jc w:val="center"/>
    </w:pPr>
    <w:rPr>
      <w:rFonts w:ascii="Times New Roman" w:hAnsi="Times New Roman" w:eastAsia="Times New Roman" w:cs="Times New Roman"/>
      <w:lang w:eastAsia="ru-RU"/>
    </w:rPr>
  </w:style>
  <w:style w:type="paragraph" w:styleId="Style114">
    <w:name w:val="Табличный_слева"/>
    <w:basedOn w:val="Normal"/>
    <w:qFormat/>
    <w:pPr>
      <w:spacing w:lineRule="auto" w:line="240" w:before="0" w:after="0"/>
    </w:pPr>
    <w:rPr>
      <w:rFonts w:ascii="Times New Roman" w:hAnsi="Times New Roman" w:eastAsia="Times New Roman" w:cs="Times New Roman"/>
      <w:lang w:eastAsia="ru-RU"/>
    </w:rPr>
  </w:style>
  <w:style w:type="paragraph" w:styleId="46">
    <w:name w:val="Заголовок №4"/>
    <w:basedOn w:val="Normal"/>
    <w:qFormat/>
    <w:pPr>
      <w:widowControl w:val="false"/>
      <w:shd w:fill="FFFFFF" w:val="clear"/>
      <w:spacing w:lineRule="auto" w:before="0" w:after="240"/>
    </w:pPr>
    <w:rPr>
      <w:b/>
      <w:bCs/>
      <w:sz w:val="23"/>
      <w:szCs w:val="23"/>
      <w:lang w:eastAsia="ru-RU"/>
    </w:rPr>
  </w:style>
  <w:style w:type="paragraph" w:styleId="38">
    <w:name w:val="Основной текст3"/>
    <w:basedOn w:val="Normal"/>
    <w:qFormat/>
    <w:pPr>
      <w:widowControl w:val="false"/>
      <w:shd w:fill="FFFFFF" w:val="clear"/>
      <w:spacing w:lineRule="auto" w:before="300" w:after="720"/>
      <w:jc w:val="right"/>
    </w:pPr>
    <w:rPr>
      <w:rFonts w:ascii="Times New Roman" w:hAnsi="Times New Roman" w:eastAsia="Times New Roman" w:cs="Times New Roman"/>
      <w:sz w:val="23"/>
      <w:szCs w:val="23"/>
      <w:lang w:eastAsia="ru-RU"/>
    </w:rPr>
  </w:style>
  <w:style w:type="paragraph" w:styleId="Style310">
    <w:name w:val="Style3"/>
    <w:basedOn w:val="Normal"/>
    <w:qFormat/>
    <w:pPr>
      <w:widowControl w:val="false"/>
      <w:spacing w:lineRule="exact" w:line="312" w:before="0" w:after="0"/>
      <w:ind w:left="0" w:right="0" w:firstLine="552"/>
      <w:jc w:val="both"/>
    </w:pPr>
    <w:rPr>
      <w:rFonts w:ascii="Times New Roman" w:hAnsi="Times New Roman" w:eastAsia="Times New Roman" w:cs="Times New Roman"/>
      <w:sz w:val="24"/>
      <w:szCs w:val="24"/>
      <w:lang w:eastAsia="ru-RU"/>
    </w:rPr>
  </w:style>
  <w:style w:type="paragraph" w:styleId="214">
    <w:name w:val="Знак Знак Знак2 Знак Знак Знак Знак Знак Знак Знак"/>
    <w:basedOn w:val="Normal"/>
    <w:qFormat/>
    <w:pPr>
      <w:spacing w:lineRule="auto" w:line="240" w:before="0" w:after="0"/>
    </w:pPr>
    <w:rPr>
      <w:rFonts w:ascii="Verdana" w:hAnsi="Verdana" w:eastAsia="Times New Roman" w:cs="Verdana"/>
      <w:sz w:val="20"/>
      <w:szCs w:val="20"/>
      <w:lang w:val="en-US"/>
    </w:rPr>
  </w:style>
  <w:style w:type="paragraph" w:styleId="75">
    <w:name w:val="Красная строка7"/>
    <w:basedOn w:val="Style46"/>
    <w:qFormat/>
    <w:pPr>
      <w:widowControl/>
      <w:suppressAutoHyphens w:val="false"/>
      <w:ind w:left="0" w:right="0" w:firstLine="210"/>
    </w:pPr>
    <w:rPr>
      <w:rFonts w:eastAsia="Times New Roman" w:cs="Times New Roman"/>
      <w:kern w:val="2"/>
      <w:lang w:eastAsia="ar-SA" w:bidi="ar-SA"/>
    </w:rPr>
  </w:style>
  <w:style w:type="paragraph" w:styleId="215">
    <w:name w:val="Знак Знак Знак2 Знак Знак Знак Знак Знак Знак Знак1"/>
    <w:basedOn w:val="Normal"/>
    <w:qFormat/>
    <w:pPr>
      <w:spacing w:lineRule="auto" w:line="240" w:before="0" w:after="0"/>
    </w:pPr>
    <w:rPr>
      <w:rFonts w:ascii="Verdana" w:hAnsi="Verdana" w:eastAsia="Times New Roman" w:cs="Verdana"/>
      <w:sz w:val="20"/>
      <w:szCs w:val="20"/>
      <w:lang w:val="en-US"/>
    </w:rPr>
  </w:style>
  <w:style w:type="paragraph" w:styleId="Style115">
    <w:name w:val="Нормальный"/>
    <w:qFormat/>
    <w:pPr>
      <w:widowControl w:val="false"/>
      <w:suppressAutoHyphens w:val="true"/>
      <w:bidi w:val="0"/>
      <w:jc w:val="left"/>
    </w:pPr>
    <w:rPr>
      <w:rFonts w:ascii="Times New Roman" w:hAnsi="Times New Roman" w:eastAsia="Times New Roman" w:cs="Times New Roman"/>
      <w:color w:val="000000"/>
      <w:kern w:val="2"/>
      <w:sz w:val="24"/>
      <w:szCs w:val="24"/>
      <w:lang w:val="ru-RU" w:eastAsia="ru-RU" w:bidi="ar-SA"/>
    </w:rPr>
  </w:style>
  <w:style w:type="paragraph" w:styleId="015">
    <w:name w:val="01 Основной текст"/>
    <w:basedOn w:val="ConsNormal1"/>
    <w:qFormat/>
    <w:pPr>
      <w:widowControl/>
      <w:ind w:left="0" w:right="0" w:firstLine="709"/>
      <w:jc w:val="both"/>
    </w:pPr>
    <w:rPr>
      <w:rFonts w:ascii="Times New Roman" w:hAnsi="Times New Roman" w:cs="Times New Roman"/>
      <w:sz w:val="28"/>
      <w:szCs w:val="28"/>
      <w:lang w:eastAsia="ar-SA"/>
    </w:rPr>
  </w:style>
  <w:style w:type="paragraph" w:styleId="016">
    <w:name w:val="01 маркированный список"/>
    <w:basedOn w:val="Normal"/>
    <w:qFormat/>
    <w:pPr>
      <w:widowControl w:val="false"/>
      <w:spacing w:lineRule="auto" w:line="240" w:before="0" w:after="0"/>
      <w:jc w:val="both"/>
    </w:pPr>
    <w:rPr>
      <w:rFonts w:ascii="Times New Roman" w:hAnsi="Times New Roman" w:eastAsia="Times New Roman" w:cs="Times New Roman"/>
      <w:sz w:val="28"/>
      <w:szCs w:val="28"/>
      <w:lang w:eastAsia="ar-SA"/>
    </w:rPr>
  </w:style>
  <w:style w:type="paragraph" w:styleId="Style191">
    <w:name w:val="Style19"/>
    <w:basedOn w:val="Normal"/>
    <w:qFormat/>
    <w:pPr>
      <w:widowControl w:val="false"/>
      <w:spacing w:lineRule="exact" w:line="322" w:before="0" w:after="0"/>
      <w:ind w:left="0" w:right="0" w:firstLine="322"/>
      <w:jc w:val="both"/>
    </w:pPr>
    <w:rPr>
      <w:rFonts w:ascii="Times New Roman" w:hAnsi="Times New Roman" w:eastAsia="Times New Roman" w:cs="Times New Roman"/>
      <w:sz w:val="24"/>
      <w:szCs w:val="24"/>
      <w:lang w:eastAsia="ru-RU"/>
    </w:rPr>
  </w:style>
  <w:style w:type="paragraph" w:styleId="ConsPlusNormal11">
    <w:name w:val="ConsPlusNormal1"/>
    <w:qFormat/>
    <w:pPr>
      <w:widowControl w:val="false"/>
      <w:suppressAutoHyphens w:val="true"/>
      <w:bidi w:val="0"/>
      <w:jc w:val="left"/>
    </w:pPr>
    <w:rPr>
      <w:rFonts w:ascii="Arial" w:hAnsi="Arial" w:eastAsia="Arial" w:cs="Times New Roman"/>
      <w:color w:val="auto"/>
      <w:kern w:val="2"/>
      <w:sz w:val="22"/>
      <w:szCs w:val="20"/>
      <w:lang w:val="ru-RU" w:eastAsia="ru-RU" w:bidi="ar-SA"/>
    </w:rPr>
  </w:style>
  <w:style w:type="paragraph" w:styleId="ConsPlusCell1">
    <w:name w:val="ConsPlusCell1"/>
    <w:qFormat/>
    <w:pPr>
      <w:widowControl w:val="false"/>
      <w:suppressAutoHyphens w:val="true"/>
      <w:bidi w:val="0"/>
      <w:jc w:val="left"/>
    </w:pPr>
    <w:rPr>
      <w:rFonts w:ascii="Courier New" w:hAnsi="Courier New" w:eastAsia="Courier New" w:cs="Times New Roman"/>
      <w:color w:val="auto"/>
      <w:kern w:val="2"/>
      <w:sz w:val="22"/>
      <w:szCs w:val="20"/>
      <w:lang w:val="ru-RU" w:eastAsia="ru-RU" w:bidi="ar-SA"/>
    </w:rPr>
  </w:style>
  <w:style w:type="paragraph" w:styleId="ConsPlusDocList">
    <w:name w:val="ConsPlusDocList"/>
    <w:qFormat/>
    <w:pPr>
      <w:widowControl w:val="false"/>
      <w:suppressAutoHyphens w:val="true"/>
      <w:bidi w:val="0"/>
      <w:jc w:val="left"/>
    </w:pPr>
    <w:rPr>
      <w:rFonts w:ascii="Courier New" w:hAnsi="Courier New" w:eastAsia="Times New Roman" w:cs="Courier New"/>
      <w:color w:val="auto"/>
      <w:kern w:val="2"/>
      <w:sz w:val="22"/>
      <w:szCs w:val="20"/>
      <w:lang w:val="ru-RU" w:eastAsia="ru-RU" w:bidi="ar-SA"/>
    </w:rPr>
  </w:style>
  <w:style w:type="paragraph" w:styleId="ConsPlusTitlePage">
    <w:name w:val="ConsPlusTitlePage"/>
    <w:qFormat/>
    <w:pPr>
      <w:widowControl w:val="false"/>
      <w:suppressAutoHyphens w:val="true"/>
      <w:bidi w:val="0"/>
      <w:jc w:val="left"/>
    </w:pPr>
    <w:rPr>
      <w:rFonts w:ascii="Tahoma" w:hAnsi="Tahoma" w:eastAsia="Times New Roman" w:cs="Tahoma"/>
      <w:color w:val="auto"/>
      <w:kern w:val="2"/>
      <w:sz w:val="22"/>
      <w:szCs w:val="20"/>
      <w:lang w:val="ru-RU" w:eastAsia="ru-RU" w:bidi="ar-SA"/>
    </w:rPr>
  </w:style>
  <w:style w:type="paragraph" w:styleId="ConsPlusJurTerm">
    <w:name w:val="ConsPlusJurTerm"/>
    <w:qFormat/>
    <w:pPr>
      <w:widowControl w:val="false"/>
      <w:suppressAutoHyphens w:val="true"/>
      <w:bidi w:val="0"/>
      <w:jc w:val="left"/>
    </w:pPr>
    <w:rPr>
      <w:rFonts w:ascii="Tahoma" w:hAnsi="Tahoma" w:eastAsia="Times New Roman" w:cs="Tahoma"/>
      <w:color w:val="auto"/>
      <w:kern w:val="2"/>
      <w:sz w:val="26"/>
      <w:szCs w:val="20"/>
      <w:lang w:val="ru-RU" w:eastAsia="ru-RU" w:bidi="ar-SA"/>
    </w:rPr>
  </w:style>
  <w:style w:type="paragraph" w:styleId="Formattext">
    <w:name w:val="formattext"/>
    <w:basedOn w:val="Normal"/>
    <w:qFormat/>
    <w:pPr>
      <w:spacing w:lineRule="auto" w:line="240" w:before="280" w:after="280"/>
    </w:pPr>
    <w:rPr>
      <w:rFonts w:ascii="Times New Roman" w:hAnsi="Times New Roman" w:eastAsia="Times New Roman" w:cs="Times New Roman"/>
      <w:sz w:val="24"/>
      <w:szCs w:val="24"/>
      <w:lang w:eastAsia="ru-RU"/>
    </w:rPr>
  </w:style>
  <w:style w:type="paragraph" w:styleId="Style116">
    <w:name w:val="часть"/>
    <w:basedOn w:val="ConsPlusNormal11"/>
    <w:qFormat/>
    <w:pPr>
      <w:suppressAutoHyphens w:val="false"/>
      <w:jc w:val="center"/>
    </w:pPr>
    <w:rPr>
      <w:rFonts w:ascii="Times New Roman" w:hAnsi="Times New Roman" w:eastAsia="Times New Roman" w:cs="Times New Roman"/>
      <w:b/>
      <w:sz w:val="24"/>
      <w:szCs w:val="24"/>
    </w:rPr>
  </w:style>
  <w:style w:type="paragraph" w:styleId="S11">
    <w:name w:val="s_1"/>
    <w:basedOn w:val="Normal"/>
    <w:qFormat/>
    <w:pPr>
      <w:spacing w:lineRule="auto" w:line="240" w:before="280" w:after="280"/>
    </w:pPr>
    <w:rPr>
      <w:rFonts w:ascii="Times New Roman" w:hAnsi="Times New Roman" w:eastAsia="Times New Roman" w:cs="Times New Roman"/>
      <w:sz w:val="24"/>
      <w:szCs w:val="24"/>
      <w:lang w:eastAsia="ru-RU"/>
    </w:rPr>
  </w:style>
  <w:style w:type="paragraph" w:styleId="Style910">
    <w:name w:val="Style9"/>
    <w:basedOn w:val="Normal"/>
    <w:qFormat/>
    <w:pPr>
      <w:widowControl w:val="false"/>
      <w:spacing w:lineRule="exact" w:line="278" w:before="0" w:after="0"/>
    </w:pPr>
    <w:rPr>
      <w:rFonts w:ascii="Times New Roman" w:hAnsi="Times New Roman" w:eastAsia="Times New Roman" w:cs="Times New Roman"/>
      <w:sz w:val="24"/>
      <w:szCs w:val="24"/>
      <w:lang w:eastAsia="ru-RU"/>
    </w:rPr>
  </w:style>
  <w:style w:type="paragraph" w:styleId="Style261">
    <w:name w:val="Style26"/>
    <w:basedOn w:val="Normal"/>
    <w:qFormat/>
    <w:pPr>
      <w:widowControl w:val="false"/>
      <w:spacing w:lineRule="auto" w:line="240" w:before="0" w:after="0"/>
    </w:pPr>
    <w:rPr>
      <w:rFonts w:ascii="Times New Roman" w:hAnsi="Times New Roman" w:eastAsia="Times New Roman" w:cs="Times New Roman"/>
      <w:sz w:val="24"/>
      <w:szCs w:val="24"/>
      <w:lang w:eastAsia="ru-RU"/>
    </w:rPr>
  </w:style>
  <w:style w:type="paragraph" w:styleId="Style141">
    <w:name w:val="Style14"/>
    <w:basedOn w:val="Normal"/>
    <w:qFormat/>
    <w:pPr>
      <w:widowControl w:val="false"/>
      <w:spacing w:lineRule="exact" w:line="275" w:before="0" w:after="0"/>
      <w:jc w:val="both"/>
    </w:pPr>
    <w:rPr>
      <w:rFonts w:ascii="Times New Roman" w:hAnsi="Times New Roman" w:eastAsia="Times New Roman" w:cs="Times New Roman"/>
      <w:sz w:val="24"/>
      <w:szCs w:val="24"/>
      <w:lang w:eastAsia="ru-RU"/>
    </w:rPr>
  </w:style>
  <w:style w:type="paragraph" w:styleId="ConsPlusNormal3">
    <w:name w:val="ConsPlusNormal3"/>
    <w:qFormat/>
    <w:pPr>
      <w:widowControl w:val="false"/>
      <w:suppressAutoHyphens w:val="true"/>
      <w:bidi w:val="0"/>
      <w:jc w:val="left"/>
    </w:pPr>
    <w:rPr>
      <w:rFonts w:ascii="Arial" w:hAnsi="Arial" w:eastAsia="Arial" w:cs="Times New Roman"/>
      <w:color w:val="auto"/>
      <w:kern w:val="2"/>
      <w:sz w:val="22"/>
      <w:szCs w:val="20"/>
      <w:lang w:val="ru-RU" w:eastAsia="ru-RU" w:bidi="ar-SA"/>
    </w:rPr>
  </w:style>
  <w:style w:type="paragraph" w:styleId="ConsPlusCell3">
    <w:name w:val="ConsPlusCell3"/>
    <w:next w:val="ConsPlusNormal3"/>
    <w:qFormat/>
    <w:pPr>
      <w:widowControl w:val="false"/>
      <w:suppressAutoHyphens w:val="true"/>
      <w:bidi w:val="0"/>
      <w:jc w:val="left"/>
    </w:pPr>
    <w:rPr>
      <w:rFonts w:ascii="Courier New" w:hAnsi="Courier New" w:eastAsia="Courier New" w:cs="Times New Roman"/>
      <w:color w:val="auto"/>
      <w:kern w:val="2"/>
      <w:sz w:val="22"/>
      <w:szCs w:val="20"/>
      <w:lang w:val="ru-RU" w:eastAsia="ru-RU" w:bidi="ar-SA"/>
    </w:rPr>
  </w:style>
  <w:style w:type="paragraph" w:styleId="ConsPlusCell2">
    <w:name w:val="ConsPlusCell2"/>
    <w:qFormat/>
    <w:pPr>
      <w:widowControl w:val="false"/>
      <w:suppressAutoHyphens w:val="true"/>
      <w:bidi w:val="0"/>
      <w:jc w:val="left"/>
    </w:pPr>
    <w:rPr>
      <w:rFonts w:ascii="Courier New" w:hAnsi="Courier New" w:eastAsia="Courier New" w:cs="Times New Roman"/>
      <w:color w:val="auto"/>
      <w:kern w:val="2"/>
      <w:sz w:val="22"/>
      <w:szCs w:val="20"/>
      <w:lang w:val="ru-RU" w:eastAsia="ru-RU" w:bidi="ar-SA"/>
    </w:rPr>
  </w:style>
  <w:style w:type="paragraph" w:styleId="ConsPlusNormal2">
    <w:name w:val="ConsPlusNormal2"/>
    <w:qFormat/>
    <w:pPr>
      <w:widowControl w:val="false"/>
      <w:suppressAutoHyphens w:val="true"/>
      <w:bidi w:val="0"/>
      <w:jc w:val="left"/>
    </w:pPr>
    <w:rPr>
      <w:rFonts w:ascii="Arial" w:hAnsi="Arial" w:eastAsia="Arial" w:cs="Times New Roman"/>
      <w:color w:val="auto"/>
      <w:kern w:val="2"/>
      <w:sz w:val="22"/>
      <w:szCs w:val="20"/>
      <w:lang w:val="ru-RU" w:eastAsia="ru-RU" w:bidi="ar-SA"/>
    </w:rPr>
  </w:style>
  <w:style w:type="paragraph" w:styleId="5551">
    <w:name w:val="555"/>
    <w:basedOn w:val="Normal"/>
    <w:qFormat/>
    <w:pPr>
      <w:widowControl w:val="false"/>
      <w:suppressAutoHyphens w:val="true"/>
      <w:spacing w:lineRule="auto" w:line="240" w:before="0" w:after="0"/>
      <w:ind w:left="0" w:right="0" w:firstLine="540"/>
      <w:jc w:val="both"/>
    </w:pPr>
    <w:rPr>
      <w:rFonts w:ascii="Times New Roman" w:hAnsi="Times New Roman" w:cs="Times New Roman"/>
      <w:iCs/>
      <w:color w:val="000000"/>
      <w:sz w:val="24"/>
      <w:szCs w:val="24"/>
    </w:rPr>
  </w:style>
  <w:style w:type="paragraph" w:styleId="555551">
    <w:name w:val="55555"/>
    <w:basedOn w:val="Style99"/>
    <w:qFormat/>
    <w:pPr/>
    <w:rPr>
      <w:sz w:val="24"/>
      <w:szCs w:val="24"/>
    </w:rPr>
  </w:style>
  <w:style w:type="paragraph" w:styleId="57">
    <w:name w:val="5"/>
    <w:basedOn w:val="NoSpacing"/>
    <w:qFormat/>
    <w:pPr>
      <w:ind w:left="0" w:right="0" w:firstLine="568"/>
      <w:jc w:val="center"/>
    </w:pPr>
    <w:rPr>
      <w:rFonts w:ascii="Times New Roman" w:hAnsi="Times New Roman" w:cs="Times New Roman"/>
      <w:b/>
      <w:i/>
      <w:sz w:val="24"/>
      <w:szCs w:val="24"/>
    </w:rPr>
  </w:style>
  <w:style w:type="paragraph" w:styleId="551">
    <w:name w:val="55"/>
    <w:basedOn w:val="NoSpacing"/>
    <w:qFormat/>
    <w:pPr>
      <w:ind w:left="0" w:right="0" w:firstLine="568"/>
      <w:jc w:val="both"/>
    </w:pPr>
    <w:rPr>
      <w:rFonts w:ascii="Times New Roman" w:hAnsi="Times New Roman" w:cs="Times New Roman"/>
      <w:b/>
      <w:i/>
      <w:sz w:val="24"/>
      <w:szCs w:val="24"/>
    </w:rPr>
  </w:style>
  <w:style w:type="paragraph" w:styleId="Style117">
    <w:name w:val="глава"/>
    <w:basedOn w:val="NoSpacing"/>
    <w:qFormat/>
    <w:pPr>
      <w:jc w:val="center"/>
    </w:pPr>
    <w:rPr>
      <w:rFonts w:ascii="Times New Roman" w:hAnsi="Times New Roman" w:cs="Times New Roman"/>
      <w:b/>
      <w:i/>
      <w:sz w:val="24"/>
      <w:szCs w:val="24"/>
      <w:lang w:eastAsia="ru-RU"/>
    </w:rPr>
  </w:style>
  <w:style w:type="paragraph" w:styleId="Style118">
    <w:name w:val="раздел"/>
    <w:basedOn w:val="38"/>
    <w:qFormat/>
    <w:pPr>
      <w:shd w:fill="FFFFFF" w:val="clear"/>
      <w:spacing w:lineRule="auto" w:line="240" w:before="0" w:after="0"/>
      <w:ind w:left="1428" w:right="0" w:hanging="720"/>
      <w:jc w:val="both"/>
    </w:pPr>
    <w:rPr>
      <w:b/>
      <w:i/>
      <w:sz w:val="24"/>
      <w:szCs w:val="24"/>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CEB24FEBE691ED3914AE25E393B637369116050DF413C9737120B16B91ECD0567C0F730F2B8EB9B0CFV6M" TargetMode="External"/><Relationship Id="rId4" Type="http://schemas.openxmlformats.org/officeDocument/2006/relationships/hyperlink" Target="consultantplus://offline/ref=CEB24FEBE691ED3914AE25E393B637369116050DF413C9737120B16B91ECD0567C0F730F2B8EB9B0CFV6M" TargetMode="External"/><Relationship Id="rId5" Type="http://schemas.openxmlformats.org/officeDocument/2006/relationships/hyperlink" Target="consultantplus://offline/ref=CEB24FEBE691ED3914AE25F590DA683397155802F613C3202577B73CCEBCD6033CC4VFM" TargetMode="External"/><Relationship Id="rId6" Type="http://schemas.openxmlformats.org/officeDocument/2006/relationships/footer" Target="footer1.xml"/><Relationship Id="rId7" Type="http://schemas.openxmlformats.org/officeDocument/2006/relationships/hyperlink" Target="consultantplus://offline/ref=CEB24FEBE691ED3914AE25E393B637369116050FF612C9737120B16B91CEVCM" TargetMode="External"/><Relationship Id="rId8" Type="http://schemas.openxmlformats.org/officeDocument/2006/relationships/hyperlink" Target="consultantplus://offline/ref=CEB24FEBE691ED3914AE3BF886B637369118050AF311C9737120B16B91ECD0567C0F730F2B8FB1B4CFV2M" TargetMode="External"/><Relationship Id="rId9" Type="http://schemas.openxmlformats.org/officeDocument/2006/relationships/hyperlink" Target="consultantplus://offline/ref=64A5238232208567008358161F71133135ACE9B0907BBE8830867C6BD1365C38CF1CB4AF696A83EAv9E5H" TargetMode="External"/><Relationship Id="rId10" Type="http://schemas.openxmlformats.org/officeDocument/2006/relationships/hyperlink" Target="consultantplus://offline/ref=CEB24FEBE691ED3914AE24ED83B637369118060EF51994797979BD69C9V6M" TargetMode="External"/><Relationship Id="rId11" Type="http://schemas.openxmlformats.org/officeDocument/2006/relationships/hyperlink" Target="consultantplus://offline/ref=CEB24FEBE691ED3914AE25E393B6373691160408F717C9737120B16B91CEVCM" TargetMode="External"/><Relationship Id="rId12" Type="http://schemas.openxmlformats.org/officeDocument/2006/relationships/image" Target="media/image2.wmf"/><Relationship Id="rId13" Type="http://schemas.openxmlformats.org/officeDocument/2006/relationships/image" Target="media/image3.wmf"/><Relationship Id="rId14" Type="http://schemas.openxmlformats.org/officeDocument/2006/relationships/hyperlink" Target="consultantplus://offline/ref=CEB24FEBE691ED3914AE25E393B6373691160408F717C9737120B16B91CEVCM" TargetMode="External"/><Relationship Id="rId15" Type="http://schemas.openxmlformats.org/officeDocument/2006/relationships/image" Target="media/image4.png"/><Relationship Id="rId16" Type="http://schemas.openxmlformats.org/officeDocument/2006/relationships/image" Target="media/image5.png"/><Relationship Id="rId17" Type="http://schemas.openxmlformats.org/officeDocument/2006/relationships/image" Target="media/image6.png"/><Relationship Id="rId18" Type="http://schemas.openxmlformats.org/officeDocument/2006/relationships/image" Target="media/image7.png"/><Relationship Id="rId19" Type="http://schemas.openxmlformats.org/officeDocument/2006/relationships/hyperlink" Target="consultantplus://offline/ref=CEB24FEBE691ED3914AE24ED83B63736911A0F0CF11994797979BD69C9V6M" TargetMode="External"/><Relationship Id="rId20" Type="http://schemas.openxmlformats.org/officeDocument/2006/relationships/hyperlink" Target="consultantplus://offline/ref=CEB24FEBE691ED3914AE3BF886B63736911B0F0AF717C9737120B16B91ECD0567C0F730F2B8FB1B4CFV7M" TargetMode="External"/><Relationship Id="rId21" Type="http://schemas.openxmlformats.org/officeDocument/2006/relationships/hyperlink" Target="consultantplus://offline/ref=CEB24FEBE691ED3914AE3BF886B63736911D060BF71994797979BD6996E38F417B467F0E2B8FB0CBV6M" TargetMode="External"/><Relationship Id="rId22" Type="http://schemas.openxmlformats.org/officeDocument/2006/relationships/hyperlink" Target="consultantplus://offline/ref=CEB24FEBE691ED3914AE3BF886B63736941E050EF31994797979BD6996E38F417B467F0E2B8FB0CBV3M" TargetMode="External"/><Relationship Id="rId23" Type="http://schemas.openxmlformats.org/officeDocument/2006/relationships/hyperlink" Target="consultantplus://offline/ref=CEB24FEBE691ED3914AE25E393B637369116050FF210C9737120B16B91ECD0567C0F730F2B8FB5BCCFV1M" TargetMode="External"/><Relationship Id="rId24" Type="http://schemas.openxmlformats.org/officeDocument/2006/relationships/hyperlink" Target="consultantplus://offline/ref=CEB24FEBE691ED3914AE24ED83B63736951D0004A14E96282C77CBV8M" TargetMode="External"/><Relationship Id="rId25" Type="http://schemas.openxmlformats.org/officeDocument/2006/relationships/hyperlink" Target="http://docs.cntd.ru/document/1200095522" TargetMode="External"/><Relationship Id="rId26" Type="http://schemas.openxmlformats.org/officeDocument/2006/relationships/hyperlink" Target="consultantplus://offline/ref=CEB24FEBE691ED3914AE3BF886B637369118050AF311C9737120B16B91ECD0567C0F730F2B8FB1B4CFV2M" TargetMode="External"/><Relationship Id="rId27" Type="http://schemas.openxmlformats.org/officeDocument/2006/relationships/hyperlink" Target="consultantplus://offline/ref=CEB24FEBE691ED3914AE3BF886B637369118050AF311C9737120B16B91ECD0567C0F730F2B8FB1B4CFV2M" TargetMode="External"/><Relationship Id="rId28" Type="http://schemas.openxmlformats.org/officeDocument/2006/relationships/hyperlink" Target="consultantplus://offline/ref=CEB24FEBE691ED3914AE3BF886B637369916070EF01994797979BD69C9V6M" TargetMode="External"/><Relationship Id="rId29" Type="http://schemas.openxmlformats.org/officeDocument/2006/relationships/hyperlink" Target="consultantplus://offline/ref=CEB24FEBE691ED3914AE25E393B637369116050FFF1AC9737120B16B91CEVCM" TargetMode="External"/><Relationship Id="rId30" Type="http://schemas.openxmlformats.org/officeDocument/2006/relationships/hyperlink" Target="consultantplus://offline/ref=CEB24FEBE691ED3914AE3BF886B637369916070EF01994797979BD69C9V6M" TargetMode="External"/><Relationship Id="rId31" Type="http://schemas.openxmlformats.org/officeDocument/2006/relationships/hyperlink" Target="consultantplus://offline/ref=CEB24FEBE691ED3914AE24ED83B63736911D030DFC449E712075BFC6VEM" TargetMode="External"/><Relationship Id="rId32" Type="http://schemas.openxmlformats.org/officeDocument/2006/relationships/hyperlink" Target="consultantplus://offline/ref=CEB24FEBE691ED3914AE24ED83B637369118050AF71994797979BD69C9V6M" TargetMode="External"/><Relationship Id="rId33" Type="http://schemas.openxmlformats.org/officeDocument/2006/relationships/hyperlink" Target="consultantplus://offline/ref=CEB24FEBE691ED3914AE24ED83B63736911D0E08FE1994797979BD69C9V6M" TargetMode="External"/><Relationship Id="rId34" Type="http://schemas.openxmlformats.org/officeDocument/2006/relationships/hyperlink" Target="consultantplus://offline/ref=CEB24FEBE691ED3914AE24ED83B63736911C0E0FF51994797979BD69C9V6M" TargetMode="External"/><Relationship Id="rId35" Type="http://schemas.openxmlformats.org/officeDocument/2006/relationships/hyperlink" Target="consultantplus://offline/ref=CEB24FEBE691ED3914AE32E181B63736931E0009F216C9737120B16B91CEVCM" TargetMode="External"/><Relationship Id="rId36" Type="http://schemas.openxmlformats.org/officeDocument/2006/relationships/hyperlink" Target="consultantplus://offline/ref=CEB24FEBE691ED3914AE32E181B63736931E0009F216C9737120B16B91CEVCM" TargetMode="External"/><Relationship Id="rId37" Type="http://schemas.openxmlformats.org/officeDocument/2006/relationships/hyperlink" Target="consultantplus://offline/ref=CEB24FEBE691ED3914AE24ED83B63736941A070CFC449E712075BFC6VEM" TargetMode="External"/><Relationship Id="rId38" Type="http://schemas.openxmlformats.org/officeDocument/2006/relationships/hyperlink" Target="consultantplus://offline/ref=CEB24FEBE691ED3914AE32E181B63736931E0009F216C9737120B16B91CEVCM" TargetMode="External"/><Relationship Id="rId39" Type="http://schemas.openxmlformats.org/officeDocument/2006/relationships/hyperlink" Target="consultantplus://offline/ref=CEB24FEBE691ED3914AE3BF886B63736941D0108F11994797979BD6996E38F417B467F0E2B8FB1CBVDM" TargetMode="External"/><Relationship Id="rId40" Type="http://schemas.openxmlformats.org/officeDocument/2006/relationships/hyperlink" Target="consultantplus://offline/ref=CEB24FEBE691ED3914AE25E393B637369116050FF210C9737120B16B91CEVCM" TargetMode="External"/><Relationship Id="rId41" Type="http://schemas.openxmlformats.org/officeDocument/2006/relationships/hyperlink" Target="consultantplus://offline/ref=CEB24FEBE691ED3914AE24ED83B63736911D030DFC449E712075BFC6VEM" TargetMode="External"/><Relationship Id="rId42" Type="http://schemas.openxmlformats.org/officeDocument/2006/relationships/hyperlink" Target="consultantplus://offline/ref=CEB24FEBE691ED3914AE24ED83B6373691190608FC449E712075BFC6VEM" TargetMode="External"/><Relationship Id="rId43" Type="http://schemas.openxmlformats.org/officeDocument/2006/relationships/hyperlink" Target="consultantplus://offline/ref=CEB24FEBE691ED3914AE24ED83B63736931E070BFC449E712075BFC6VEM" TargetMode="External"/><Relationship Id="rId44" Type="http://schemas.openxmlformats.org/officeDocument/2006/relationships/hyperlink" Target="consultantplus://offline/ref=CEB24FEBE691ED3914AE25E393B637369116050FF210C9737120B16B91CEVCM" TargetMode="External"/><Relationship Id="rId45" Type="http://schemas.openxmlformats.org/officeDocument/2006/relationships/hyperlink" Target="consultantplus://offline/ref=CEB24FEBE691ED3914AE3BF886B63736971A020DF21994797979BD6996E38F417B467F0E2B8EB3CBVCM" TargetMode="External"/><Relationship Id="rId46" Type="http://schemas.openxmlformats.org/officeDocument/2006/relationships/hyperlink" Target="consultantplus://offline/ref=CEB24FEBE691ED3914AE24ED83B637369118050AF71994797979BD69C9V6M" TargetMode="External"/><Relationship Id="rId47" Type="http://schemas.openxmlformats.org/officeDocument/2006/relationships/hyperlink" Target="consultantplus://offline/ref=CEB24FEBE691ED3914AE24ED83B63736951A0509FC449E712075BFC6VEM" TargetMode="External"/><Relationship Id="rId48" Type="http://schemas.openxmlformats.org/officeDocument/2006/relationships/hyperlink" Target="http://docs.cntd.ru/document/9010833" TargetMode="External"/><Relationship Id="rId49" Type="http://schemas.openxmlformats.org/officeDocument/2006/relationships/hyperlink" Target="consultantplus://offline/ref=CEB24FEBE691ED3914AE25E393B637369116050FF210C9737120B16B91CEVCM" TargetMode="External"/><Relationship Id="rId50" Type="http://schemas.openxmlformats.org/officeDocument/2006/relationships/hyperlink" Target="consultantplus://offline/ref=CEB24FEBE691ED3914AE25E393B637369116050FFF1AC9737120B16B91CEVCM" TargetMode="External"/><Relationship Id="rId51" Type="http://schemas.openxmlformats.org/officeDocument/2006/relationships/hyperlink" Target="consultantplus://offline/ref=CEB24FEBE691ED3914AE25E393B637369116050FFF1AC9737120B16B91CEVCM" TargetMode="External"/><Relationship Id="rId52" Type="http://schemas.openxmlformats.org/officeDocument/2006/relationships/hyperlink" Target="consultantplus://offline/ref=CEB24FEBE691ED3914AE25E393B637369116050FFF15C9737120B16B91CEVCM" TargetMode="External"/><Relationship Id="rId53" Type="http://schemas.openxmlformats.org/officeDocument/2006/relationships/numbering" Target="numbering.xml"/><Relationship Id="rId54" Type="http://schemas.openxmlformats.org/officeDocument/2006/relationships/fontTable" Target="fontTable.xml"/><Relationship Id="rId5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533</TotalTime>
  <Application>LibreOffice/5.4.3.2$Windows_x86 LibreOffice_project/92a7159f7e4af62137622921e809f8546db437e5</Application>
  <Pages>162</Pages>
  <Words>51647</Words>
  <Characters>371521</Characters>
  <CharactersWithSpaces>420440</CharactersWithSpaces>
  <Paragraphs>5209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2017-10-11T09:18:00Z</dcterms:created>
  <dc:creator>Женя</dc:creator>
  <dc:description/>
  <dc:language>ru-RU</dc:language>
  <cp:lastModifiedBy/>
  <cp:lastPrinted>2017-12-22T07:09:00Z</cp:lastPrinted>
  <dcterms:modified xsi:type="dcterms:W3CDTF">2017-12-26T08:34:25Z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