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5442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</w:rPr>
        <w:drawing>
          <wp:inline distT="0" distB="0" distL="0" distR="0">
            <wp:extent cx="628015" cy="608965"/>
            <wp:effectExtent l="0" t="0" r="0" b="0"/>
            <wp:docPr id="1" name="test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enter" w:pos="4818" w:leader="none"/>
          <w:tab w:val="left" w:pos="5442" w:leader="none"/>
          <w:tab w:val="left" w:pos="8520" w:leader="none"/>
        </w:tabs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32"/>
          <w:szCs w:val="32"/>
        </w:rPr>
        <w:t>СЕЛЬСКИЙ СОВЕТ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БОЛЬШЕРУДКИНСКИЙ СЕЛЬСОВЕТ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eastAsia="Arial" w:cs="Arial" w:ascii="Arial" w:hAnsi="Arial"/>
          <w:b/>
          <w:bCs/>
          <w:sz w:val="32"/>
          <w:szCs w:val="32"/>
        </w:rPr>
        <w:t xml:space="preserve"> </w:t>
      </w: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 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2"/>
        <w:numPr>
          <w:ilvl w:val="1"/>
          <w:numId w:val="1"/>
        </w:numPr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Р Е Ш Е Н И Е</w:t>
      </w:r>
    </w:p>
    <w:p>
      <w:pPr>
        <w:pStyle w:val="Normal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18.12.2017</w:t>
      </w:r>
      <w:r>
        <w:rPr>
          <w:rFonts w:cs="Arial" w:ascii="Arial" w:hAnsi="Arial"/>
          <w:b/>
          <w:bCs/>
        </w:rPr>
        <w:tab/>
        <w:tab/>
        <w:tab/>
        <w:tab/>
        <w:tab/>
        <w:tab/>
        <w:tab/>
        <w:tab/>
        <w:tab/>
        <w:tab/>
        <w:tab/>
        <w:t xml:space="preserve"> </w:t>
      </w:r>
      <w:r>
        <w:rPr>
          <w:rFonts w:cs="Arial" w:ascii="Arial" w:hAnsi="Arial"/>
          <w:bCs/>
        </w:rPr>
        <w:t>№ 38</w:t>
      </w:r>
    </w:p>
    <w:p>
      <w:pPr>
        <w:pStyle w:val="Normal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О бюджете поселения на 2018 год</w:t>
      </w:r>
    </w:p>
    <w:p>
      <w:pPr>
        <w:pStyle w:val="Normal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ind w:firstLine="567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Статья 1.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</w:rPr>
        <w:t>Утвердить основные характеристики бюджета поселения</w:t>
      </w:r>
      <w:r>
        <w:rPr>
          <w:rFonts w:cs="Arial" w:ascii="Arial" w:hAnsi="Arial"/>
          <w:b/>
        </w:rPr>
        <w:t xml:space="preserve"> </w:t>
      </w:r>
      <w:r>
        <w:rPr>
          <w:rFonts w:cs="Arial" w:ascii="Arial" w:hAnsi="Arial"/>
        </w:rPr>
        <w:t>на 2018 год: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1) общий объем доходов в сумме </w:t>
      </w:r>
      <w:r>
        <w:rPr>
          <w:rFonts w:cs="Arial" w:ascii="Arial" w:hAnsi="Arial"/>
          <w:b/>
        </w:rPr>
        <w:t xml:space="preserve">8136,6 </w:t>
      </w:r>
      <w:r>
        <w:rPr>
          <w:rFonts w:cs="Arial" w:ascii="Arial" w:hAnsi="Arial"/>
        </w:rPr>
        <w:t>тыс. рублей;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2) общий объем расходов в сумме</w:t>
      </w:r>
      <w:r>
        <w:rPr>
          <w:rFonts w:cs="Arial" w:ascii="Arial" w:hAnsi="Arial"/>
          <w:b/>
        </w:rPr>
        <w:t xml:space="preserve"> 8136,6 </w:t>
      </w:r>
      <w:r>
        <w:rPr>
          <w:rFonts w:cs="Arial" w:ascii="Arial" w:hAnsi="Arial"/>
        </w:rPr>
        <w:t>тыс. рублей.</w:t>
      </w:r>
    </w:p>
    <w:p>
      <w:pPr>
        <w:pStyle w:val="Normal"/>
        <w:ind w:left="708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left="708" w:hanging="0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Статья 2.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1. Утвердить перечень главных администраторов доходов бюджета поселения согласно приложению 1.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2. Утвердить перечень главных администраторов источников финансирования дефицита бюджета поселения согласно приложению 2.</w:t>
      </w:r>
    </w:p>
    <w:p>
      <w:pPr>
        <w:pStyle w:val="Normal"/>
        <w:tabs>
          <w:tab w:val="left" w:pos="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0" w:leader="none"/>
        </w:tabs>
        <w:ind w:firstLine="567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Статья 3.</w:t>
      </w:r>
    </w:p>
    <w:p>
      <w:pPr>
        <w:pStyle w:val="Normal"/>
        <w:tabs>
          <w:tab w:val="left" w:pos="0" w:leader="none"/>
        </w:tabs>
        <w:ind w:firstLine="567"/>
        <w:jc w:val="both"/>
        <w:rPr/>
      </w:pPr>
      <w:r>
        <w:rPr>
          <w:rFonts w:cs="Arial" w:ascii="Arial" w:hAnsi="Arial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 согласно приложению 3.</w:t>
      </w:r>
    </w:p>
    <w:p>
      <w:pPr>
        <w:pStyle w:val="Normal"/>
        <w:tabs>
          <w:tab w:val="left" w:pos="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0" w:leader="none"/>
        </w:tabs>
        <w:ind w:firstLine="567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Статья 4.</w:t>
      </w:r>
    </w:p>
    <w:p>
      <w:pPr>
        <w:pStyle w:val="Normal"/>
        <w:ind w:firstLine="567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</w:rPr>
        <w:t>1. Недоимка, пени и штрафы за несвоевременную уплату налогов зачисляются в бюджет поселения по нормативам, действующим в текущем финансовом году.</w:t>
      </w:r>
    </w:p>
    <w:p>
      <w:pPr>
        <w:pStyle w:val="Normal"/>
        <w:ind w:firstLine="568"/>
        <w:jc w:val="both"/>
        <w:rPr>
          <w:rFonts w:ascii="Arial" w:hAnsi="Arial" w:cs="Arial"/>
        </w:rPr>
      </w:pPr>
      <w:r>
        <w:rPr>
          <w:rFonts w:cs="Arial" w:ascii="Arial" w:hAnsi="Arial"/>
        </w:rPr>
        <w:t>2. Недоимка, пени и штрафы по отмененным налогам и сборам зачисляются в бюджет поселения по следующим нормативам:</w:t>
      </w:r>
    </w:p>
    <w:p>
      <w:pPr>
        <w:pStyle w:val="Normal"/>
        <w:ind w:firstLine="568"/>
        <w:jc w:val="both"/>
        <w:rPr>
          <w:rFonts w:ascii="Arial" w:hAnsi="Arial" w:cs="Arial"/>
        </w:rPr>
      </w:pPr>
      <w:r>
        <w:rPr>
          <w:rFonts w:cs="Arial" w:ascii="Arial" w:hAnsi="Arial"/>
        </w:rPr>
        <w:t>- земельный налог (по обязательствам, возникшим до 1 января 2006 года), мобилизуемый на территории поселения- 100 процентов.</w:t>
      </w:r>
    </w:p>
    <w:p>
      <w:pPr>
        <w:pStyle w:val="Normal"/>
        <w:ind w:firstLine="568"/>
        <w:jc w:val="both"/>
        <w:rPr/>
      </w:pPr>
      <w:r>
        <w:rPr>
          <w:rFonts w:cs="Arial" w:ascii="Arial" w:hAnsi="Arial"/>
        </w:rPr>
        <w:t>3. Прочие доходы от оказания платных услуг (работ) зачисляются в бюджет поселения по нормативу 100 процентов.</w:t>
      </w:r>
    </w:p>
    <w:p>
      <w:pPr>
        <w:pStyle w:val="Normal"/>
        <w:ind w:left="568" w:hanging="0"/>
        <w:jc w:val="both"/>
        <w:rPr/>
      </w:pPr>
      <w:r>
        <w:rPr>
          <w:rFonts w:cs="Arial" w:ascii="Arial" w:hAnsi="Arial"/>
        </w:rPr>
        <w:t>4. Доходы от компенсации затрат бюджета поселения зачисляются в бюджет поселения по нормативу 100 процентов.</w:t>
      </w:r>
    </w:p>
    <w:p>
      <w:pPr>
        <w:pStyle w:val="Normal"/>
        <w:ind w:firstLine="568"/>
        <w:jc w:val="both"/>
        <w:rPr>
          <w:rFonts w:ascii="Arial" w:hAnsi="Arial" w:cs="Arial"/>
        </w:rPr>
      </w:pPr>
      <w:r>
        <w:rPr>
          <w:rFonts w:cs="Arial" w:ascii="Arial" w:hAnsi="Arial"/>
        </w:rPr>
        <w:t>5. Невыясненные поступления зачисляются в бюджет поселения по нормативу 100 процентов.</w:t>
      </w:r>
    </w:p>
    <w:p>
      <w:pPr>
        <w:pStyle w:val="Normal"/>
        <w:ind w:firstLine="568"/>
        <w:jc w:val="both"/>
        <w:rPr/>
      </w:pPr>
      <w:r>
        <w:rPr>
          <w:rFonts w:cs="Arial" w:ascii="Arial" w:hAnsi="Arial"/>
        </w:rPr>
        <w:t>6. Прочие неналоговые доходы зачисляются в бюджет поселения по нормативу 100 процентов.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left="735" w:hanging="168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Статья 5.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Утвердить источники финансирования дефицита бюджета</w:t>
      </w:r>
      <w:r>
        <w:rPr>
          <w:rFonts w:cs="Arial" w:ascii="Arial" w:hAnsi="Arial"/>
          <w:b/>
        </w:rPr>
        <w:t xml:space="preserve"> </w:t>
      </w:r>
      <w:r>
        <w:rPr>
          <w:rFonts w:cs="Arial" w:ascii="Arial" w:hAnsi="Arial"/>
        </w:rPr>
        <w:t>поселения на 2018 год согласно приложению 4.</w:t>
      </w:r>
    </w:p>
    <w:p>
      <w:pPr>
        <w:pStyle w:val="Normal"/>
        <w:ind w:firstLine="72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567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Статья 6.</w:t>
      </w:r>
    </w:p>
    <w:p>
      <w:pPr>
        <w:pStyle w:val="ConsNormal"/>
        <w:ind w:firstLine="567"/>
        <w:jc w:val="both"/>
        <w:rPr/>
      </w:pPr>
      <w:r>
        <w:rPr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>
      <w:pPr>
        <w:pStyle w:val="ConsNormal"/>
        <w:ind w:firstLine="540"/>
        <w:jc w:val="both"/>
        <w:rPr/>
      </w:pPr>
      <w:r>
        <w:rPr>
          <w:sz w:val="24"/>
          <w:szCs w:val="24"/>
        </w:rPr>
        <w:t>1) распределение бюджетных ассигнований по целевым статьям (муниципальным программам и не программным направлениям деятельности), группам видов расходов классификации расходов бюджета согласно приложению 5.</w:t>
      </w:r>
    </w:p>
    <w:p>
      <w:pPr>
        <w:pStyle w:val="ConsNormal"/>
        <w:ind w:firstLine="540"/>
        <w:jc w:val="both"/>
        <w:rPr/>
      </w:pPr>
      <w:r>
        <w:rPr>
          <w:sz w:val="24"/>
          <w:szCs w:val="24"/>
        </w:rPr>
        <w:t>2) ведомственную структуру расходов бюджета поселения согласно приложению 6.</w:t>
      </w:r>
    </w:p>
    <w:p>
      <w:pPr>
        <w:pStyle w:val="ConsNormal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3) распределение бюджетных ассигнований по разделам, подразделам, группам видов расходов классификации расходов бюджета согласно приложению 7.</w:t>
      </w:r>
    </w:p>
    <w:p>
      <w:pPr>
        <w:pStyle w:val="ConsNormal"/>
        <w:ind w:firstLine="540"/>
        <w:jc w:val="both"/>
        <w:rPr/>
      </w:pPr>
      <w:r>
        <w:rPr>
          <w:sz w:val="24"/>
          <w:szCs w:val="24"/>
        </w:rPr>
        <w:t xml:space="preserve">2. Утвердить резервный фонд администрации Большерудкинского сельсовета Шарангского муниципального района в сумме 3 тыс.рублей. </w:t>
      </w:r>
    </w:p>
    <w:p>
      <w:pPr>
        <w:pStyle w:val="ConsNormal"/>
        <w:ind w:firstLine="737"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Статья 7.</w:t>
      </w:r>
    </w:p>
    <w:p>
      <w:pPr>
        <w:pStyle w:val="ConsNormal"/>
        <w:ind w:firstLine="540"/>
        <w:jc w:val="both"/>
        <w:rPr/>
      </w:pPr>
      <w:r>
        <w:rPr>
          <w:kern w:val="2"/>
          <w:sz w:val="24"/>
          <w:szCs w:val="24"/>
        </w:rPr>
        <w:t>1.Остатки средств на счете финансового управления администрации Шарангского муниципального района Нижегородской области, открытом в ОАО Коммерческий Банк «Ассоциация» в соответствии с законодательством Российской Федерации, на котором отражаются операции со средствами, поступающими во временное распоряжение казенных учреждений поселения, могут перечисляться финансовым управлением администрации Шарангского муниципального района в 2018 году со счета финансового управления администрации Шарангского муниципального района в бюджет поселения с их возвратом до 31 декабря 2018 года на указанный счет в порядке, установленном финансовым управлением администрации Шарангского муниципального района.</w:t>
      </w:r>
    </w:p>
    <w:p>
      <w:pPr>
        <w:pStyle w:val="ConsNormal"/>
        <w:ind w:firstLine="540"/>
        <w:jc w:val="both"/>
        <w:rPr/>
      </w:pPr>
      <w:r>
        <w:rPr>
          <w:kern w:val="2"/>
          <w:sz w:val="24"/>
          <w:szCs w:val="24"/>
        </w:rPr>
        <w:t>2.Проведение кассовых выплат за счет средств, указанных в части 1 настоящей статьи, осуществляется не позднее второго рабочего дня, следующего за днем представления платежных документов в финансовое управление администрации Шарангского муниципального района.</w:t>
      </w:r>
    </w:p>
    <w:p>
      <w:pPr>
        <w:pStyle w:val="ConsNormal"/>
        <w:ind w:firstLine="737"/>
        <w:jc w:val="both"/>
        <w:rPr>
          <w:b/>
          <w:b/>
          <w:bCs/>
          <w:kern w:val="2"/>
          <w:sz w:val="24"/>
          <w:szCs w:val="24"/>
        </w:rPr>
      </w:pPr>
      <w:r>
        <w:rPr>
          <w:b/>
          <w:bCs/>
          <w:kern w:val="2"/>
          <w:sz w:val="24"/>
          <w:szCs w:val="24"/>
        </w:rPr>
      </w:r>
    </w:p>
    <w:p>
      <w:pPr>
        <w:pStyle w:val="ConsNormal"/>
        <w:ind w:firstLine="567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Статья 8.</w:t>
      </w:r>
    </w:p>
    <w:p>
      <w:pPr>
        <w:pStyle w:val="ConsNormal"/>
        <w:ind w:firstLine="540"/>
        <w:jc w:val="both"/>
        <w:rPr/>
      </w:pPr>
      <w:r>
        <w:rPr>
          <w:kern w:val="2"/>
          <w:sz w:val="24"/>
          <w:szCs w:val="24"/>
        </w:rPr>
        <w:t>1. 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2018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 настоящим решением.</w:t>
      </w:r>
    </w:p>
    <w:p>
      <w:pPr>
        <w:pStyle w:val="ConsNormal"/>
        <w:ind w:firstLine="540"/>
        <w:jc w:val="both"/>
        <w:rPr>
          <w:i/>
          <w:i/>
          <w:sz w:val="24"/>
          <w:szCs w:val="24"/>
        </w:rPr>
      </w:pPr>
      <w:r>
        <w:rPr>
          <w:sz w:val="24"/>
          <w:szCs w:val="24"/>
        </w:rPr>
        <w:t xml:space="preserve">2. 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Шарангского муниципального района </w:t>
      </w:r>
      <w:r>
        <w:rPr>
          <w:kern w:val="2"/>
          <w:sz w:val="24"/>
          <w:szCs w:val="24"/>
        </w:rPr>
        <w:t>Нижегородской области</w:t>
      </w:r>
      <w:r>
        <w:rPr>
          <w:sz w:val="24"/>
          <w:szCs w:val="24"/>
        </w:rPr>
        <w:t>.</w:t>
      </w:r>
    </w:p>
    <w:p>
      <w:pPr>
        <w:pStyle w:val="Normal"/>
        <w:ind w:firstLine="360"/>
        <w:jc w:val="both"/>
        <w:rPr>
          <w:rFonts w:ascii="Arial" w:hAnsi="Arial" w:cs="Arial"/>
          <w:b/>
          <w:b/>
          <w:bCs/>
          <w:i/>
          <w:i/>
          <w:sz w:val="24"/>
          <w:szCs w:val="24"/>
        </w:rPr>
      </w:pPr>
      <w:r>
        <w:rPr>
          <w:rFonts w:cs="Arial" w:ascii="Arial" w:hAnsi="Arial"/>
          <w:b/>
          <w:bCs/>
          <w:i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Статья 9.</w:t>
      </w:r>
    </w:p>
    <w:p>
      <w:pPr>
        <w:pStyle w:val="Normal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</w:rPr>
        <w:t>Утвердить дорожный фонд Большерудкинского сельсовета Шарангского муниципального района в сумме 962,7 тыс.рублей.</w:t>
      </w:r>
    </w:p>
    <w:p>
      <w:pPr>
        <w:pStyle w:val="Normal"/>
        <w:ind w:left="360" w:hanging="0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ind w:left="360" w:firstLine="207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Статья 10.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Утвердить в составе межбюджетных трансфертов объем иных межбюджетных трансфертов, передаваемых из бюджета Большерудкинского сельсовета Шарангского муниципального района на осуществление части полномочий по решению вопросов местного значения в соответствии с заключенным соглашением в сумме 3155,3 тыс. рублей</w:t>
      </w:r>
    </w:p>
    <w:p>
      <w:pPr>
        <w:pStyle w:val="Normal"/>
        <w:jc w:val="both"/>
        <w:rPr>
          <w:rFonts w:ascii="Arial" w:hAnsi="Arial" w:cs="Arial"/>
          <w:bCs/>
          <w:i/>
          <w:i/>
        </w:rPr>
      </w:pPr>
      <w:r>
        <w:rPr>
          <w:rFonts w:cs="Arial" w:ascii="Arial" w:hAnsi="Arial"/>
          <w:bCs/>
          <w:i/>
        </w:rPr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b/>
          <w:bCs/>
        </w:rPr>
        <w:t>Статья 11.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bCs/>
        </w:rPr>
        <w:t>Установить коэффициент увеличения (индексации) размеров ежемесячного денежного вознаграждения по муниципальным должностям администрации Большерудкинского сельсовета Шарангского муниципального района и размеров окладов денежного содержания муниципальных служащих администрации Большерудкинского сельсовета Шарангского муниципального района с 1 января 2018 года равным 1,04.</w:t>
      </w:r>
    </w:p>
    <w:p>
      <w:pPr>
        <w:pStyle w:val="Normal"/>
        <w:ind w:firstLine="737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ind w:firstLine="567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Статья 12.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1. Установить предельный объем муниципального долга бюджета поселения на 2018 год в размере 0 процентов от утвержденного общего годового объема доходов бюджета поселения без учета утвержденного объема безвозмездных поступлений и поступлений налоговых доходов по дополнительным нормативам отчислений;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 Установить верхний предел муниципального долга бюджета поселения на</w:t>
      </w:r>
    </w:p>
    <w:p>
      <w:pPr>
        <w:pStyle w:val="Normal"/>
        <w:jc w:val="both"/>
        <w:rPr/>
      </w:pPr>
      <w:r>
        <w:rPr>
          <w:rFonts w:cs="Arial" w:ascii="Arial" w:hAnsi="Arial"/>
        </w:rPr>
        <w:t>1 января 2019 года в размере 0,0 тысяч рублей, в том числе установить верхний предел долга по муниципальным гарантиям на 1 января 2019 года в размере 0,0 тысяч рублей.</w:t>
      </w:r>
    </w:p>
    <w:p>
      <w:pPr>
        <w:pStyle w:val="ConsNormal"/>
        <w:ind w:firstLine="737"/>
        <w:jc w:val="both"/>
        <w:rPr>
          <w:rFonts w:ascii="Arial" w:hAnsi="Arial" w:cs="Arial"/>
          <w:bCs/>
          <w:i/>
          <w:i/>
          <w:sz w:val="24"/>
          <w:szCs w:val="24"/>
        </w:rPr>
      </w:pPr>
      <w:r>
        <w:rPr>
          <w:rFonts w:cs="Arial"/>
          <w:bCs/>
          <w:i/>
          <w:sz w:val="24"/>
          <w:szCs w:val="24"/>
        </w:rPr>
      </w:r>
    </w:p>
    <w:p>
      <w:pPr>
        <w:pStyle w:val="Style19"/>
        <w:ind w:left="180" w:firstLine="387"/>
        <w:jc w:val="both"/>
        <w:rPr/>
      </w:pPr>
      <w:r>
        <w:rPr>
          <w:rFonts w:cs="Arial" w:ascii="Arial" w:hAnsi="Arial"/>
          <w:bCs w:val="false"/>
          <w:sz w:val="24"/>
        </w:rPr>
        <w:t>Статья 13.</w:t>
      </w:r>
    </w:p>
    <w:p>
      <w:pPr>
        <w:pStyle w:val="Style19"/>
        <w:ind w:left="180" w:firstLine="387"/>
        <w:jc w:val="both"/>
        <w:rPr/>
      </w:pPr>
      <w:r>
        <w:rPr>
          <w:rFonts w:cs="Arial" w:ascii="Arial" w:hAnsi="Arial"/>
          <w:b w:val="false"/>
          <w:sz w:val="24"/>
        </w:rPr>
        <w:t>Настоящее решение вступает в силу с 1 января 2018 года.</w:t>
      </w:r>
    </w:p>
    <w:p>
      <w:pPr>
        <w:pStyle w:val="Style19"/>
        <w:ind w:left="180" w:firstLine="180"/>
        <w:jc w:val="both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</w:r>
    </w:p>
    <w:p>
      <w:pPr>
        <w:pStyle w:val="Normal"/>
        <w:ind w:left="180" w:firstLine="180"/>
        <w:rPr>
          <w:rFonts w:ascii="Arial" w:hAnsi="Arial" w:cs="Arial"/>
          <w:b/>
          <w:b/>
          <w:sz w:val="24"/>
        </w:rPr>
      </w:pPr>
      <w:r>
        <w:rPr>
          <w:rFonts w:cs="Arial" w:ascii="Arial" w:hAnsi="Arial"/>
          <w:b/>
          <w:sz w:val="24"/>
        </w:rPr>
      </w:r>
    </w:p>
    <w:p>
      <w:pPr>
        <w:pStyle w:val="Normal"/>
        <w:ind w:left="180" w:firstLine="180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</w:t>
        <w:tab/>
        <w:tab/>
        <w:tab/>
        <w:tab/>
        <w:tab/>
        <w:tab/>
        <w:t>И.Г.Блинов</w:t>
      </w:r>
      <w:r>
        <w:br w:type="page"/>
      </w:r>
    </w:p>
    <w:p>
      <w:pPr>
        <w:pStyle w:val="Style19"/>
        <w:jc w:val="right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  <w:t>Приложение 1</w:t>
      </w:r>
    </w:p>
    <w:p>
      <w:pPr>
        <w:pStyle w:val="Style19"/>
        <w:jc w:val="right"/>
        <w:rPr/>
      </w:pPr>
      <w:r>
        <w:rPr>
          <w:rFonts w:cs="Arial" w:ascii="Arial" w:hAnsi="Arial"/>
          <w:b w:val="false"/>
          <w:sz w:val="24"/>
        </w:rPr>
        <w:t xml:space="preserve">к решению сельского Совета </w:t>
      </w:r>
    </w:p>
    <w:p>
      <w:pPr>
        <w:pStyle w:val="Style19"/>
        <w:jc w:val="right"/>
        <w:rPr/>
      </w:pPr>
      <w:r>
        <w:rPr>
          <w:rFonts w:eastAsia="Arial" w:cs="Arial" w:ascii="Arial" w:hAnsi="Arial"/>
          <w:b w:val="false"/>
          <w:sz w:val="24"/>
        </w:rPr>
        <w:t xml:space="preserve"> </w:t>
      </w:r>
      <w:r>
        <w:rPr>
          <w:rFonts w:cs="Arial" w:ascii="Arial" w:hAnsi="Arial"/>
          <w:b w:val="false"/>
          <w:sz w:val="24"/>
        </w:rPr>
        <w:t xml:space="preserve">Большерудкинского сельсовета </w:t>
      </w:r>
    </w:p>
    <w:p>
      <w:pPr>
        <w:pStyle w:val="Style19"/>
        <w:jc w:val="right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  <w:t>Шарангского муниципального района</w:t>
      </w:r>
    </w:p>
    <w:p>
      <w:pPr>
        <w:pStyle w:val="Style19"/>
        <w:ind w:left="4956" w:hanging="0"/>
        <w:jc w:val="right"/>
        <w:rPr/>
      </w:pPr>
      <w:r>
        <w:rPr>
          <w:rFonts w:cs="Arial" w:ascii="Arial" w:hAnsi="Arial"/>
          <w:b w:val="false"/>
          <w:sz w:val="24"/>
        </w:rPr>
        <w:t>« О бюджете поселения на 2018 год»</w:t>
      </w:r>
    </w:p>
    <w:p>
      <w:pPr>
        <w:pStyle w:val="Style19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</w:r>
    </w:p>
    <w:p>
      <w:pPr>
        <w:pStyle w:val="Style19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Перечень главных администраторов доходов бюджета поселения</w:t>
      </w:r>
    </w:p>
    <w:p>
      <w:pPr>
        <w:pStyle w:val="Style19"/>
        <w:jc w:val="left"/>
        <w:rPr>
          <w:rFonts w:ascii="Arial" w:hAnsi="Arial" w:cs="Arial"/>
          <w:sz w:val="24"/>
          <w:szCs w:val="32"/>
        </w:rPr>
      </w:pPr>
      <w:r>
        <w:rPr>
          <w:rFonts w:cs="Arial" w:ascii="Arial" w:hAnsi="Arial"/>
          <w:sz w:val="24"/>
          <w:szCs w:val="32"/>
        </w:rPr>
      </w:r>
    </w:p>
    <w:tbl>
      <w:tblPr>
        <w:tblW w:w="9581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548"/>
        <w:gridCol w:w="3366"/>
        <w:gridCol w:w="4667"/>
      </w:tblGrid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Ведомство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Коды бюджетной классификации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Главный администратор доходов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b/>
                <w:b/>
                <w:lang w:val="en-US"/>
              </w:rPr>
            </w:pPr>
            <w:r>
              <w:rPr>
                <w:rFonts w:cs="Arial" w:ascii="Arial" w:hAnsi="Arial"/>
                <w:b/>
                <w:lang w:val="en-US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rFonts w:ascii="Arial" w:hAnsi="Arial" w:cs="Arial"/>
                <w:b/>
                <w:b/>
                <w:lang w:val="en-US"/>
              </w:rPr>
            </w:pPr>
            <w:r>
              <w:rPr>
                <w:rFonts w:cs="Arial" w:ascii="Arial" w:hAnsi="Arial"/>
                <w:b/>
                <w:lang w:val="en-US"/>
              </w:rPr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Управление Федерального казначейства по Нижегородской области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rFonts w:cs="Arial" w:ascii="Arial" w:hAnsi="Arial"/>
              </w:rPr>
              <w:t>103 02</w:t>
            </w:r>
            <w:r>
              <w:rPr>
                <w:rFonts w:cs="Arial" w:ascii="Arial" w:hAnsi="Arial"/>
                <w:lang w:val="en-US"/>
              </w:rPr>
              <w:t xml:space="preserve">230 </w:t>
            </w:r>
            <w:r>
              <w:rPr>
                <w:rFonts w:cs="Arial" w:ascii="Arial" w:hAnsi="Arial"/>
              </w:rPr>
              <w:t>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103 02240 01 0000 110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103 02250 01 0000 110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103 02260 01 0000 110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прямогонный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rmal"/>
              <w:suppressAutoHyphens w:val="true"/>
              <w:overflowPunct w:val="false"/>
              <w:ind w:hanging="0"/>
              <w:textAlignment w:val="baseline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Управление Федеральной налоговой службы по Нижегородской области </w:t>
            </w:r>
            <w:r>
              <w:rPr>
                <w:kern w:val="2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101 02010 01 0000 110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rmal"/>
              <w:suppressAutoHyphens w:val="true"/>
              <w:overflowPunct w:val="false"/>
              <w:ind w:hanging="0"/>
              <w:textAlignment w:val="baseline"/>
              <w:rPr/>
            </w:pPr>
            <w:r>
              <w:rPr>
                <w:kern w:val="2"/>
                <w:sz w:val="24"/>
                <w:szCs w:val="24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</w:t>
            </w:r>
            <w:r>
              <w:rPr>
                <w:kern w:val="2"/>
                <w:sz w:val="24"/>
                <w:szCs w:val="24"/>
                <w:vertAlign w:val="superscript"/>
              </w:rPr>
              <w:t>1</w:t>
            </w:r>
            <w:r>
              <w:rPr>
                <w:kern w:val="2"/>
                <w:sz w:val="24"/>
                <w:szCs w:val="24"/>
              </w:rPr>
              <w:t xml:space="preserve"> и 228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101 02020 01 0000 110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rmal"/>
              <w:suppressAutoHyphens w:val="true"/>
              <w:overflowPunct w:val="false"/>
              <w:ind w:hanging="0"/>
              <w:textAlignment w:val="baseline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101 02030 01 0000 110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rmal"/>
              <w:suppressAutoHyphens w:val="true"/>
              <w:overflowPunct w:val="false"/>
              <w:ind w:hanging="0"/>
              <w:textAlignment w:val="baseline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статьей 228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105 03010 01 0000 110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rmal"/>
              <w:suppressAutoHyphens w:val="true"/>
              <w:overflowPunct w:val="false"/>
              <w:ind w:hanging="0"/>
              <w:textAlignment w:val="baseline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105 03020 01 0000 110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rmal"/>
              <w:suppressAutoHyphens w:val="true"/>
              <w:overflowPunct w:val="false"/>
              <w:ind w:hanging="0"/>
              <w:textAlignment w:val="baseline"/>
              <w:rPr/>
            </w:pPr>
            <w:r>
              <w:rPr>
                <w:kern w:val="2"/>
                <w:sz w:val="24"/>
                <w:szCs w:val="24"/>
              </w:rPr>
              <w:t xml:space="preserve">Единый сельскохозяйственный налог (за налоговые периоды, истекшие до 1 января 2011 года)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106 01030 10 0000 110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 xml:space="preserve">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Cel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ConsPlusCel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106 06033 10 0000 110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Cel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ConsPlusCel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106 06043 10 0000 110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109 04053 10 0000 110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>
        <w:trPr>
          <w:trHeight w:val="797" w:hRule="atLeast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snapToGrid w:val="fals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sz w:val="24"/>
              </w:rPr>
            </w:pPr>
            <w:r>
              <w:rPr>
                <w:rFonts w:eastAsia="Arial" w:cs="Arial" w:ascii="Arial" w:hAnsi="Arial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 </w:t>
            </w:r>
            <w:r>
              <w:rPr>
                <w:rFonts w:cs="Arial" w:ascii="Arial" w:hAnsi="Arial"/>
                <w:b w:val="false"/>
                <w:sz w:val="24"/>
              </w:rPr>
              <w:t>108 04020 01 1000 110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 </w:t>
            </w:r>
            <w:r>
              <w:rPr>
                <w:rFonts w:cs="Arial" w:ascii="Arial" w:hAnsi="Arial"/>
                <w:b w:val="false"/>
                <w:sz w:val="24"/>
              </w:rPr>
              <w:t>108 04020 01 4000 110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113 01995 10 0000 130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/>
            </w:pPr>
            <w:r>
              <w:rPr>
                <w:rFonts w:cs="Arial" w:ascii="Arial" w:hAnsi="Arial"/>
                <w:b w:val="false"/>
                <w:sz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113 02995 10 0023 130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Прочие доходы от компенсации затрат бюджетов сельских поселений, источником которых являются средства бюджетов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>117 0</w:t>
            </w:r>
            <w:r>
              <w:rPr>
                <w:rFonts w:cs="Arial" w:ascii="Arial" w:hAnsi="Arial"/>
                <w:b w:val="false"/>
                <w:sz w:val="24"/>
                <w:lang w:val="en-US"/>
              </w:rPr>
              <w:t>1</w:t>
            </w:r>
            <w:r>
              <w:rPr>
                <w:rFonts w:cs="Arial" w:ascii="Arial" w:hAnsi="Arial"/>
                <w:b w:val="false"/>
                <w:sz w:val="24"/>
              </w:rPr>
              <w:t>050 10 0000 180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117 05050 10 0000 180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/>
            </w:pPr>
            <w:r>
              <w:rPr>
                <w:rFonts w:cs="Arial" w:ascii="Arial" w:hAnsi="Arial"/>
                <w:b w:val="false"/>
                <w:sz w:val="24"/>
              </w:rPr>
              <w:t>Прочие неналоговые доходы бюджетов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>202 15001 10 0000 151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>202 35118 10 0110 151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 xml:space="preserve">202 45160 10 0000 151  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 xml:space="preserve">202 49999 10 0000 151 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>202 49999 10 9000 151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>204 05099 10 0000 180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Прочие безвозмездные поступления от негосударственных организаций в бюджеты 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>204 05099 10 9000 180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>207 05030 10 0000 180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Прочие безвозмездные поступления в бюджеты 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rPr>
                <w:rFonts w:ascii="Arial" w:hAnsi="Arial" w:cs="Arial"/>
                <w:b w:val="false"/>
                <w:b w:val="false"/>
                <w:sz w:val="24"/>
              </w:rPr>
            </w:pPr>
            <w:r>
              <w:rPr>
                <w:rFonts w:cs="Arial" w:ascii="Arial" w:hAnsi="Arial"/>
                <w:b w:val="false"/>
                <w:sz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Style19"/>
              <w:suppressAutoHyphens w:val="true"/>
              <w:rPr/>
            </w:pPr>
            <w:r>
              <w:rPr>
                <w:rFonts w:cs="Arial" w:ascii="Arial" w:hAnsi="Arial"/>
                <w:b w:val="false"/>
                <w:sz w:val="24"/>
              </w:rPr>
              <w:t>207 05030 10 9000 180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19"/>
              <w:suppressAutoHyphens w:val="true"/>
              <w:jc w:val="both"/>
              <w:rPr/>
            </w:pPr>
            <w:r>
              <w:rPr>
                <w:rFonts w:cs="Arial" w:ascii="Arial" w:hAnsi="Arial"/>
                <w:b w:val="false"/>
                <w:sz w:val="24"/>
              </w:rPr>
              <w:t>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>
      <w:pPr>
        <w:pStyle w:val="Style19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</w:r>
      <w:r>
        <w:br w:type="page"/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Приложение 2 </w:t>
      </w:r>
    </w:p>
    <w:p>
      <w:pPr>
        <w:pStyle w:val="Normal"/>
        <w:jc w:val="right"/>
        <w:rPr/>
      </w:pPr>
      <w:r>
        <w:rPr>
          <w:rFonts w:cs="Arial" w:ascii="Arial" w:hAnsi="Arial"/>
        </w:rPr>
        <w:t xml:space="preserve">к решению сельского Совета </w:t>
      </w:r>
    </w:p>
    <w:p>
      <w:pPr>
        <w:pStyle w:val="Normal"/>
        <w:jc w:val="right"/>
        <w:rPr/>
      </w:pPr>
      <w:r>
        <w:rPr>
          <w:rFonts w:cs="Arial" w:ascii="Arial" w:hAnsi="Arial"/>
        </w:rPr>
        <w:t xml:space="preserve">Большерудкинского сельсовета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Normal"/>
        <w:jc w:val="right"/>
        <w:rPr/>
      </w:pPr>
      <w:r>
        <w:rPr>
          <w:rFonts w:cs="Arial" w:ascii="Arial" w:hAnsi="Arial"/>
        </w:rPr>
        <w:t>« О бюджете поселения на 2018 год»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right"/>
        <w:rPr/>
      </w:pPr>
      <w:r>
        <w:rPr>
          <w:rFonts w:cs="Arial" w:ascii="Arial" w:hAnsi="Arial"/>
          <w:b/>
          <w:sz w:val="32"/>
          <w:szCs w:val="32"/>
        </w:rPr>
        <w:t>Перечень и коды главных администраторов источников финансирования дефицита бюджета поселения</w:t>
      </w:r>
    </w:p>
    <w:p>
      <w:pPr>
        <w:pStyle w:val="Normal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tbl>
      <w:tblPr>
        <w:tblW w:w="9910" w:type="dxa"/>
        <w:jc w:val="left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440"/>
        <w:gridCol w:w="3060"/>
        <w:gridCol w:w="5410"/>
      </w:tblGrid>
      <w:tr>
        <w:trPr>
          <w:trHeight w:val="915" w:hRule="atLeast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Ведомство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Главный администратор источников</w:t>
            </w:r>
          </w:p>
        </w:tc>
      </w:tr>
      <w:tr>
        <w:trPr>
          <w:trHeight w:val="540" w:hRule="atLeast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487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</w:tr>
      <w:tr>
        <w:trPr>
          <w:trHeight w:val="900" w:hRule="atLeast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01050201100000510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Увеличение прочих остатков денежных средств бюджета поселения</w:t>
            </w:r>
          </w:p>
        </w:tc>
      </w:tr>
      <w:tr>
        <w:trPr>
          <w:trHeight w:val="705" w:hRule="atLeast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01050201100000610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Уменьшение прочих остатков денежных средств бюджета поселения</w:t>
            </w:r>
          </w:p>
        </w:tc>
      </w:tr>
    </w:tbl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tabs>
          <w:tab w:val="left" w:pos="5442" w:leader="none"/>
        </w:tabs>
        <w:jc w:val="right"/>
        <w:rPr>
          <w:rFonts w:ascii="Arial" w:hAnsi="Arial" w:cs="Arial"/>
        </w:rPr>
      </w:pPr>
      <w:r>
        <w:rPr>
          <w:rFonts w:cs="Arial" w:ascii="Arial" w:hAnsi="Arial"/>
        </w:rPr>
        <w:t>Приложение 3</w:t>
      </w:r>
    </w:p>
    <w:p>
      <w:pPr>
        <w:pStyle w:val="Normal"/>
        <w:tabs>
          <w:tab w:val="left" w:pos="5442" w:leader="none"/>
        </w:tabs>
        <w:jc w:val="right"/>
        <w:rPr/>
      </w:pPr>
      <w:r>
        <w:rPr>
          <w:rFonts w:cs="Arial" w:ascii="Arial" w:hAnsi="Arial"/>
        </w:rPr>
        <w:t>к решению сельского Совета</w:t>
      </w:r>
    </w:p>
    <w:p>
      <w:pPr>
        <w:pStyle w:val="Normal"/>
        <w:tabs>
          <w:tab w:val="left" w:pos="5442" w:leader="none"/>
        </w:tabs>
        <w:jc w:val="right"/>
        <w:rPr/>
      </w:pPr>
      <w:r>
        <w:rPr>
          <w:rFonts w:cs="Arial" w:ascii="Arial" w:hAnsi="Arial"/>
        </w:rPr>
        <w:t>Большерудкинского сельсовета</w:t>
      </w:r>
    </w:p>
    <w:p>
      <w:pPr>
        <w:pStyle w:val="Normal"/>
        <w:tabs>
          <w:tab w:val="left" w:pos="5442" w:leader="none"/>
        </w:tabs>
        <w:jc w:val="right"/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Normal"/>
        <w:tabs>
          <w:tab w:val="left" w:pos="5442" w:leader="none"/>
        </w:tabs>
        <w:jc w:val="right"/>
        <w:rPr/>
      </w:pPr>
      <w:r>
        <w:rPr>
          <w:rFonts w:cs="Arial" w:ascii="Arial" w:hAnsi="Arial"/>
        </w:rPr>
        <w:t>«О бюджете поселения на 2018 год»</w:t>
      </w:r>
    </w:p>
    <w:p>
      <w:pPr>
        <w:pStyle w:val="Normal"/>
        <w:tabs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tabs>
          <w:tab w:val="left" w:pos="5442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Поступление доходов по группам, подгруппам и статьям </w:t>
      </w:r>
    </w:p>
    <w:p>
      <w:pPr>
        <w:pStyle w:val="Normal"/>
        <w:tabs>
          <w:tab w:val="left" w:pos="5442" w:leader="none"/>
        </w:tabs>
        <w:jc w:val="center"/>
        <w:rPr/>
      </w:pPr>
      <w:r>
        <w:rPr>
          <w:rFonts w:cs="Arial" w:ascii="Arial" w:hAnsi="Arial"/>
          <w:b/>
          <w:sz w:val="32"/>
          <w:szCs w:val="32"/>
        </w:rPr>
        <w:t>бюджетной классификации на 2018 год</w:t>
      </w:r>
    </w:p>
    <w:p>
      <w:pPr>
        <w:pStyle w:val="Normal"/>
        <w:tabs>
          <w:tab w:val="left" w:pos="5442" w:leader="none"/>
        </w:tabs>
        <w:jc w:val="right"/>
        <w:rPr>
          <w:rFonts w:ascii="Arial" w:hAnsi="Arial" w:cs="Arial"/>
        </w:rPr>
      </w:pPr>
      <w:r>
        <w:rPr>
          <w:rFonts w:cs="Arial" w:ascii="Arial" w:hAnsi="Arial"/>
        </w:rPr>
        <w:t>тыс. руб.</w:t>
      </w:r>
    </w:p>
    <w:tbl>
      <w:tblPr>
        <w:tblW w:w="9478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628"/>
        <w:gridCol w:w="5580"/>
        <w:gridCol w:w="1270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 Налоговые и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2 347,3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1.1. Налоги на прибыль,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 Налог на доходы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</w:rPr>
              <w:t>210,2</w:t>
            </w:r>
          </w:p>
        </w:tc>
      </w:tr>
      <w:tr>
        <w:trPr>
          <w:trHeight w:val="5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</w:rPr>
              <w:t>210,2</w:t>
            </w:r>
          </w:p>
        </w:tc>
      </w:tr>
      <w:tr>
        <w:trPr>
          <w:trHeight w:val="5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962,7</w:t>
            </w:r>
          </w:p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5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962,7</w:t>
            </w:r>
          </w:p>
        </w:tc>
      </w:tr>
      <w:tr>
        <w:trPr>
          <w:trHeight w:val="5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1.2.1.1.Доходы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390,9</w:t>
            </w:r>
          </w:p>
        </w:tc>
      </w:tr>
      <w:tr>
        <w:trPr>
          <w:trHeight w:val="5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10302240010000110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3,9</w:t>
            </w:r>
          </w:p>
        </w:tc>
      </w:tr>
      <w:tr>
        <w:trPr>
          <w:trHeight w:val="5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1.2.1.3.Доходы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644,0</w:t>
            </w:r>
          </w:p>
        </w:tc>
      </w:tr>
      <w:tr>
        <w:trPr>
          <w:trHeight w:val="5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10302260010000110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1.2.1.4.Доходы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-76,1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1.3. Налоги на совокупный доход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1.3.1. Единый сельскохозяйственный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1.4. Налоги на имущество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1 021,0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10601030100000110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 Земельный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961,0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 Земельный налог с организаций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550,6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10606033100000110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550,6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1.4.2.2.  Земельный налог с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410,4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10606043100000110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410,4</w:t>
            </w:r>
          </w:p>
        </w:tc>
      </w:tr>
      <w:tr>
        <w:trPr>
          <w:trHeight w:val="257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10800000000000000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1.5. Государственная пошлина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  <w:b/>
              </w:rPr>
              <w:t>2,0</w:t>
            </w:r>
          </w:p>
        </w:tc>
      </w:tr>
      <w:tr>
        <w:trPr>
          <w:trHeight w:val="709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Cel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10804000010000110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Cell"/>
              <w:rPr/>
            </w:pPr>
            <w:r>
              <w:rPr>
                <w:rFonts w:cs="Arial" w:ascii="Arial" w:hAnsi="Arial"/>
              </w:rPr>
              <w:t>1.5.1.Государственная пошлина за совершение</w:t>
              <w:br/>
              <w:t xml:space="preserve">нотариальных действий (за исключением действий, совершаемых консульскими учреждениями РФ)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</w:rPr>
              <w:t>2,0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10804020010000110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</w:rPr>
              <w:t>2,0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11301000000000130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1.6.1. Доходы от оказания платных услуг (работ)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11301995100000130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11302000000000130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1.6.2. Доходы от компенсации затрат государства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11302995100000130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1.7. Прочие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11705050100000180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1.7.1. Прочие неналоговые доходы бюджетов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5 789,3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5 789,3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20210000000000151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3700,3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20215001100000151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3700,3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20230000000000151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91,5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20235118100000151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2.1.2.1.</w:t>
            </w:r>
            <w:r>
              <w:rPr>
                <w:rFonts w:cs="Arial" w:ascii="Arial" w:hAnsi="Arial"/>
                <w:b/>
              </w:rPr>
              <w:t xml:space="preserve"> </w:t>
            </w:r>
            <w:r>
              <w:rPr>
                <w:rFonts w:cs="Arial" w:ascii="Arial" w:hAnsi="Arial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91,5</w:t>
            </w:r>
          </w:p>
        </w:tc>
      </w:tr>
      <w:tr>
        <w:trPr>
          <w:trHeight w:val="31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20240000000000151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2.1.3. Иные межбюджетные трансферты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1997,5</w:t>
            </w:r>
          </w:p>
        </w:tc>
      </w:tr>
      <w:tr>
        <w:trPr>
          <w:trHeight w:val="31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20249999100000151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</w:rPr>
              <w:t>1997,5</w:t>
            </w:r>
          </w:p>
        </w:tc>
      </w:tr>
      <w:tr>
        <w:trPr>
          <w:trHeight w:val="31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2.1.3.1.1.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</w:rPr>
              <w:t>1997,5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Всего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8 136,6</w:t>
            </w:r>
          </w:p>
        </w:tc>
      </w:tr>
    </w:tbl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ind w:firstLine="5040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Приложение 4 </w:t>
      </w:r>
    </w:p>
    <w:tbl>
      <w:tblPr>
        <w:tblW w:w="10065" w:type="dxa"/>
        <w:jc w:val="left"/>
        <w:tblInd w:w="-709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5"/>
      </w:tblGrid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eastAsia="Calibri" w:cs="Arial"/>
              </w:rPr>
            </w:pPr>
            <w:r>
              <w:rPr>
                <w:rFonts w:cs="Arial" w:ascii="Arial" w:hAnsi="Arial"/>
              </w:rPr>
              <w:t>к решению сельского Совета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eastAsia="Calibri" w:cs="Arial"/>
              </w:rPr>
            </w:pPr>
            <w:r>
              <w:rPr>
                <w:rFonts w:cs="Arial" w:ascii="Arial" w:hAnsi="Arial"/>
              </w:rPr>
              <w:t>Большерудкинского сельсовета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Шарангского муниципального района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eastAsia="Calibri" w:cs="Arial"/>
              </w:rPr>
            </w:pPr>
            <w:r>
              <w:rPr>
                <w:rFonts w:cs="Arial" w:ascii="Arial" w:hAnsi="Arial"/>
              </w:rPr>
              <w:t>"О бюджете поселения на 2018 год"</w:t>
            </w:r>
          </w:p>
        </w:tc>
      </w:tr>
    </w:tbl>
    <w:p>
      <w:pPr>
        <w:pStyle w:val="Normal"/>
        <w:ind w:firstLine="36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center"/>
        <w:rPr/>
      </w:pPr>
      <w:r>
        <w:rPr>
          <w:rFonts w:cs="Arial" w:ascii="Arial" w:hAnsi="Arial"/>
          <w:b/>
          <w:sz w:val="32"/>
          <w:szCs w:val="32"/>
        </w:rPr>
        <w:t>Источники финансирования дефицита бюджета поселения на 2018 год</w:t>
      </w:r>
    </w:p>
    <w:p>
      <w:pPr>
        <w:pStyle w:val="Normal"/>
        <w:ind w:firstLine="360"/>
        <w:jc w:val="right"/>
        <w:rPr/>
      </w:pPr>
      <w:r>
        <w:rPr/>
        <w:t>тыс.руб.</w:t>
      </w:r>
    </w:p>
    <w:tbl>
      <w:tblPr>
        <w:tblW w:w="10800" w:type="dxa"/>
        <w:jc w:val="left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Calibri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Calibri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-5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eastAsia="Calibri" w:cs="Arial"/>
                <w:b/>
                <w:b/>
              </w:rPr>
            </w:pPr>
            <w:r>
              <w:rPr>
                <w:rFonts w:eastAsia="Calibri" w:cs="Arial" w:ascii="Arial" w:hAnsi="Arial"/>
                <w:b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76"/>
              <w:rPr>
                <w:rFonts w:ascii="Arial" w:hAnsi="Arial" w:eastAsia="Calibri" w:cs="Arial"/>
                <w:bCs/>
              </w:rPr>
            </w:pPr>
            <w:r>
              <w:rPr>
                <w:rFonts w:cs="Arial" w:ascii="Arial" w:hAnsi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Calibri" w:cs="Arial"/>
                <w:bCs/>
              </w:rPr>
            </w:pPr>
            <w:r>
              <w:rPr>
                <w:rFonts w:cs="Arial" w:ascii="Arial" w:hAnsi="Arial"/>
                <w:bCs/>
              </w:rPr>
              <w:t>0,0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-5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eastAsia="Calibri" w:cs="Arial"/>
                <w:bCs/>
              </w:rPr>
            </w:pPr>
            <w:r>
              <w:rPr>
                <w:rFonts w:eastAsia="Calibri" w:cs="Arial" w:ascii="Arial" w:hAnsi="Arial"/>
                <w:bCs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pacing w:lineRule="auto" w:line="276"/>
              <w:rPr>
                <w:rFonts w:ascii="Arial" w:hAnsi="Arial" w:eastAsia="Calibri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Calibri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</w:t>
            </w:r>
            <w:bookmarkStart w:id="0" w:name="_GoBack"/>
            <w:bookmarkEnd w:id="0"/>
            <w:r>
              <w:rPr>
                <w:rFonts w:cs="Arial" w:ascii="Arial" w:hAnsi="Arial"/>
                <w:b/>
                <w:bCs/>
              </w:rPr>
              <w:t>,0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76"/>
              <w:rPr>
                <w:rFonts w:ascii="Arial" w:hAnsi="Arial" w:eastAsia="Calibri" w:cs="Arial"/>
                <w:b/>
                <w:b/>
                <w:bCs/>
              </w:rPr>
            </w:pPr>
            <w:r>
              <w:rPr>
                <w:rFonts w:eastAsia="Calibri" w:cs="Arial" w:ascii="Arial" w:hAnsi="Arial"/>
                <w:b/>
                <w:bCs/>
              </w:rPr>
            </w:r>
          </w:p>
        </w:tc>
      </w:tr>
    </w:tbl>
    <w:p>
      <w:pPr>
        <w:pStyle w:val="Normal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  <w:r>
        <w:br w:type="page"/>
      </w:r>
    </w:p>
    <w:p>
      <w:pPr>
        <w:pStyle w:val="Normal"/>
        <w:ind w:left="180" w:firstLine="180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tbl>
      <w:tblPr>
        <w:tblW w:w="10065" w:type="dxa"/>
        <w:jc w:val="left"/>
        <w:tblInd w:w="-709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5"/>
      </w:tblGrid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Приложение 5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 решению сельского Совета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</w:rPr>
              <w:t>Большерудкинского сельсовета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Шарангского муниципального района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</w:rPr>
              <w:t>"О бюджете поселения на 2018 год"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</w:tbl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  <w:sz w:val="32"/>
          <w:szCs w:val="3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на 2018 год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</w:r>
    </w:p>
    <w:p>
      <w:pPr>
        <w:pStyle w:val="Normal"/>
        <w:overflowPunct w:val="false"/>
        <w:autoSpaceDE w:val="false"/>
        <w:jc w:val="right"/>
        <w:textAlignment w:val="baseline"/>
        <w:rPr>
          <w:rFonts w:cs="Arial"/>
        </w:rPr>
      </w:pPr>
      <w:r>
        <w:rPr>
          <w:rFonts w:cs="Arial" w:ascii="Arial" w:hAnsi="Arial"/>
          <w:kern w:val="2"/>
        </w:rPr>
        <w:t>тыс. руб.</w:t>
      </w:r>
    </w:p>
    <w:tbl>
      <w:tblPr>
        <w:tblW w:w="9229" w:type="dxa"/>
        <w:jc w:val="left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4672"/>
        <w:gridCol w:w="11"/>
        <w:gridCol w:w="1982"/>
        <w:gridCol w:w="853"/>
        <w:gridCol w:w="1711"/>
      </w:tblGrid>
      <w:tr>
        <w:trPr>
          <w:trHeight w:val="143" w:hRule="atLeast"/>
        </w:trPr>
        <w:tc>
          <w:tcPr>
            <w:tcW w:w="4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315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993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03 0 00 00000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</w:rPr>
              <w:t>03 0 02 00000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/>
            </w:pPr>
            <w:r>
              <w:rPr>
                <w:rFonts w:cs="Arial" w:ascii="Arial" w:hAnsi="Arial"/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06 0 00 00000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962,7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06 2 00 00000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962,7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962,7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962,7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1 319,9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1 319,9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1 175,4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144,0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14 0 00 00000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91,5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59,1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32,4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17 0 00 00000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24,0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 расходы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88 8 00 00000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5730,5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1159,2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814,6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339,1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5,5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651,6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651,6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120,6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120,6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lang w:eastAsia="en-US"/>
              </w:rPr>
            </w:pPr>
            <w:r>
              <w:rPr>
                <w:rFonts w:cs="Arial" w:ascii="Arial" w:hAnsi="Arial"/>
                <w:b/>
                <w:bCs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lang w:eastAsia="en-US"/>
              </w:rPr>
            </w:pPr>
            <w:r>
              <w:rPr>
                <w:rFonts w:cs="Arial" w:ascii="Arial" w:hAnsi="Arial"/>
                <w:b/>
                <w:bCs/>
              </w:rPr>
              <w:t>88 8 03 00000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lang w:eastAsia="en-US"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3155,3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3155,3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Иные межбюджетные трансферты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3155,3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Прочие непрограммные расходы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lang w:eastAsia="en-US"/>
              </w:rPr>
            </w:pPr>
            <w:r>
              <w:rPr>
                <w:rFonts w:cs="Arial" w:ascii="Arial" w:hAnsi="Arial"/>
                <w:b/>
              </w:rPr>
              <w:t>88 8 06 00000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lang w:eastAsia="en-US"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640,8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377,8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377,8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225,6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225,6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/>
              </w:rPr>
              <w:t>Всего расходов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8136,6</w:t>
            </w:r>
          </w:p>
        </w:tc>
      </w:tr>
    </w:tbl>
    <w:p>
      <w:pPr>
        <w:pStyle w:val="Normal"/>
        <w:rPr>
          <w:rFonts w:ascii="Arial" w:hAnsi="Arial" w:cs="Arial"/>
          <w:lang w:eastAsia="en-US"/>
        </w:rPr>
      </w:pPr>
      <w:r>
        <w:rPr>
          <w:rFonts w:cs="Arial" w:ascii="Arial" w:hAnsi="Arial"/>
          <w:lang w:eastAsia="en-US"/>
        </w:rPr>
      </w:r>
      <w:r>
        <w:br w:type="page"/>
      </w:r>
    </w:p>
    <w:p>
      <w:pPr>
        <w:pStyle w:val="Normal"/>
        <w:ind w:left="180" w:firstLine="180"/>
        <w:rPr>
          <w:rFonts w:ascii="Arial" w:hAnsi="Arial" w:cs="Arial"/>
          <w:lang w:eastAsia="en-US"/>
        </w:rPr>
      </w:pPr>
      <w:r>
        <w:rPr>
          <w:rFonts w:cs="Arial" w:ascii="Arial" w:hAnsi="Arial"/>
          <w:lang w:eastAsia="en-US"/>
        </w:rPr>
      </w:r>
    </w:p>
    <w:tbl>
      <w:tblPr>
        <w:tblW w:w="10812" w:type="dxa"/>
        <w:jc w:val="left"/>
        <w:tblInd w:w="-714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865"/>
        <w:gridCol w:w="28"/>
        <w:gridCol w:w="680"/>
        <w:gridCol w:w="600"/>
        <w:gridCol w:w="109"/>
        <w:gridCol w:w="838"/>
        <w:gridCol w:w="1297"/>
        <w:gridCol w:w="1154"/>
        <w:gridCol w:w="1559"/>
        <w:gridCol w:w="10"/>
      </w:tblGrid>
      <w:tr>
        <w:trPr>
          <w:trHeight w:val="255" w:hRule="atLeast"/>
        </w:trPr>
        <w:tc>
          <w:tcPr>
            <w:tcW w:w="10802" w:type="dxa"/>
            <w:gridSpan w:val="10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Приложение 6</w:t>
            </w:r>
          </w:p>
        </w:tc>
      </w:tr>
      <w:tr>
        <w:trPr>
          <w:trHeight w:val="255" w:hRule="atLeast"/>
        </w:trPr>
        <w:tc>
          <w:tcPr>
            <w:tcW w:w="10802" w:type="dxa"/>
            <w:gridSpan w:val="10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 решению сельского Совета</w:t>
            </w:r>
          </w:p>
        </w:tc>
      </w:tr>
      <w:tr>
        <w:trPr>
          <w:trHeight w:val="255" w:hRule="atLeast"/>
        </w:trPr>
        <w:tc>
          <w:tcPr>
            <w:tcW w:w="10802" w:type="dxa"/>
            <w:gridSpan w:val="10"/>
            <w:tcBorders/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</w:rPr>
              <w:t>Большерудкинского сельсовета</w:t>
            </w:r>
          </w:p>
        </w:tc>
      </w:tr>
      <w:tr>
        <w:trPr>
          <w:trHeight w:val="255" w:hRule="atLeast"/>
        </w:trPr>
        <w:tc>
          <w:tcPr>
            <w:tcW w:w="10802" w:type="dxa"/>
            <w:gridSpan w:val="10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Шарангского муниципального района</w:t>
            </w:r>
          </w:p>
        </w:tc>
      </w:tr>
      <w:tr>
        <w:trPr>
          <w:trHeight w:val="255" w:hRule="atLeast"/>
        </w:trPr>
        <w:tc>
          <w:tcPr>
            <w:tcW w:w="10802" w:type="dxa"/>
            <w:gridSpan w:val="10"/>
            <w:tcBorders/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</w:rPr>
              <w:t>"О бюджете поселения на 2018 год"</w:t>
            </w:r>
          </w:p>
        </w:tc>
      </w:tr>
      <w:tr>
        <w:trPr>
          <w:trHeight w:val="255" w:hRule="atLeast"/>
        </w:trPr>
        <w:tc>
          <w:tcPr>
            <w:tcW w:w="3672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93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280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947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451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559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55" w:hRule="atLeast"/>
        </w:trPr>
        <w:tc>
          <w:tcPr>
            <w:tcW w:w="10802" w:type="dxa"/>
            <w:gridSpan w:val="10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09" w:hRule="atLeast"/>
        </w:trPr>
        <w:tc>
          <w:tcPr>
            <w:tcW w:w="10802" w:type="dxa"/>
            <w:gridSpan w:val="10"/>
            <w:tcBorders/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Ведомственная структура расходов бюджета поселения на 2018 год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93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6237" w:type="dxa"/>
            <w:gridSpan w:val="7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55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5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8 136,6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1 941,4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1 814,8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«Экология Шарангского муниципального района на 2015-2017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4,0</w:t>
            </w:r>
          </w:p>
        </w:tc>
      </w:tr>
      <w:tr>
        <w:trPr>
          <w:trHeight w:val="61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</w:t>
            </w:r>
            <w:r>
              <w:rPr>
                <w:rFonts w:cs="Arial" w:ascii="Arial" w:hAnsi="Arial"/>
                <w:bCs/>
              </w:rPr>
              <w:t>4,0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17 3 09 20401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17 3 09 20401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4,0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1 810,8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1 810,8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1 810,8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1 159,2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814,6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339,1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bookmarkStart w:id="1" w:name="RANGE!C22"/>
            <w:bookmarkStart w:id="2" w:name="RANGE!C22:F23"/>
            <w:bookmarkEnd w:id="1"/>
            <w:bookmarkEnd w:id="2"/>
            <w:r>
              <w:rPr>
                <w:rFonts w:cs="Arial" w:ascii="Arial" w:hAnsi="Arial"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651,6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651,6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Резервные фонды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123,6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123,6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123,6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120,6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120,6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120,6</w:t>
            </w:r>
          </w:p>
        </w:tc>
      </w:tr>
      <w:tr>
        <w:trPr>
          <w:trHeight w:val="630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Национальная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91,5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91,5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91,5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91,5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91,5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32,4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1 319,9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16,5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" w:hAnsi="Arial"/>
                <w:b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16,5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1 303,4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/>
            </w:pPr>
            <w:r>
              <w:rPr>
                <w:rFonts w:cs="Arial" w:ascii="Arial" w:hAnsi="Arial"/>
                <w:b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1 303,4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1 303,4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1 175,4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127,5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970,7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Общеэкономические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962,7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962,7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962,7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962,7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649,8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623,4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2015-2017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свалки ТБО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603,4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603,4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603,4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377,8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377,8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225,6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225,6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3155,3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135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5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8136,6</w:t>
            </w:r>
          </w:p>
        </w:tc>
      </w:tr>
    </w:tbl>
    <w:p>
      <w:pPr>
        <w:pStyle w:val="Normal"/>
        <w:tabs>
          <w:tab w:val="left" w:pos="5940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tabs>
          <w:tab w:val="left" w:pos="5940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10802" w:type="dxa"/>
        <w:jc w:val="left"/>
        <w:tblInd w:w="-709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2"/>
      </w:tblGrid>
      <w:tr>
        <w:trPr>
          <w:trHeight w:val="255" w:hRule="atLeast"/>
        </w:trPr>
        <w:tc>
          <w:tcPr>
            <w:tcW w:w="10802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Приложение 7</w:t>
            </w:r>
          </w:p>
        </w:tc>
      </w:tr>
      <w:tr>
        <w:trPr>
          <w:trHeight w:val="255" w:hRule="atLeast"/>
        </w:trPr>
        <w:tc>
          <w:tcPr>
            <w:tcW w:w="10802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 решению сельского Совета</w:t>
            </w:r>
          </w:p>
        </w:tc>
      </w:tr>
      <w:tr>
        <w:trPr>
          <w:trHeight w:val="255" w:hRule="atLeast"/>
        </w:trPr>
        <w:tc>
          <w:tcPr>
            <w:tcW w:w="10802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Большерудкинского сельсовета</w:t>
            </w:r>
          </w:p>
        </w:tc>
      </w:tr>
      <w:tr>
        <w:trPr>
          <w:trHeight w:val="255" w:hRule="atLeast"/>
        </w:trPr>
        <w:tc>
          <w:tcPr>
            <w:tcW w:w="10802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Шарангского муниципального района</w:t>
            </w:r>
          </w:p>
        </w:tc>
      </w:tr>
      <w:tr>
        <w:trPr>
          <w:trHeight w:val="255" w:hRule="atLeast"/>
        </w:trPr>
        <w:tc>
          <w:tcPr>
            <w:tcW w:w="10802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"О бюджете поселения на 2018 год"</w:t>
            </w:r>
          </w:p>
        </w:tc>
      </w:tr>
    </w:tbl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/>
        <w:t>Распределение бюджетных ассигнований по разделам, подразделам, группам видов расходов классификации расходов бюджета поселения на 2018 год</w:t>
      </w:r>
    </w:p>
    <w:tbl>
      <w:tblPr>
        <w:tblW w:w="9933" w:type="dxa"/>
        <w:jc w:val="left"/>
        <w:tblInd w:w="-147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454"/>
        <w:gridCol w:w="964"/>
        <w:gridCol w:w="1701"/>
        <w:gridCol w:w="2013"/>
        <w:gridCol w:w="1247"/>
        <w:gridCol w:w="10"/>
      </w:tblGrid>
      <w:tr>
        <w:trPr>
          <w:trHeight w:val="303" w:hRule="atLeast"/>
        </w:trPr>
        <w:tc>
          <w:tcPr>
            <w:tcW w:w="3544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454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25" w:type="dxa"/>
            <w:gridSpan w:val="4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тыс. руб.</w:t>
            </w:r>
          </w:p>
        </w:tc>
      </w:tr>
      <w:tr>
        <w:trPr>
          <w:trHeight w:val="264" w:hRule="atLeast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5132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2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379" w:hRule="atLeast"/>
        </w:trPr>
        <w:tc>
          <w:tcPr>
            <w:tcW w:w="35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25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</w:t>
            </w:r>
          </w:p>
        </w:tc>
      </w:tr>
      <w:tr>
        <w:trPr>
          <w:trHeight w:val="59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1941,4</w:t>
            </w:r>
          </w:p>
        </w:tc>
      </w:tr>
      <w:tr>
        <w:trPr>
          <w:trHeight w:val="244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1814,8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1466,2</w:t>
            </w:r>
          </w:p>
        </w:tc>
      </w:tr>
      <w:tr>
        <w:trPr>
          <w:trHeight w:val="113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343,1</w:t>
            </w:r>
          </w:p>
        </w:tc>
      </w:tr>
      <w:tr>
        <w:trPr>
          <w:trHeight w:val="70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5,5</w:t>
            </w:r>
          </w:p>
        </w:tc>
      </w:tr>
      <w:tr>
        <w:trPr>
          <w:trHeight w:val="70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Резервные фонды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3,0</w:t>
            </w:r>
          </w:p>
        </w:tc>
      </w:tr>
      <w:tr>
        <w:trPr>
          <w:trHeight w:val="70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84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123,6</w:t>
            </w:r>
          </w:p>
        </w:tc>
      </w:tr>
      <w:tr>
        <w:trPr>
          <w:trHeight w:val="287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120,6</w:t>
            </w:r>
          </w:p>
        </w:tc>
      </w:tr>
      <w:tr>
        <w:trPr>
          <w:trHeight w:val="64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before="0" w:after="0"/>
              <w:contextualSpacing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Национальная оборона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91,5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Мобилизационная и вневойсковая подготовка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91,5</w:t>
            </w:r>
          </w:p>
        </w:tc>
      </w:tr>
      <w:tr>
        <w:trPr>
          <w:trHeight w:val="338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59,1</w:t>
            </w:r>
          </w:p>
        </w:tc>
      </w:tr>
      <w:tr>
        <w:trPr>
          <w:trHeight w:val="138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32,4</w:t>
            </w:r>
          </w:p>
        </w:tc>
      </w:tr>
      <w:tr>
        <w:trPr>
          <w:trHeight w:val="95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1 319,9</w:t>
            </w:r>
          </w:p>
        </w:tc>
      </w:tr>
      <w:tr>
        <w:trPr>
          <w:trHeight w:val="612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16,5</w:t>
            </w:r>
          </w:p>
        </w:tc>
      </w:tr>
      <w:tr>
        <w:trPr>
          <w:trHeight w:val="40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16,5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1303,4</w:t>
            </w:r>
          </w:p>
        </w:tc>
      </w:tr>
      <w:tr>
        <w:trPr>
          <w:trHeight w:val="40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contextualSpacing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1175,4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127,5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0,5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970,7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Общеэкономические вопросы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962,7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962,7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649,8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Жилищное хозяйство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26,4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26,4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623,4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623,4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межбюджетные трансферты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3155,3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8136,6</w:t>
            </w:r>
          </w:p>
        </w:tc>
      </w:tr>
    </w:tbl>
    <w:p>
      <w:pPr>
        <w:pStyle w:val="Normal"/>
        <w:ind w:firstLine="180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Arial" w:hAnsi="Arial" w:eastAsia="Times New Roman" w:cs="Arial"/>
    </w:rPr>
  </w:style>
  <w:style w:type="character" w:styleId="WW8Num2z1">
    <w:name w:val="WW8Num2z1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Arial" w:hAnsi="Arial" w:eastAsia="Times New Roman" w:cs="Arial"/>
    </w:rPr>
  </w:style>
  <w:style w:type="character" w:styleId="WW8Num4z1">
    <w:name w:val="WW8Num4z1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b w:val="false"/>
    </w:rPr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Style13">
    <w:name w:val="Основной шрифт абзаца"/>
    <w:qFormat/>
    <w:rPr/>
  </w:style>
  <w:style w:type="character" w:styleId="Style14">
    <w:name w:val="Интернет-ссылка"/>
    <w:basedOn w:val="Style13"/>
    <w:rPr>
      <w:color w:val="0000FF"/>
      <w:u w:val="single"/>
    </w:rPr>
  </w:style>
  <w:style w:type="character" w:styleId="Style15">
    <w:name w:val="Верхний колонтитул Знак"/>
    <w:basedOn w:val="Style13"/>
    <w:qFormat/>
    <w:rPr>
      <w:sz w:val="24"/>
      <w:szCs w:val="24"/>
    </w:rPr>
  </w:style>
  <w:style w:type="character" w:styleId="Style16">
    <w:name w:val="Нижний колонтитул Знак"/>
    <w:basedOn w:val="Style13"/>
    <w:qFormat/>
    <w:rPr>
      <w:sz w:val="24"/>
      <w:szCs w:val="24"/>
    </w:rPr>
  </w:style>
  <w:style w:type="character" w:styleId="Style17">
    <w:name w:val="Основной текст Знак"/>
    <w:basedOn w:val="Style13"/>
    <w:qFormat/>
    <w:rPr>
      <w:b/>
      <w:bCs/>
      <w:sz w:val="28"/>
      <w:szCs w:val="24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jc w:val="center"/>
    </w:pPr>
    <w:rPr>
      <w:b/>
      <w:bCs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4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5">
    <w:name w:val="Содержимое таблицы"/>
    <w:basedOn w:val="Normal"/>
    <w:qFormat/>
    <w:pPr>
      <w:suppressLineNumbers/>
    </w:pPr>
    <w:rPr/>
  </w:style>
  <w:style w:type="paragraph" w:styleId="Style26">
    <w:name w:val="Заголовок таблицы"/>
    <w:basedOn w:val="Style25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2548</TotalTime>
  <Application>LibreOffice/5.4.3.2$Windows_x86 LibreOffice_project/92a7159f7e4af62137622921e809f8546db437e5</Application>
  <Pages>33</Pages>
  <Words>788</Words>
  <Characters>4566</Characters>
  <CharactersWithSpaces>5000</CharactersWithSpaces>
  <Paragraphs>356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2009-11-17T10:42:00Z</dcterms:created>
  <dc:creator>Голубева</dc:creator>
  <dc:description/>
  <dc:language>ru-RU</dc:language>
  <cp:lastModifiedBy>Специалист</cp:lastModifiedBy>
  <cp:lastPrinted>2017-11-20T08:02:00Z</cp:lastPrinted>
  <dcterms:modified xsi:type="dcterms:W3CDTF">2017-12-26T14:14:00Z</dcterms:modified>
  <cp:revision>102</cp:revision>
  <dc:subject/>
  <dc:title>Большеустинский сельский совет</dc:title>
</cp:coreProperties>
</file>