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5"/>
        <w:tblW w:w="9924" w:type="dxa"/>
        <w:tblInd w:w="-318" w:type="dxa"/>
        <w:tblLook w:val="04A0" w:firstRow="1" w:lastRow="0" w:firstColumn="1" w:lastColumn="0" w:noHBand="0" w:noVBand="1"/>
      </w:tblPr>
      <w:tblGrid>
        <w:gridCol w:w="2411"/>
        <w:gridCol w:w="7513"/>
      </w:tblGrid>
      <w:tr w:rsidR="00EC669F" w:rsidTr="009112F1">
        <w:trPr>
          <w:trHeight w:val="806"/>
        </w:trPr>
        <w:tc>
          <w:tcPr>
            <w:tcW w:w="9924" w:type="dxa"/>
            <w:gridSpan w:val="2"/>
            <w:vAlign w:val="center"/>
          </w:tcPr>
          <w:p w:rsidR="00EC669F" w:rsidRDefault="00EC669F" w:rsidP="009112F1">
            <w:pPr>
              <w:jc w:val="center"/>
              <w:rPr>
                <w:b/>
                <w:sz w:val="32"/>
              </w:rPr>
            </w:pPr>
            <w:r>
              <w:rPr>
                <w:b/>
              </w:rPr>
              <w:t>Информация</w:t>
            </w:r>
            <w:r w:rsidRPr="00CE2ABB">
              <w:rPr>
                <w:b/>
              </w:rPr>
              <w:t xml:space="preserve"> о </w:t>
            </w:r>
            <w:r>
              <w:rPr>
                <w:b/>
              </w:rPr>
              <w:t>проведенном контрольном</w:t>
            </w:r>
            <w:r w:rsidRPr="00CE2ABB">
              <w:rPr>
                <w:b/>
              </w:rPr>
              <w:t xml:space="preserve"> мероприятии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Объект контроля</w:t>
            </w:r>
          </w:p>
        </w:tc>
        <w:tc>
          <w:tcPr>
            <w:tcW w:w="7513" w:type="dxa"/>
            <w:vAlign w:val="center"/>
          </w:tcPr>
          <w:p w:rsidR="00EC669F" w:rsidRPr="00EC669F" w:rsidRDefault="00EC669F" w:rsidP="008B5D43">
            <w:pPr>
              <w:rPr>
                <w:sz w:val="24"/>
                <w:szCs w:val="24"/>
              </w:rPr>
            </w:pPr>
            <w:r w:rsidRPr="00EC669F">
              <w:rPr>
                <w:sz w:val="24"/>
                <w:szCs w:val="24"/>
              </w:rPr>
              <w:t xml:space="preserve">Администрация </w:t>
            </w:r>
            <w:proofErr w:type="spellStart"/>
            <w:r w:rsidR="008B5D43">
              <w:rPr>
                <w:sz w:val="24"/>
                <w:szCs w:val="24"/>
              </w:rPr>
              <w:t>Черномужского</w:t>
            </w:r>
            <w:proofErr w:type="spellEnd"/>
            <w:r w:rsidRPr="00EC669F">
              <w:rPr>
                <w:sz w:val="24"/>
                <w:szCs w:val="24"/>
              </w:rPr>
              <w:t xml:space="preserve"> сельсовета Шарангского муниципального района Нижегородской области</w:t>
            </w:r>
          </w:p>
        </w:tc>
      </w:tr>
      <w:tr w:rsidR="00EC669F" w:rsidTr="00EC669F">
        <w:trPr>
          <w:trHeight w:val="886"/>
        </w:trPr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Наименование контрольного  мероприятия</w:t>
            </w:r>
          </w:p>
        </w:tc>
        <w:tc>
          <w:tcPr>
            <w:tcW w:w="7513" w:type="dxa"/>
            <w:vAlign w:val="center"/>
          </w:tcPr>
          <w:p w:rsidR="00EC669F" w:rsidRPr="003548C7" w:rsidRDefault="00EC669F" w:rsidP="008B5D43">
            <w:pPr>
              <w:pStyle w:val="aa"/>
              <w:shd w:val="clear" w:color="auto" w:fill="FFFFFF" w:themeFill="background1"/>
              <w:rPr>
                <w:sz w:val="24"/>
              </w:rPr>
            </w:pPr>
            <w:r w:rsidRPr="00EC669F">
              <w:rPr>
                <w:sz w:val="24"/>
                <w:szCs w:val="24"/>
              </w:rPr>
              <w:t xml:space="preserve">Камеральная </w:t>
            </w:r>
            <w:r w:rsidR="008B5D43">
              <w:rPr>
                <w:sz w:val="24"/>
                <w:szCs w:val="24"/>
              </w:rPr>
              <w:t xml:space="preserve">  проверка    соблюдения  бюджетного законодательства и иных нормативных правовых актов, регулирующих  бюджетные правоотношения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Основание для проведения  контрольного мероприятия</w:t>
            </w:r>
          </w:p>
        </w:tc>
        <w:tc>
          <w:tcPr>
            <w:tcW w:w="7513" w:type="dxa"/>
            <w:vAlign w:val="center"/>
          </w:tcPr>
          <w:p w:rsidR="00EC669F" w:rsidRPr="00120FE0" w:rsidRDefault="00EC669F" w:rsidP="00EC66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120FE0">
              <w:rPr>
                <w:sz w:val="24"/>
                <w:szCs w:val="24"/>
              </w:rPr>
              <w:t xml:space="preserve">лан контрольной </w:t>
            </w:r>
            <w:r>
              <w:rPr>
                <w:sz w:val="24"/>
                <w:szCs w:val="24"/>
              </w:rPr>
              <w:t xml:space="preserve">деятельности </w:t>
            </w:r>
            <w:r w:rsidRPr="00120FE0">
              <w:rPr>
                <w:sz w:val="24"/>
                <w:szCs w:val="24"/>
              </w:rPr>
              <w:t>на 20</w:t>
            </w:r>
            <w:r>
              <w:rPr>
                <w:sz w:val="24"/>
                <w:szCs w:val="24"/>
              </w:rPr>
              <w:t>22</w:t>
            </w:r>
            <w:r w:rsidRPr="00120FE0">
              <w:rPr>
                <w:sz w:val="24"/>
                <w:szCs w:val="24"/>
              </w:rPr>
              <w:t xml:space="preserve"> год</w:t>
            </w:r>
          </w:p>
        </w:tc>
      </w:tr>
      <w:tr w:rsidR="00EC669F" w:rsidTr="00EC669F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Сроки проведения контрольного мероприятия</w:t>
            </w:r>
          </w:p>
        </w:tc>
        <w:tc>
          <w:tcPr>
            <w:tcW w:w="7513" w:type="dxa"/>
            <w:vAlign w:val="center"/>
          </w:tcPr>
          <w:p w:rsidR="00EC669F" w:rsidRPr="009C2A66" w:rsidRDefault="008B5D43" w:rsidP="008B5D43">
            <w:pPr>
              <w:pStyle w:val="aa"/>
              <w:shd w:val="clear" w:color="auto" w:fill="FFFFFF" w:themeFill="background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EC669F" w:rsidRPr="009C2A66">
              <w:rPr>
                <w:sz w:val="24"/>
                <w:szCs w:val="24"/>
              </w:rPr>
              <w:t xml:space="preserve">.04.2022 года по </w:t>
            </w:r>
            <w:r>
              <w:rPr>
                <w:sz w:val="24"/>
                <w:szCs w:val="24"/>
              </w:rPr>
              <w:t>20.05</w:t>
            </w:r>
            <w:r w:rsidR="00EC669F" w:rsidRPr="009C2A66">
              <w:rPr>
                <w:sz w:val="24"/>
                <w:szCs w:val="24"/>
              </w:rPr>
              <w:t>.2022 года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Проверенный период</w:t>
            </w:r>
          </w:p>
        </w:tc>
        <w:tc>
          <w:tcPr>
            <w:tcW w:w="7513" w:type="dxa"/>
            <w:vAlign w:val="center"/>
          </w:tcPr>
          <w:p w:rsidR="00EC669F" w:rsidRPr="00CE2ABB" w:rsidRDefault="008B5D43" w:rsidP="008B5D43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С мая 2019 года по  декабрь 2020</w:t>
            </w:r>
            <w:r w:rsidR="00EC669F">
              <w:rPr>
                <w:sz w:val="24"/>
              </w:rPr>
              <w:t xml:space="preserve"> года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Выявленные  нарушения</w:t>
            </w:r>
          </w:p>
        </w:tc>
        <w:tc>
          <w:tcPr>
            <w:tcW w:w="7513" w:type="dxa"/>
            <w:vAlign w:val="center"/>
          </w:tcPr>
          <w:p w:rsidR="00EC669F" w:rsidRPr="00FD6EFA" w:rsidRDefault="00FD6EFA" w:rsidP="00A743B9">
            <w:pPr>
              <w:pStyle w:val="ac"/>
              <w:numPr>
                <w:ilvl w:val="0"/>
                <w:numId w:val="1"/>
              </w:numPr>
              <w:tabs>
                <w:tab w:val="left" w:pos="317"/>
              </w:tabs>
              <w:ind w:left="34" w:firstLine="0"/>
              <w:rPr>
                <w:rFonts w:ascii="Times New Roman" w:hAnsi="Times New Roman" w:cs="Times New Roman"/>
                <w:sz w:val="24"/>
              </w:rPr>
            </w:pPr>
            <w:r w:rsidRPr="00FD6EFA">
              <w:rPr>
                <w:rFonts w:ascii="Times New Roman" w:hAnsi="Times New Roman" w:cs="Times New Roman"/>
                <w:sz w:val="24"/>
                <w:szCs w:val="28"/>
              </w:rPr>
              <w:t>Не соблюдение  требований приказа Минфина России от 30.03.2015 № 52н (ред. от 15.06.2020) «Об утверждении форм первичных учетных документов и регистров бухгалтерского учета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…» </w:t>
            </w:r>
            <w:r w:rsidRPr="00FD6EF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F6A8A">
              <w:rPr>
                <w:rFonts w:ascii="Times New Roman" w:hAnsi="Times New Roman" w:cs="Times New Roman"/>
                <w:sz w:val="24"/>
              </w:rPr>
              <w:t xml:space="preserve"> при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F6A8A">
              <w:rPr>
                <w:rFonts w:ascii="Times New Roman" w:hAnsi="Times New Roman" w:cs="Times New Roman"/>
                <w:sz w:val="24"/>
              </w:rPr>
              <w:t>формировании регистров бухгалтерского учета.</w:t>
            </w:r>
          </w:p>
          <w:p w:rsidR="00FD6EFA" w:rsidRPr="009B0A93" w:rsidRDefault="00FD6EFA" w:rsidP="00A743B9">
            <w:pPr>
              <w:pStyle w:val="ac"/>
              <w:numPr>
                <w:ilvl w:val="0"/>
                <w:numId w:val="1"/>
              </w:numPr>
              <w:tabs>
                <w:tab w:val="left" w:pos="317"/>
              </w:tabs>
              <w:ind w:left="34" w:firstLine="0"/>
              <w:rPr>
                <w:sz w:val="24"/>
                <w:szCs w:val="24"/>
              </w:rPr>
            </w:pPr>
            <w:r w:rsidRPr="00FD6EFA">
              <w:rPr>
                <w:rFonts w:ascii="Times New Roman" w:hAnsi="Times New Roman" w:cs="Times New Roman"/>
                <w:sz w:val="24"/>
                <w:szCs w:val="28"/>
              </w:rPr>
              <w:t xml:space="preserve">Нарушения  в части  начисления   заработной платы 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  представление/ срок рассмотрения</w:t>
            </w:r>
          </w:p>
        </w:tc>
        <w:tc>
          <w:tcPr>
            <w:tcW w:w="7513" w:type="dxa"/>
            <w:vAlign w:val="center"/>
          </w:tcPr>
          <w:p w:rsidR="00EC669F" w:rsidRPr="001A7E3B" w:rsidRDefault="00EC669F" w:rsidP="009112F1">
            <w:pPr>
              <w:rPr>
                <w:sz w:val="24"/>
                <w:szCs w:val="24"/>
              </w:rPr>
            </w:pPr>
            <w:r w:rsidRPr="001A7E3B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r w:rsidRPr="001A7E3B">
              <w:rPr>
                <w:sz w:val="24"/>
                <w:szCs w:val="24"/>
              </w:rPr>
              <w:t>Рассмотреть информацию о выявленных нарушениях законодательства.</w:t>
            </w:r>
          </w:p>
          <w:p w:rsidR="00EC669F" w:rsidRPr="006A5C70" w:rsidRDefault="00EC669F" w:rsidP="009112F1">
            <w:pPr>
              <w:rPr>
                <w:sz w:val="24"/>
                <w:szCs w:val="24"/>
              </w:rPr>
            </w:pPr>
            <w:r w:rsidRPr="006A5C70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 xml:space="preserve"> Разработать план мероприятий, направленный на преду</w:t>
            </w:r>
            <w:bookmarkStart w:id="0" w:name="_GoBack"/>
            <w:bookmarkEnd w:id="0"/>
            <w:r>
              <w:rPr>
                <w:sz w:val="24"/>
                <w:szCs w:val="24"/>
              </w:rPr>
              <w:t>преждение  нарушений законодательства</w:t>
            </w:r>
            <w:r w:rsidRPr="006A5C70">
              <w:rPr>
                <w:sz w:val="24"/>
                <w:szCs w:val="24"/>
              </w:rPr>
              <w:t>.</w:t>
            </w:r>
          </w:p>
          <w:p w:rsidR="00EC669F" w:rsidRDefault="00EC669F" w:rsidP="009112F1">
            <w:pPr>
              <w:jc w:val="both"/>
              <w:rPr>
                <w:sz w:val="22"/>
                <w:szCs w:val="24"/>
              </w:rPr>
            </w:pPr>
          </w:p>
          <w:p w:rsidR="00EC669F" w:rsidRPr="009B0A93" w:rsidRDefault="00EC669F" w:rsidP="008B5D4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</w:t>
            </w:r>
            <w:r w:rsidRPr="00777A69">
              <w:rPr>
                <w:sz w:val="24"/>
                <w:szCs w:val="24"/>
              </w:rPr>
              <w:t xml:space="preserve"> до </w:t>
            </w:r>
            <w:r w:rsidR="008B5D43">
              <w:rPr>
                <w:sz w:val="24"/>
                <w:szCs w:val="24"/>
              </w:rPr>
              <w:t>15 июля</w:t>
            </w:r>
            <w:r>
              <w:rPr>
                <w:sz w:val="24"/>
                <w:szCs w:val="24"/>
              </w:rPr>
              <w:t xml:space="preserve"> 202</w:t>
            </w:r>
            <w:r w:rsidR="009C2A66">
              <w:rPr>
                <w:sz w:val="24"/>
                <w:szCs w:val="24"/>
              </w:rPr>
              <w:t>2</w:t>
            </w:r>
            <w:r w:rsidRPr="00777A69">
              <w:rPr>
                <w:sz w:val="24"/>
                <w:szCs w:val="24"/>
              </w:rPr>
              <w:t xml:space="preserve"> года.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  предписание/срок исполнения</w:t>
            </w:r>
          </w:p>
        </w:tc>
        <w:tc>
          <w:tcPr>
            <w:tcW w:w="7513" w:type="dxa"/>
            <w:vAlign w:val="center"/>
          </w:tcPr>
          <w:p w:rsidR="00EC669F" w:rsidRDefault="00EC669F" w:rsidP="009112F1">
            <w:r w:rsidRPr="006A5C70">
              <w:rPr>
                <w:sz w:val="24"/>
              </w:rPr>
              <w:t>Не выносилось</w:t>
            </w:r>
          </w:p>
        </w:tc>
      </w:tr>
    </w:tbl>
    <w:p w:rsidR="00481531" w:rsidRDefault="00481531"/>
    <w:sectPr w:rsidR="004815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64BF6"/>
    <w:multiLevelType w:val="hybridMultilevel"/>
    <w:tmpl w:val="426453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F8A"/>
    <w:rsid w:val="002D766A"/>
    <w:rsid w:val="002F6A8A"/>
    <w:rsid w:val="00366A2E"/>
    <w:rsid w:val="00481531"/>
    <w:rsid w:val="007D6F8A"/>
    <w:rsid w:val="008B5D43"/>
    <w:rsid w:val="009C2A66"/>
    <w:rsid w:val="00A743B9"/>
    <w:rsid w:val="00EC669F"/>
    <w:rsid w:val="00FD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366A2E"/>
    <w:pPr>
      <w:pBdr>
        <w:bottom w:val="thinThickSmallGap" w:sz="12" w:space="1" w:color="943634" w:themeColor="accent2" w:themeShade="BF"/>
      </w:pBdr>
      <w:spacing w:before="400" w:after="200" w:line="252" w:lineRule="auto"/>
      <w:jc w:val="center"/>
      <w:outlineLvl w:val="0"/>
    </w:pPr>
    <w:rPr>
      <w:rFonts w:asciiTheme="majorHAnsi" w:hAnsiTheme="majorHAnsi" w:cstheme="majorBidi"/>
      <w:caps/>
      <w:color w:val="632423" w:themeColor="accent2" w:themeShade="80"/>
      <w:spacing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6A2E"/>
    <w:pPr>
      <w:pBdr>
        <w:bottom w:val="single" w:sz="4" w:space="1" w:color="622423" w:themeColor="accent2" w:themeShade="7F"/>
      </w:pBdr>
      <w:spacing w:before="400" w:after="200" w:line="252" w:lineRule="auto"/>
      <w:jc w:val="center"/>
      <w:outlineLvl w:val="1"/>
    </w:pPr>
    <w:rPr>
      <w:rFonts w:asciiTheme="majorHAnsi" w:hAnsiTheme="majorHAnsi" w:cstheme="majorBidi"/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6A2E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 w:line="252" w:lineRule="auto"/>
      <w:jc w:val="center"/>
      <w:outlineLvl w:val="2"/>
    </w:pPr>
    <w:rPr>
      <w:rFonts w:asciiTheme="majorHAnsi" w:hAnsiTheme="majorHAnsi" w:cstheme="majorBidi"/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6A2E"/>
    <w:pPr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6A2E"/>
    <w:pPr>
      <w:spacing w:before="320" w:after="120" w:line="252" w:lineRule="auto"/>
      <w:jc w:val="center"/>
      <w:outlineLvl w:val="4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6A2E"/>
    <w:pPr>
      <w:spacing w:after="120" w:line="252" w:lineRule="auto"/>
      <w:jc w:val="center"/>
      <w:outlineLvl w:val="5"/>
    </w:pPr>
    <w:rPr>
      <w:rFonts w:asciiTheme="majorHAnsi" w:hAnsiTheme="majorHAnsi" w:cstheme="majorBidi"/>
      <w:caps/>
      <w:color w:val="943634" w:themeColor="accent2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6A2E"/>
    <w:pPr>
      <w:spacing w:after="120" w:line="252" w:lineRule="auto"/>
      <w:jc w:val="center"/>
      <w:outlineLvl w:val="6"/>
    </w:pPr>
    <w:rPr>
      <w:rFonts w:asciiTheme="majorHAnsi" w:hAnsiTheme="majorHAnsi" w:cstheme="majorBidi"/>
      <w:i/>
      <w:iCs/>
      <w:caps/>
      <w:color w:val="943634" w:themeColor="accent2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6A2E"/>
    <w:pPr>
      <w:spacing w:after="120" w:line="252" w:lineRule="auto"/>
      <w:jc w:val="center"/>
      <w:outlineLvl w:val="7"/>
    </w:pPr>
    <w:rPr>
      <w:rFonts w:asciiTheme="majorHAnsi" w:hAnsiTheme="majorHAnsi" w:cstheme="majorBidi"/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6A2E"/>
    <w:pPr>
      <w:spacing w:after="120" w:line="252" w:lineRule="auto"/>
      <w:jc w:val="center"/>
      <w:outlineLvl w:val="8"/>
    </w:pPr>
    <w:rPr>
      <w:rFonts w:asciiTheme="majorHAnsi" w:hAnsiTheme="majorHAnsi" w:cstheme="majorBidi"/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A2E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66A2E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66A2E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66A2E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66A2E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66A2E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66A2E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66A2E"/>
    <w:pPr>
      <w:spacing w:after="200" w:line="252" w:lineRule="auto"/>
    </w:pPr>
    <w:rPr>
      <w:rFonts w:asciiTheme="majorHAnsi" w:hAnsiTheme="majorHAnsi" w:cstheme="majorBidi"/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66A2E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rFonts w:asciiTheme="majorHAnsi" w:hAnsiTheme="majorHAnsi" w:cstheme="majorBidi"/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66A2E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66A2E"/>
    <w:pPr>
      <w:spacing w:after="560"/>
      <w:jc w:val="center"/>
    </w:pPr>
    <w:rPr>
      <w:rFonts w:asciiTheme="majorHAnsi" w:hAnsiTheme="majorHAnsi" w:cstheme="majorBidi"/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66A2E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66A2E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66A2E"/>
    <w:rPr>
      <w:caps/>
      <w:spacing w:val="5"/>
      <w:sz w:val="20"/>
      <w:szCs w:val="20"/>
    </w:rPr>
  </w:style>
  <w:style w:type="paragraph" w:styleId="aa">
    <w:name w:val="No Spacing"/>
    <w:aliases w:val="Свой стиль"/>
    <w:basedOn w:val="a"/>
    <w:link w:val="ab"/>
    <w:uiPriority w:val="1"/>
    <w:qFormat/>
    <w:rsid w:val="00366A2E"/>
    <w:rPr>
      <w:rFonts w:asciiTheme="majorHAnsi" w:hAnsiTheme="majorHAnsi" w:cstheme="majorBidi"/>
      <w:sz w:val="22"/>
      <w:szCs w:val="22"/>
    </w:rPr>
  </w:style>
  <w:style w:type="character" w:customStyle="1" w:styleId="ab">
    <w:name w:val="Без интервала Знак"/>
    <w:aliases w:val="Свой стиль Знак"/>
    <w:basedOn w:val="a0"/>
    <w:link w:val="aa"/>
    <w:uiPriority w:val="1"/>
    <w:rsid w:val="00366A2E"/>
  </w:style>
  <w:style w:type="paragraph" w:styleId="ac">
    <w:name w:val="List Paragraph"/>
    <w:basedOn w:val="a"/>
    <w:uiPriority w:val="34"/>
    <w:qFormat/>
    <w:rsid w:val="00366A2E"/>
    <w:pPr>
      <w:spacing w:after="200" w:line="252" w:lineRule="auto"/>
      <w:ind w:left="720"/>
      <w:contextualSpacing/>
    </w:pPr>
    <w:rPr>
      <w:rFonts w:asciiTheme="majorHAnsi" w:hAnsiTheme="majorHAnsi" w:cstheme="majorBidi"/>
      <w:sz w:val="22"/>
      <w:szCs w:val="22"/>
    </w:rPr>
  </w:style>
  <w:style w:type="paragraph" w:styleId="21">
    <w:name w:val="Quote"/>
    <w:basedOn w:val="a"/>
    <w:next w:val="a"/>
    <w:link w:val="22"/>
    <w:uiPriority w:val="29"/>
    <w:qFormat/>
    <w:rsid w:val="00366A2E"/>
    <w:pPr>
      <w:spacing w:after="200" w:line="252" w:lineRule="auto"/>
    </w:pPr>
    <w:rPr>
      <w:rFonts w:asciiTheme="majorHAnsi" w:hAnsiTheme="majorHAnsi" w:cstheme="majorBidi"/>
      <w:i/>
      <w:iCs/>
      <w:sz w:val="22"/>
      <w:szCs w:val="22"/>
    </w:rPr>
  </w:style>
  <w:style w:type="character" w:customStyle="1" w:styleId="22">
    <w:name w:val="Цитата 2 Знак"/>
    <w:basedOn w:val="a0"/>
    <w:link w:val="21"/>
    <w:uiPriority w:val="29"/>
    <w:rsid w:val="00366A2E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66A2E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after="200" w:line="300" w:lineRule="auto"/>
      <w:ind w:left="1440" w:right="1440"/>
    </w:pPr>
    <w:rPr>
      <w:rFonts w:asciiTheme="majorHAnsi" w:hAnsiTheme="majorHAnsi" w:cstheme="majorBidi"/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66A2E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66A2E"/>
    <w:rPr>
      <w:i/>
      <w:iCs/>
    </w:rPr>
  </w:style>
  <w:style w:type="character" w:styleId="af0">
    <w:name w:val="Intense Emphasis"/>
    <w:uiPriority w:val="21"/>
    <w:qFormat/>
    <w:rsid w:val="00366A2E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66A2E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66A2E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66A2E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66A2E"/>
    <w:pPr>
      <w:outlineLvl w:val="9"/>
    </w:pPr>
    <w:rPr>
      <w:lang w:bidi="en-US"/>
    </w:rPr>
  </w:style>
  <w:style w:type="table" w:styleId="af5">
    <w:name w:val="Table Grid"/>
    <w:basedOn w:val="a1"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366A2E"/>
    <w:pPr>
      <w:pBdr>
        <w:bottom w:val="thinThickSmallGap" w:sz="12" w:space="1" w:color="943634" w:themeColor="accent2" w:themeShade="BF"/>
      </w:pBdr>
      <w:spacing w:before="400" w:after="200" w:line="252" w:lineRule="auto"/>
      <w:jc w:val="center"/>
      <w:outlineLvl w:val="0"/>
    </w:pPr>
    <w:rPr>
      <w:rFonts w:asciiTheme="majorHAnsi" w:hAnsiTheme="majorHAnsi" w:cstheme="majorBidi"/>
      <w:caps/>
      <w:color w:val="632423" w:themeColor="accent2" w:themeShade="80"/>
      <w:spacing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6A2E"/>
    <w:pPr>
      <w:pBdr>
        <w:bottom w:val="single" w:sz="4" w:space="1" w:color="622423" w:themeColor="accent2" w:themeShade="7F"/>
      </w:pBdr>
      <w:spacing w:before="400" w:after="200" w:line="252" w:lineRule="auto"/>
      <w:jc w:val="center"/>
      <w:outlineLvl w:val="1"/>
    </w:pPr>
    <w:rPr>
      <w:rFonts w:asciiTheme="majorHAnsi" w:hAnsiTheme="majorHAnsi" w:cstheme="majorBidi"/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6A2E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 w:line="252" w:lineRule="auto"/>
      <w:jc w:val="center"/>
      <w:outlineLvl w:val="2"/>
    </w:pPr>
    <w:rPr>
      <w:rFonts w:asciiTheme="majorHAnsi" w:hAnsiTheme="majorHAnsi" w:cstheme="majorBidi"/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6A2E"/>
    <w:pPr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6A2E"/>
    <w:pPr>
      <w:spacing w:before="320" w:after="120" w:line="252" w:lineRule="auto"/>
      <w:jc w:val="center"/>
      <w:outlineLvl w:val="4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6A2E"/>
    <w:pPr>
      <w:spacing w:after="120" w:line="252" w:lineRule="auto"/>
      <w:jc w:val="center"/>
      <w:outlineLvl w:val="5"/>
    </w:pPr>
    <w:rPr>
      <w:rFonts w:asciiTheme="majorHAnsi" w:hAnsiTheme="majorHAnsi" w:cstheme="majorBidi"/>
      <w:caps/>
      <w:color w:val="943634" w:themeColor="accent2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6A2E"/>
    <w:pPr>
      <w:spacing w:after="120" w:line="252" w:lineRule="auto"/>
      <w:jc w:val="center"/>
      <w:outlineLvl w:val="6"/>
    </w:pPr>
    <w:rPr>
      <w:rFonts w:asciiTheme="majorHAnsi" w:hAnsiTheme="majorHAnsi" w:cstheme="majorBidi"/>
      <w:i/>
      <w:iCs/>
      <w:caps/>
      <w:color w:val="943634" w:themeColor="accent2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6A2E"/>
    <w:pPr>
      <w:spacing w:after="120" w:line="252" w:lineRule="auto"/>
      <w:jc w:val="center"/>
      <w:outlineLvl w:val="7"/>
    </w:pPr>
    <w:rPr>
      <w:rFonts w:asciiTheme="majorHAnsi" w:hAnsiTheme="majorHAnsi" w:cstheme="majorBidi"/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6A2E"/>
    <w:pPr>
      <w:spacing w:after="120" w:line="252" w:lineRule="auto"/>
      <w:jc w:val="center"/>
      <w:outlineLvl w:val="8"/>
    </w:pPr>
    <w:rPr>
      <w:rFonts w:asciiTheme="majorHAnsi" w:hAnsiTheme="majorHAnsi" w:cstheme="majorBidi"/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A2E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66A2E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66A2E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66A2E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66A2E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66A2E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66A2E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66A2E"/>
    <w:pPr>
      <w:spacing w:after="200" w:line="252" w:lineRule="auto"/>
    </w:pPr>
    <w:rPr>
      <w:rFonts w:asciiTheme="majorHAnsi" w:hAnsiTheme="majorHAnsi" w:cstheme="majorBidi"/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66A2E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rFonts w:asciiTheme="majorHAnsi" w:hAnsiTheme="majorHAnsi" w:cstheme="majorBidi"/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66A2E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66A2E"/>
    <w:pPr>
      <w:spacing w:after="560"/>
      <w:jc w:val="center"/>
    </w:pPr>
    <w:rPr>
      <w:rFonts w:asciiTheme="majorHAnsi" w:hAnsiTheme="majorHAnsi" w:cstheme="majorBidi"/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66A2E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66A2E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66A2E"/>
    <w:rPr>
      <w:caps/>
      <w:spacing w:val="5"/>
      <w:sz w:val="20"/>
      <w:szCs w:val="20"/>
    </w:rPr>
  </w:style>
  <w:style w:type="paragraph" w:styleId="aa">
    <w:name w:val="No Spacing"/>
    <w:aliases w:val="Свой стиль"/>
    <w:basedOn w:val="a"/>
    <w:link w:val="ab"/>
    <w:uiPriority w:val="1"/>
    <w:qFormat/>
    <w:rsid w:val="00366A2E"/>
    <w:rPr>
      <w:rFonts w:asciiTheme="majorHAnsi" w:hAnsiTheme="majorHAnsi" w:cstheme="majorBidi"/>
      <w:sz w:val="22"/>
      <w:szCs w:val="22"/>
    </w:rPr>
  </w:style>
  <w:style w:type="character" w:customStyle="1" w:styleId="ab">
    <w:name w:val="Без интервала Знак"/>
    <w:aliases w:val="Свой стиль Знак"/>
    <w:basedOn w:val="a0"/>
    <w:link w:val="aa"/>
    <w:uiPriority w:val="1"/>
    <w:rsid w:val="00366A2E"/>
  </w:style>
  <w:style w:type="paragraph" w:styleId="ac">
    <w:name w:val="List Paragraph"/>
    <w:basedOn w:val="a"/>
    <w:uiPriority w:val="34"/>
    <w:qFormat/>
    <w:rsid w:val="00366A2E"/>
    <w:pPr>
      <w:spacing w:after="200" w:line="252" w:lineRule="auto"/>
      <w:ind w:left="720"/>
      <w:contextualSpacing/>
    </w:pPr>
    <w:rPr>
      <w:rFonts w:asciiTheme="majorHAnsi" w:hAnsiTheme="majorHAnsi" w:cstheme="majorBidi"/>
      <w:sz w:val="22"/>
      <w:szCs w:val="22"/>
    </w:rPr>
  </w:style>
  <w:style w:type="paragraph" w:styleId="21">
    <w:name w:val="Quote"/>
    <w:basedOn w:val="a"/>
    <w:next w:val="a"/>
    <w:link w:val="22"/>
    <w:uiPriority w:val="29"/>
    <w:qFormat/>
    <w:rsid w:val="00366A2E"/>
    <w:pPr>
      <w:spacing w:after="200" w:line="252" w:lineRule="auto"/>
    </w:pPr>
    <w:rPr>
      <w:rFonts w:asciiTheme="majorHAnsi" w:hAnsiTheme="majorHAnsi" w:cstheme="majorBidi"/>
      <w:i/>
      <w:iCs/>
      <w:sz w:val="22"/>
      <w:szCs w:val="22"/>
    </w:rPr>
  </w:style>
  <w:style w:type="character" w:customStyle="1" w:styleId="22">
    <w:name w:val="Цитата 2 Знак"/>
    <w:basedOn w:val="a0"/>
    <w:link w:val="21"/>
    <w:uiPriority w:val="29"/>
    <w:rsid w:val="00366A2E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66A2E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after="200" w:line="300" w:lineRule="auto"/>
      <w:ind w:left="1440" w:right="1440"/>
    </w:pPr>
    <w:rPr>
      <w:rFonts w:asciiTheme="majorHAnsi" w:hAnsiTheme="majorHAnsi" w:cstheme="majorBidi"/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66A2E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66A2E"/>
    <w:rPr>
      <w:i/>
      <w:iCs/>
    </w:rPr>
  </w:style>
  <w:style w:type="character" w:styleId="af0">
    <w:name w:val="Intense Emphasis"/>
    <w:uiPriority w:val="21"/>
    <w:qFormat/>
    <w:rsid w:val="00366A2E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66A2E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66A2E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66A2E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66A2E"/>
    <w:pPr>
      <w:outlineLvl w:val="9"/>
    </w:pPr>
    <w:rPr>
      <w:lang w:bidi="en-US"/>
    </w:rPr>
  </w:style>
  <w:style w:type="table" w:styleId="af5">
    <w:name w:val="Table Grid"/>
    <w:basedOn w:val="a1"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</dc:creator>
  <cp:keywords/>
  <dc:description/>
  <cp:lastModifiedBy>000</cp:lastModifiedBy>
  <cp:revision>5</cp:revision>
  <cp:lastPrinted>2022-04-28T09:47:00Z</cp:lastPrinted>
  <dcterms:created xsi:type="dcterms:W3CDTF">2022-04-28T09:34:00Z</dcterms:created>
  <dcterms:modified xsi:type="dcterms:W3CDTF">2022-06-23T12:41:00Z</dcterms:modified>
</cp:coreProperties>
</file>