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716" w:type="dxa"/>
        <w:jc w:val="left"/>
        <w:tblInd w:w="0" w:type="dxa"/>
        <w:tblBorders/>
        <w:tblCellMar>
          <w:top w:w="60" w:type="dxa"/>
          <w:left w:w="80" w:type="dxa"/>
          <w:bottom w:w="60" w:type="dxa"/>
          <w:right w:w="80" w:type="dxa"/>
        </w:tblCellMar>
      </w:tblPr>
      <w:tblGrid>
        <w:gridCol w:w="10716"/>
      </w:tblGrid>
      <w:tr>
        <w:trPr>
          <w:trHeight w:val="3031" w:hRule="exact"/>
        </w:trPr>
        <w:tc>
          <w:tcPr>
            <w:tcW w:w="10716" w:type="dxa"/>
            <w:tcBorders/>
            <w:shd w:fill="auto" w:val="clear"/>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shd w:fill="auto" w:val="clear"/>
            <w:vAlign w:val="center"/>
          </w:tcPr>
          <w:p>
            <w:pPr>
              <w:pStyle w:val="ConsPlusTitlePage"/>
              <w:tabs>
                <w:tab w:val="clear" w:pos="720"/>
              </w:tabs>
              <w:ind w:left="0" w:hanging="0"/>
              <w:jc w:val="center"/>
              <w:rPr>
                <w:b w:val="false"/>
                <w:b w:val="false"/>
              </w:rPr>
            </w:pPr>
            <w:r>
              <w:rPr>
                <w:sz w:val="48"/>
              </w:rPr>
              <w:t>&lt;Письмо&gt; Минфина России от 03.04.2018 N 25-03-10/21763</w:t>
            </w:r>
            <w:r>
              <w:rPr/>
              <w:br/>
            </w:r>
            <w:r>
              <w:rPr>
                <w:sz w:val="48"/>
              </w:rPr>
              <w:t>&lt;О направлении обзора типичных ошибок, допускаемых при заполнении справок о доходах, расходах, об имуществе и обязательствах имущественного характера&gt;</w:t>
            </w:r>
          </w:p>
        </w:tc>
      </w:tr>
      <w:tr>
        <w:trPr>
          <w:trHeight w:val="3031" w:hRule="exact"/>
        </w:trPr>
        <w:tc>
          <w:tcPr>
            <w:tcW w:w="10716" w:type="dxa"/>
            <w:tcBorders/>
            <w:shd w:fill="auto" w:val="clear"/>
            <w:vAlign w:val="center"/>
          </w:tcPr>
          <w:p>
            <w:pPr>
              <w:pStyle w:val="ConsPlusTitlePage"/>
              <w:tabs>
                <w:tab w:val="clear" w:pos="720"/>
              </w:tabs>
              <w:ind w:left="0" w:hanging="0"/>
              <w:jc w:val="center"/>
              <w:rPr/>
            </w:pPr>
            <w:r>
              <w:rPr>
                <w:sz w:val="28"/>
              </w:rPr>
              <w:t>Документ предоставлен </w:t>
            </w:r>
            <w:hyperlink r:id="rId3" w:tgtFrame="Ссылка на КонсультантПлюс">
              <w:r>
                <w:rPr>
                  <w:rStyle w:val="ListLabel2"/>
                  <w:b/>
                  <w:color w:val="0000FF"/>
                  <w:sz w:val="28"/>
                </w:rPr>
                <w:t>КонсультантПлюс</w:t>
              </w:r>
              <w:r>
                <w:rPr>
                  <w:rStyle w:val="ListLabel2"/>
                </w:rPr>
                <w:br/>
                <w:br/>
              </w:r>
            </w:hyperlink>
            <w:hyperlink r:id="rId4" w:tgtFrame="Ссылка на КонсультантПлюс">
              <w:r>
                <w:rPr>
                  <w:rStyle w:val="ListLabel1"/>
                  <w:b/>
                  <w:color w:val="0000FF"/>
                  <w:sz w:val="28"/>
                </w:rPr>
                <w:t>www.consultant.ru</w:t>
              </w:r>
            </w:hyperlink>
            <w:r>
              <w:rPr/>
              <w:br/>
              <w:br/>
            </w:r>
            <w:r>
              <w:rPr>
                <w:sz w:val="28"/>
              </w:rPr>
              <w:t>Дата сохранения: 30.01.2019</w:t>
            </w:r>
            <w:r>
              <w:rPr/>
              <w:br/>
            </w:r>
            <w:r>
              <w:rPr>
                <w:sz w:val="28"/>
              </w:rPr>
              <w:t> </w:t>
            </w:r>
          </w:p>
        </w:tc>
      </w:tr>
    </w:tbl>
    <w:p>
      <w:pPr>
        <w:sectPr>
          <w:type w:val="nextPage"/>
          <w:pgSz w:w="11906" w:h="16838"/>
          <w:pgMar w:left="595" w:right="595" w:header="0" w:top="841" w:footer="0" w:bottom="841" w:gutter="0"/>
          <w:pgNumType w:fmt="decimal"/>
          <w:formProt w:val="false"/>
          <w:textDirection w:val="lrTb"/>
          <w:docGrid w:type="default" w:linePitch="100" w:charSpace="0"/>
        </w:sectPr>
        <w:pStyle w:val="Normal"/>
        <w:rPr/>
      </w:pPr>
      <w:r>
        <w:rPr/>
      </w:r>
    </w:p>
    <w:p>
      <w:pPr>
        <w:pStyle w:val="ConsPlusNormal"/>
        <w:numPr>
          <w:ilvl w:val="0"/>
          <w:numId w:val="0"/>
        </w:numPr>
        <w:ind w:left="0" w:hanging="0"/>
        <w:jc w:val="both"/>
        <w:outlineLvl w:val="0"/>
        <w:rPr/>
      </w:pPr>
      <w:r>
        <w:rPr/>
      </w:r>
    </w:p>
    <w:p>
      <w:pPr>
        <w:pStyle w:val="ConsPlusTitle"/>
        <w:numPr>
          <w:ilvl w:val="0"/>
          <w:numId w:val="0"/>
        </w:numPr>
        <w:ind w:left="0" w:hanging="0"/>
        <w:jc w:val="center"/>
        <w:outlineLvl w:val="0"/>
        <w:rPr/>
      </w:pPr>
      <w:r>
        <w:rPr/>
        <w:t>МИНИСТЕРСТВО ФИНАНСОВ РОССИЙСКОЙ ФЕДЕРАЦИИ</w:t>
      </w:r>
    </w:p>
    <w:p>
      <w:pPr>
        <w:pStyle w:val="ConsPlusTitle"/>
        <w:ind w:left="0" w:hanging="0"/>
        <w:jc w:val="both"/>
        <w:rPr/>
      </w:pPr>
      <w:r>
        <w:rPr/>
      </w:r>
    </w:p>
    <w:p>
      <w:pPr>
        <w:pStyle w:val="ConsPlusTitle"/>
        <w:ind w:left="0" w:hanging="0"/>
        <w:jc w:val="center"/>
        <w:rPr/>
      </w:pPr>
      <w:r>
        <w:rPr/>
        <w:t>ПИСЬМО</w:t>
      </w:r>
    </w:p>
    <w:p>
      <w:pPr>
        <w:pStyle w:val="ConsPlusTitle"/>
        <w:ind w:left="0" w:hanging="0"/>
        <w:jc w:val="center"/>
        <w:rPr/>
      </w:pPr>
      <w:r>
        <w:rPr/>
        <w:t>от 3 апреля 2018 г. N 25-03-10/21763</w:t>
      </w:r>
    </w:p>
    <w:p>
      <w:pPr>
        <w:pStyle w:val="ConsPlusNormal"/>
        <w:ind w:left="0" w:hanging="0"/>
        <w:jc w:val="both"/>
        <w:rPr/>
      </w:pPr>
      <w:r>
        <w:rPr/>
      </w:r>
    </w:p>
    <w:p>
      <w:pPr>
        <w:pStyle w:val="ConsPlusNormal"/>
        <w:ind w:left="0" w:firstLine="540"/>
        <w:jc w:val="both"/>
        <w:rPr/>
      </w:pPr>
      <w:r>
        <w:rPr/>
        <w:t xml:space="preserve">По результатам анализа сведений о доходах, расходах, об имуществе и обязательствах имущественного характера подготовлен обзор типичных ошибок, допускаемых при заполнении </w:t>
      </w:r>
      <w:hyperlink r:id="rId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справок</w:t>
        </w:r>
      </w:hyperlink>
      <w:r>
        <w:rPr/>
        <w:t xml:space="preserve"> о доходах, расходах, об имуществе и обязательствах имущественного характера (далее - обзор, справки, сведения о доходах и расходах).</w:t>
      </w:r>
    </w:p>
    <w:p>
      <w:pPr>
        <w:pStyle w:val="ConsPlusNormal"/>
        <w:spacing w:before="200" w:after="0"/>
        <w:ind w:left="0" w:firstLine="540"/>
        <w:jc w:val="both"/>
        <w:rPr/>
      </w:pPr>
      <w:r>
        <w:rPr/>
        <w:t xml:space="preserve">В целях повышения качества заполнения справок за отчетный период 2017 года и недопущения нарушений антикоррупционного законодательства просьба обратить особое внимание на следующие рекомендации при заполнении </w:t>
      </w:r>
      <w:hyperlink r:id="rId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справок</w:t>
        </w:r>
      </w:hyperlink>
      <w:r>
        <w:rPr/>
        <w:t>:</w:t>
      </w:r>
    </w:p>
    <w:p>
      <w:pPr>
        <w:pStyle w:val="ConsPlusNormal"/>
        <w:spacing w:before="200" w:after="0"/>
        <w:ind w:left="0" w:firstLine="540"/>
        <w:jc w:val="both"/>
        <w:rPr/>
      </w:pPr>
      <w:r>
        <w:rPr/>
        <w:t xml:space="preserve">1) В </w:t>
      </w:r>
      <w:hyperlink r:id="rId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1</w:t>
        </w:r>
      </w:hyperlink>
      <w:r>
        <w:rPr/>
        <w:t xml:space="preserve"> "Сведения о доходах" справки:</w:t>
      </w:r>
    </w:p>
    <w:p>
      <w:pPr>
        <w:pStyle w:val="ConsPlusNormal"/>
        <w:spacing w:before="200" w:after="0"/>
        <w:ind w:left="0" w:firstLine="540"/>
        <w:jc w:val="both"/>
        <w:rPr/>
      </w:pPr>
      <w:r>
        <w:rPr/>
        <w:t xml:space="preserve">- в </w:t>
      </w:r>
      <w:hyperlink r:id="rId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"Иные доходы" Раздела 1 необходимо отражать в том числе доходы от реализации недвижимого имущества, транспортных средств (в том числе по "трейд-ин") и иного имущества, а также денежные средства, полученные в порядке дарения (наследования).</w:t>
      </w:r>
    </w:p>
    <w:p>
      <w:pPr>
        <w:pStyle w:val="ConsPlusNormal"/>
        <w:spacing w:before="200" w:after="0"/>
        <w:ind w:left="0" w:firstLine="540"/>
        <w:jc w:val="both"/>
        <w:rPr/>
      </w:pPr>
      <w:r>
        <w:rPr/>
        <w:t xml:space="preserve">- в </w:t>
      </w:r>
      <w:hyperlink r:id="rId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"Доход от вкладов в банках и иных кредитных организациях" Раздела 1 указывается общая сумма доходов, полученных (начисленных) в отчетном периоде в виде процентов по любым вкладам (счетам) в банках и иных кредитных организациях (в том числе вкладам (счетам), закрытым в течение отчетного периода), вне зависимости от их срока, вида и валюты. Доход, полученный в иностранной валюте, указывается в рублях по курсу Банка России даты выплат дохода (процентов).</w:t>
      </w:r>
    </w:p>
    <w:p>
      <w:pPr>
        <w:pStyle w:val="ConsPlusNormal"/>
        <w:spacing w:before="200" w:after="0"/>
        <w:ind w:left="0" w:firstLine="540"/>
        <w:jc w:val="both"/>
        <w:rPr/>
      </w:pPr>
      <w:r>
        <w:rPr/>
        <w:t xml:space="preserve">2) </w:t>
      </w:r>
      <w:hyperlink r:id="rId1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 2</w:t>
        </w:r>
      </w:hyperlink>
      <w:r>
        <w:rPr/>
        <w:t xml:space="preserve"> "Сведения о расходах" обязательно заполняется, если:</w:t>
      </w:r>
    </w:p>
    <w:p>
      <w:pPr>
        <w:pStyle w:val="ConsPlusNormal"/>
        <w:spacing w:before="200" w:after="0"/>
        <w:ind w:left="0" w:firstLine="540"/>
        <w:jc w:val="both"/>
        <w:rPr/>
      </w:pPr>
      <w:r>
        <w:rPr/>
        <w:t>- в отчетном периоде служащим (работником), его супругой (супругом) и несовершеннолетними детьми совершена сделка (сделки)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сумма такой сделки или общая сумма совершенных сделок превышает общий доход данного лица и его супруги (супруга) за три последних года, предшествующих отчетному периоду (исключая отчетный период).</w:t>
      </w:r>
    </w:p>
    <w:p>
      <w:pPr>
        <w:pStyle w:val="ConsPlusNormal"/>
        <w:spacing w:before="200" w:after="0"/>
        <w:ind w:left="0" w:firstLine="540"/>
        <w:jc w:val="both"/>
        <w:rPr/>
      </w:pPr>
      <w:r>
        <w:rPr/>
        <w:t>- в случаях заключения в отчетном периоде договора (договоров) участия в долевом строительстве, когда уплаченная в отчетный период по указанному договору (договорам) сумма превышает общий доход служащего (работника) и его супруги (супруга) за три последних года, предшествующих отчетному периоду.</w:t>
      </w:r>
    </w:p>
    <w:p>
      <w:pPr>
        <w:pStyle w:val="ConsPlusNormal"/>
        <w:spacing w:before="200" w:after="0"/>
        <w:ind w:left="0" w:firstLine="540"/>
        <w:jc w:val="both"/>
        <w:rPr/>
      </w:pPr>
      <w:r>
        <w:rPr/>
        <w:t>Сведения о расходах указываются по каждой сделке (каждому договору).</w:t>
      </w:r>
    </w:p>
    <w:p>
      <w:pPr>
        <w:pStyle w:val="ConsPlusNormal"/>
        <w:spacing w:before="200" w:after="0"/>
        <w:ind w:left="0" w:firstLine="540"/>
        <w:jc w:val="both"/>
        <w:rPr/>
      </w:pPr>
      <w:r>
        <w:rPr/>
        <w:t>При представлении сведений о расходах к справке прилагаются копии документов, являющихся законным основанием для возникновения права собственности на приобретенное имущество или права требования.</w:t>
      </w:r>
    </w:p>
    <w:p>
      <w:pPr>
        <w:pStyle w:val="ConsPlusNormal"/>
        <w:spacing w:before="200" w:after="0"/>
        <w:ind w:left="0" w:firstLine="540"/>
        <w:jc w:val="both"/>
        <w:rPr/>
      </w:pPr>
      <w:r>
        <w:rPr/>
        <w:t xml:space="preserve">3) В </w:t>
      </w:r>
      <w:hyperlink r:id="rId1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3</w:t>
        </w:r>
      </w:hyperlink>
      <w:r>
        <w:rPr/>
        <w:t xml:space="preserve"> "Сведения об имуществе", </w:t>
      </w:r>
      <w:hyperlink r:id="rId1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"Недвижимое имущество" указываются все объекты недвижимости, принадлежащие служащему (работнику), членам его семьи на праве собственности, независимо от того, когда и каким образом они были приобретены, в каком регионе Российской Федерации или в каком государстве зарегистрированы. Указанию также подлежит недвижимое имущество, полученное, например, в порядке дарения, наследования или по решению суда, право собственности на которое не зарегистрировано в установленном порядке в Росреестре, так как на основании </w:t>
      </w:r>
      <w:hyperlink r:id="rId13" w:tgtFrame="\&quot;Гражданский кодекс Российской Федерации (часть первая)\">
        <w:r>
          <w:rPr>
            <w:rStyle w:val="ListLabel3"/>
            <w:color w:val="0000FF"/>
          </w:rPr>
          <w:t>статьи 305</w:t>
        </w:r>
      </w:hyperlink>
      <w:r>
        <w:rPr/>
        <w:t xml:space="preserve"> Гражданского кодекса Российской Федерации лицо после приобретения права владения, но до государственной регистрации права собственности является законным владельцем имущества.</w:t>
      </w:r>
    </w:p>
    <w:p>
      <w:pPr>
        <w:pStyle w:val="ConsPlusNormal"/>
        <w:spacing w:before="200" w:after="0"/>
        <w:ind w:left="0" w:firstLine="540"/>
        <w:jc w:val="both"/>
        <w:rPr/>
      </w:pPr>
      <w:r>
        <w:rPr/>
        <w:t>Для каждого объекта недвижимого имущества указывается основание приобретения, например, реквизиты (номер и дата) свидетельства о государственной регистрации права собственности, регистрационный номер записи в Едином государственном реестре прав на недвижимое имущество и сделок с ним. Также указываются наименование и реквизиты (номер и дата) документа, являющегося основанием для возникновения права собственности (договор купли-продажи, договор мены, договор дарения, свидетельство о праве на наследство, решение суда и др.).</w:t>
      </w:r>
    </w:p>
    <w:p>
      <w:pPr>
        <w:pStyle w:val="ConsPlusNormal"/>
        <w:spacing w:before="200" w:after="0"/>
        <w:ind w:left="0" w:firstLine="540"/>
        <w:jc w:val="both"/>
        <w:rPr/>
      </w:pPr>
      <w:r>
        <w:rPr/>
        <w:t xml:space="preserve">4) В </w:t>
      </w:r>
      <w:hyperlink r:id="rId1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4</w:t>
        </w:r>
      </w:hyperlink>
      <w:r>
        <w:rPr/>
        <w:t xml:space="preserve"> "Сведения о счетах в банках и иных кредитных организациях" подлежат указанию все счета, открытые по состоянию на отчетную дату (31 декабря 2017 г.). Также подлежит указанию информация о счетах пластиковых карт даже в случаях окончания срока действия этих карт (их блокировки), если счет карты не был закрыт банком или иной кредитной организацией по письменному заявлению держателя карты (счет карты закрывается, как правило, через 45 дней с даты поступления заявления).</w:t>
      </w:r>
    </w:p>
    <w:p>
      <w:pPr>
        <w:pStyle w:val="ConsPlusNormal"/>
        <w:spacing w:before="200" w:after="0"/>
        <w:ind w:left="0" w:firstLine="540"/>
        <w:jc w:val="both"/>
        <w:rPr/>
      </w:pPr>
      <w:r>
        <w:rPr/>
        <w:t xml:space="preserve">В </w:t>
      </w:r>
      <w:hyperlink r:id="rId1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6</w:t>
        </w:r>
      </w:hyperlink>
      <w:r>
        <w:rPr/>
        <w:t xml:space="preserve"> "Сумма поступивших на счет денежных средств" Раздела 4 "Сведения о счетах в банках и иных кредитных организациях" указывается общая сумма денежных поступлений на счет за отчетный период (включая займы от физических лиц и переводы денежных средств с других счетов служащего (работника), его супруги (супруга), несовершеннолетних детей), если указанная сумма превышает общий доход служащего (работника) и его супруги (супруга) за отчетный период и два предшествующих ему года. В этом случае к справке в обязательном порядке прилагается выписка о движении денежных средств по данному счету за отчетный период.</w:t>
      </w:r>
    </w:p>
    <w:p>
      <w:pPr>
        <w:pStyle w:val="ConsPlusNormal"/>
        <w:spacing w:before="200" w:after="0"/>
        <w:ind w:left="0" w:firstLine="540"/>
        <w:jc w:val="both"/>
        <w:rPr/>
      </w:pPr>
      <w:r>
        <w:rPr/>
        <w:t xml:space="preserve">5) В </w:t>
      </w:r>
      <w:hyperlink r:id="rId1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6.1</w:t>
        </w:r>
      </w:hyperlink>
      <w:r>
        <w:rPr/>
        <w:t xml:space="preserve"> "Объекты недвижимого имущества, находящиеся в пользовании" в обязательном порядке отражается информация о недвижимом имуществе (дома, квартиры, комнаты, нежилые помещения, земельные участки, гаражи и др.), находящемся во временном пользовании служащего (работника) и (или) его супруги (супруга), несовершеннолетних детей, в том числе подлежат указанию сведения о жилых помещениях (дом, квартира, комната):</w:t>
      </w:r>
    </w:p>
    <w:p>
      <w:pPr>
        <w:pStyle w:val="ConsPlusNormal"/>
        <w:spacing w:before="200" w:after="0"/>
        <w:ind w:left="0" w:firstLine="540"/>
        <w:jc w:val="both"/>
        <w:rPr/>
      </w:pPr>
      <w:r>
        <w:rPr/>
        <w:t>- не принадлежащих служащему (работнику) или членам его семьи на праве собственности или на праве нанимателя, в которых у служащего (работника), членов его семьи имеется регистрация (постоянная или временная);</w:t>
      </w:r>
    </w:p>
    <w:p>
      <w:pPr>
        <w:pStyle w:val="ConsPlusNormal"/>
        <w:spacing w:before="200" w:after="0"/>
        <w:ind w:left="0" w:firstLine="540"/>
        <w:jc w:val="both"/>
        <w:rPr/>
      </w:pPr>
      <w:r>
        <w:rPr/>
        <w:t>- где служащий (работник), члены его семьи фактически проживают, в том числе без заключения договоров аренды, безвозмездного пользования или социального найма.</w:t>
      </w:r>
    </w:p>
    <w:p>
      <w:pPr>
        <w:pStyle w:val="ConsPlusNormal"/>
        <w:spacing w:before="200" w:after="0"/>
        <w:ind w:left="0" w:firstLine="540"/>
        <w:jc w:val="both"/>
        <w:rPr/>
      </w:pPr>
      <w:r>
        <w:rPr/>
        <w:t xml:space="preserve">6) В </w:t>
      </w:r>
      <w:hyperlink r:id="rId1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"Срочные обязательства финансового характера" указывается каждое имеющееся на отчетную дату срочное обязательство финансового характера (кредит, заем, иные) на сумму, равную или превышающую 500 000 рублей, кредитором или должником по которым является служащий (работник) и (или) его супруга (супруг) и (или) несовершеннолетний ребенок. В том числе обязательно подлежат указанию:</w:t>
      </w:r>
    </w:p>
    <w:p>
      <w:pPr>
        <w:pStyle w:val="ConsPlusNormal"/>
        <w:spacing w:before="200" w:after="0"/>
        <w:ind w:left="0" w:firstLine="540"/>
        <w:jc w:val="both"/>
        <w:rPr/>
      </w:pPr>
      <w:r>
        <w:rPr/>
        <w:t>- договор участия в долевом строительстве объекта недвижимости;</w:t>
      </w:r>
    </w:p>
    <w:p>
      <w:pPr>
        <w:pStyle w:val="ConsPlusNormal"/>
        <w:spacing w:before="200" w:after="0"/>
        <w:ind w:left="0" w:firstLine="540"/>
        <w:jc w:val="both"/>
        <w:rPr/>
      </w:pPr>
      <w:r>
        <w:rPr/>
        <w:t>- обязательства, связанные с заключением договора об уступке права требования.</w:t>
      </w:r>
    </w:p>
    <w:p>
      <w:pPr>
        <w:pStyle w:val="ConsPlusNormal"/>
        <w:spacing w:before="200" w:after="0"/>
        <w:ind w:left="0" w:firstLine="540"/>
        <w:jc w:val="both"/>
        <w:rPr/>
      </w:pPr>
      <w:r>
        <w:rPr/>
        <w:t>Полный анализ ошибок приводится в прилагаемом обзоре.</w:t>
      </w:r>
    </w:p>
    <w:p>
      <w:pPr>
        <w:pStyle w:val="ConsPlusNormal"/>
        <w:spacing w:before="200" w:after="0"/>
        <w:ind w:left="0" w:firstLine="540"/>
        <w:jc w:val="both"/>
        <w:rPr/>
      </w:pPr>
      <w:r>
        <w:rPr/>
        <w:t>Прошу довести настоящее письмо и обзор до сведения государственных гражданских служащих федеральной службы, обязанных представлять сведения о доходах и расходах.</w:t>
      </w:r>
    </w:p>
    <w:p>
      <w:pPr>
        <w:pStyle w:val="ConsPlusNormal"/>
        <w:ind w:left="0" w:hanging="0"/>
        <w:jc w:val="both"/>
        <w:rPr/>
      </w:pPr>
      <w:r>
        <w:rPr/>
      </w:r>
    </w:p>
    <w:p>
      <w:pPr>
        <w:pStyle w:val="ConsPlusNormal"/>
        <w:ind w:left="0" w:hanging="0"/>
        <w:jc w:val="right"/>
        <w:rPr/>
      </w:pPr>
      <w:r>
        <w:rPr/>
        <w:t>Ю.И.ЗУБАРЕВ</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0"/>
        <w:rPr/>
      </w:pPr>
      <w:r>
        <w:rPr/>
        <w:t>Приложение</w:t>
      </w:r>
    </w:p>
    <w:p>
      <w:pPr>
        <w:pStyle w:val="ConsPlusNormal"/>
        <w:ind w:left="0" w:hanging="0"/>
        <w:jc w:val="both"/>
        <w:rPr/>
      </w:pPr>
      <w:r>
        <w:rPr/>
      </w:r>
    </w:p>
    <w:p>
      <w:pPr>
        <w:pStyle w:val="ConsPlusTitle"/>
        <w:ind w:left="0" w:hanging="0"/>
        <w:jc w:val="center"/>
        <w:rPr/>
      </w:pPr>
      <w:r>
        <w:rPr/>
        <w:t>ОБЗОР</w:t>
      </w:r>
    </w:p>
    <w:p>
      <w:pPr>
        <w:pStyle w:val="ConsPlusTitle"/>
        <w:ind w:left="0" w:hanging="0"/>
        <w:jc w:val="center"/>
        <w:rPr/>
      </w:pPr>
      <w:r>
        <w:rPr/>
        <w:t>ТИПИЧНЫХ ОШИБОК, ДОПУСКАЕМЫХ ПРИ ЗАПОЛНЕНИИ СПРАВОК</w:t>
      </w:r>
    </w:p>
    <w:p>
      <w:pPr>
        <w:pStyle w:val="ConsPlusTitle"/>
        <w:ind w:left="0" w:hanging="0"/>
        <w:jc w:val="center"/>
        <w:rPr/>
      </w:pPr>
      <w:r>
        <w:rPr/>
        <w:t>О ДОХОДАХ, РАСХОДАХ, ОБ ИМУЩЕСТВЕ И ОБЯЗАТЕЛЬСТВАХ</w:t>
      </w:r>
    </w:p>
    <w:p>
      <w:pPr>
        <w:pStyle w:val="ConsPlusTitle"/>
        <w:ind w:left="0" w:hanging="0"/>
        <w:jc w:val="center"/>
        <w:rPr/>
      </w:pPr>
      <w:r>
        <w:rPr/>
        <w:t>ИМУЩЕСТВЕННОГО ХАРАКТЕРА</w:t>
      </w:r>
    </w:p>
    <w:p>
      <w:pPr>
        <w:pStyle w:val="ConsPlusNormal"/>
        <w:ind w:left="0" w:hanging="0"/>
        <w:jc w:val="both"/>
        <w:rPr/>
      </w:pPr>
      <w:r>
        <w:rPr/>
      </w:r>
    </w:p>
    <w:p>
      <w:pPr>
        <w:pStyle w:val="ConsPlusNormal"/>
        <w:ind w:left="0" w:firstLine="540"/>
        <w:jc w:val="both"/>
        <w:rPr/>
      </w:pPr>
      <w:r>
        <w:rPr/>
        <w:t xml:space="preserve">При составлении Обзора использовались Методические </w:t>
      </w:r>
      <w:hyperlink r:id="rId18" w:tgtFrame="\&quot;Методические рекомендации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в 2018 году (за отчетный 2017 год)\&quot;&#10;{КонсультантПлюс}">
        <w:r>
          <w:rPr>
            <w:rStyle w:val="ListLabel3"/>
            <w:color w:val="0000FF"/>
          </w:rPr>
          <w:t>рекомендации</w:t>
        </w:r>
      </w:hyperlink>
      <w:r>
        <w:rPr/>
        <w:t xml:space="preserve">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в 2018 году (за отчетный 2017 год), подготовленные Министерством труда и социальной защиты Российской Федерации (далее - Методические рекомендации).</w:t>
      </w:r>
    </w:p>
    <w:p>
      <w:pPr>
        <w:pStyle w:val="ConsPlusNormal"/>
        <w:ind w:left="0" w:hanging="0"/>
        <w:jc w:val="both"/>
        <w:rPr/>
      </w:pPr>
      <w:r>
        <w:rPr/>
      </w:r>
    </w:p>
    <w:p>
      <w:pPr>
        <w:pStyle w:val="ConsPlusTitle"/>
        <w:numPr>
          <w:ilvl w:val="0"/>
          <w:numId w:val="0"/>
        </w:numPr>
        <w:ind w:left="0" w:hanging="0"/>
        <w:jc w:val="center"/>
        <w:outlineLvl w:val="1"/>
        <w:rPr/>
      </w:pPr>
      <w:r>
        <w:rPr/>
        <w:t>Титульный лист</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 указываются должность, замещаемая (занимаемая) супругом (супругой) служащего (работника), и наименование организации, в которой работает супруг (супруга), род занятий супруга (супруги), несовершеннолетнего ребенка.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b w:val="false"/>
                <w:b w:val="false"/>
              </w:rPr>
            </w:pPr>
            <w:r>
              <w:rPr/>
              <w:t>Необходимо указывать точное наименование организации, в которой работает супруг (супруга), и замещаемую в ней должность в соответствии с приказом о назначении. В случае, если в период, за который представляются сведения, наименование замещаемой (занимаемой) должности изменилось, то указывается должность, замещаемая (занимаемая) на 31 декабря отчетного года.</w:t>
            </w:r>
          </w:p>
          <w:p>
            <w:pPr>
              <w:pStyle w:val="ConsPlusNormal"/>
              <w:tabs>
                <w:tab w:val="clear" w:pos="720"/>
              </w:tabs>
              <w:ind w:left="0" w:firstLine="540"/>
              <w:jc w:val="both"/>
              <w:rPr/>
            </w:pPr>
            <w:r>
              <w:rPr/>
              <w:t xml:space="preserve">При представлении сведений в отношении лиц, которые не имеют работы и заработка и зарегистрированы в органах службы занятости, в </w:t>
            </w:r>
            <w:hyperlink r:id="rId1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"род занятий" указывается "безработный"; без регистрации в органах службы занятости - "временно неработающий(ая)" или "домохозяин(ка)".</w:t>
            </w:r>
          </w:p>
          <w:p>
            <w:pPr>
              <w:pStyle w:val="ConsPlusNormal"/>
              <w:tabs>
                <w:tab w:val="clear" w:pos="720"/>
              </w:tabs>
              <w:ind w:left="0" w:firstLine="540"/>
              <w:jc w:val="both"/>
              <w:rPr/>
            </w:pPr>
            <w:r>
              <w:rPr/>
              <w:t xml:space="preserve">Если сведения представляются в отношении несовершеннолетнего ребенка, то в </w:t>
            </w:r>
            <w:hyperlink r:id="rId2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"род занятий" указывается образовательное учреждение, воспитанником (учащимся) которого он является, или "находится на домашнем воспитании" и т.п.</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 указывается адрес постоянной (временной) регистрации служащего (работника), его супруги (супруга) и несовершеннолетних детей.</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b w:val="false"/>
                <w:b w:val="false"/>
              </w:rPr>
            </w:pPr>
            <w:r>
              <w:rPr/>
              <w:t>Адрес места регистрации (постоянной и временной (если имеется) указывается по состоянию на дату представления справки.</w:t>
            </w:r>
          </w:p>
          <w:p>
            <w:pPr>
              <w:pStyle w:val="ConsPlusNormal"/>
              <w:tabs>
                <w:tab w:val="clear" w:pos="720"/>
              </w:tabs>
              <w:ind w:left="0" w:firstLine="540"/>
              <w:jc w:val="both"/>
              <w:rPr>
                <w:b w:val="false"/>
                <w:b w:val="false"/>
              </w:rPr>
            </w:pPr>
            <w:r>
              <w:rPr/>
              <w:t>В случае, если служащий (работник), член его семьи не проживает по адресу места регистрации, в скобках указывается адрес фактического проживания.</w:t>
            </w:r>
          </w:p>
        </w:tc>
      </w:tr>
    </w:tbl>
    <w:p>
      <w:pPr>
        <w:pStyle w:val="ConsPlusNormal"/>
        <w:ind w:left="0" w:hanging="0"/>
        <w:jc w:val="both"/>
        <w:rPr/>
      </w:pPr>
      <w:r>
        <w:rPr/>
      </w:r>
    </w:p>
    <w:p>
      <w:pPr>
        <w:pStyle w:val="ConsPlusTitle"/>
        <w:numPr>
          <w:ilvl w:val="0"/>
          <w:numId w:val="0"/>
        </w:numPr>
        <w:ind w:left="0" w:hanging="0"/>
        <w:jc w:val="center"/>
        <w:outlineLvl w:val="1"/>
        <w:rPr/>
      </w:pPr>
      <w:r>
        <w:rPr/>
        <w:t>Раздел 1. "Сведения о доходах"</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hanging="0"/>
              <w:jc w:val="left"/>
              <w:rPr/>
            </w:pPr>
            <w:r>
              <w:rPr/>
              <w:t xml:space="preserve">В </w:t>
            </w:r>
            <w:hyperlink r:id="rId2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"Доход по основному месту работы" указывается суммарный доход, полученный по всем местам, где осуществлялась трудовая деятельность.</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both"/>
              <w:rPr/>
            </w:pPr>
            <w:r>
              <w:rPr/>
              <w:t xml:space="preserve">В указанном </w:t>
            </w:r>
            <w:hyperlink r:id="rId2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отражается доход, полученный служащим (работником), его супругой (супругом) в том государственном органе (организации), в котором он (она) замещает должность в период представления сведений.</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b w:val="false"/>
              </w:rPr>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b w:val="false"/>
              </w:rPr>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Указанию подлежит общая сумма дохода, содержащаяся в </w:t>
            </w:r>
            <w:hyperlink r:id="rId23"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справке N 2-НДФЛ</w:t>
              </w:r>
            </w:hyperlink>
            <w:r>
              <w:rPr/>
              <w:t xml:space="preserve">, выдаваемой по основному месту службы (работы). Если по основному месту работы получен доход, который не включен в </w:t>
            </w:r>
            <w:hyperlink r:id="rId24"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справку N 2-НДФЛ</w:t>
              </w:r>
            </w:hyperlink>
            <w:r>
              <w:rPr/>
              <w:t>, он подлежит указанию в графе "Иные доходы".</w:t>
            </w:r>
          </w:p>
          <w:p>
            <w:pPr>
              <w:pStyle w:val="ConsPlusNormal"/>
              <w:tabs>
                <w:tab w:val="clear" w:pos="720"/>
              </w:tabs>
              <w:ind w:left="0" w:firstLine="540"/>
              <w:jc w:val="both"/>
              <w:rPr/>
            </w:pPr>
            <w:r>
              <w:rPr/>
              <w:t xml:space="preserve">Если смена основного места работы (переход в другой государственный орган, трудоустройство в иную организацию) состоялось в отчетном периоде, доход, полученный по предыдущему месту службы (работы), указывается в </w:t>
            </w:r>
            <w:hyperlink r:id="rId2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"иные доходы". При этом в </w:t>
            </w:r>
            <w:hyperlink r:id="rId2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дохода" указывается предыдущее место работы.</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2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"Доход от вкладов в банках и иных кредитных организациях" не указываются доходы от вкладов, в том числе закрытых в отчетном периоде. Доходы, полученные в иностранной валюте, отражаются в соответствующей валюте.</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В данном </w:t>
            </w:r>
            <w:hyperlink r:id="rId2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указывается общая сумма доходов, полученных (выплаченных) в отчетном периоде в виде процентов по любым вкладам (счетам) в банках и иных кредитных организациях, вне зависимости от их срока, вида и валюты, а также доходы от вкладов (счетов), закрытых в отчетном периоде. Доход, полученный в иностранной валюте, указывается в рублях по курсу Банка России на дату получения дохода. Этой датой является день выплаты дохода. В случае неоднократного получения в отчетном периоде доходов по вкладам в иностранной валюте, общий доход рассчитывается путем суммирования полученных доходов, переведенных в рубли по курсу, установленному Банком России, на каждую дату их получения.</w:t>
            </w:r>
          </w:p>
        </w:tc>
      </w:tr>
      <w:tr>
        <w:trPr/>
        <w:tc>
          <w:tcPr>
            <w:tcW w:w="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3.</w:t>
            </w:r>
          </w:p>
        </w:tc>
        <w:tc>
          <w:tcPr>
            <w:tcW w:w="3175"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2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"Иные доходы":</w:t>
            </w:r>
          </w:p>
          <w:p>
            <w:pPr>
              <w:pStyle w:val="ConsPlusNormal"/>
              <w:tabs>
                <w:tab w:val="clear" w:pos="720"/>
              </w:tabs>
              <w:ind w:left="0" w:hanging="0"/>
              <w:jc w:val="left"/>
              <w:rPr>
                <w:b w:val="false"/>
                <w:b w:val="false"/>
              </w:rPr>
            </w:pPr>
            <w:r>
              <w:rPr/>
              <w:t>а) не отражаются:</w:t>
            </w:r>
          </w:p>
          <w:p>
            <w:pPr>
              <w:pStyle w:val="ConsPlusNormal"/>
              <w:tabs>
                <w:tab w:val="clear" w:pos="720"/>
              </w:tabs>
              <w:ind w:left="0" w:hanging="0"/>
              <w:jc w:val="left"/>
              <w:rPr>
                <w:b w:val="false"/>
                <w:b w:val="false"/>
              </w:rPr>
            </w:pPr>
            <w:r>
              <w:rPr/>
              <w:t>- доходы от реализации недвижимого имущества, транспортных средств (в том числе по "трейд-ин") и иного имущества, в том числе в случае продажи указанного имущества членам семьи или иным родственникам;</w:t>
            </w:r>
          </w:p>
          <w:p>
            <w:pPr>
              <w:pStyle w:val="ConsPlusNormal"/>
              <w:tabs>
                <w:tab w:val="clear" w:pos="720"/>
              </w:tabs>
              <w:ind w:left="0" w:hanging="0"/>
              <w:jc w:val="both"/>
              <w:rPr>
                <w:b w:val="false"/>
                <w:b w:val="false"/>
              </w:rPr>
            </w:pPr>
            <w:r>
              <w:rPr/>
              <w:t>- средства, полученные в порядке дарения или наследования;</w:t>
            </w:r>
          </w:p>
          <w:p>
            <w:pPr>
              <w:pStyle w:val="ConsPlusNormal"/>
              <w:tabs>
                <w:tab w:val="clear" w:pos="720"/>
              </w:tabs>
              <w:ind w:left="0" w:hanging="0"/>
              <w:jc w:val="both"/>
              <w:rPr>
                <w:b w:val="false"/>
                <w:b w:val="false"/>
              </w:rPr>
            </w:pPr>
            <w:r>
              <w:rPr/>
              <w:t>- доходы членов профсоюзных организаций, полученные от данных профсоюзных организаций;</w:t>
            </w:r>
          </w:p>
          <w:p>
            <w:pPr>
              <w:pStyle w:val="ConsPlusNormal"/>
              <w:tabs>
                <w:tab w:val="clear" w:pos="720"/>
              </w:tabs>
              <w:ind w:left="0" w:hanging="0"/>
              <w:jc w:val="left"/>
              <w:rPr>
                <w:b w:val="false"/>
                <w:b w:val="false"/>
              </w:rPr>
            </w:pPr>
            <w:r>
              <w:rPr/>
              <w:t>- пособие по временной нетрудоспособности и иные виды социальных пособий;</w:t>
            </w:r>
          </w:p>
          <w:p>
            <w:pPr>
              <w:pStyle w:val="ConsPlusNormal"/>
              <w:tabs>
                <w:tab w:val="clear" w:pos="720"/>
              </w:tabs>
              <w:ind w:left="0" w:hanging="0"/>
              <w:jc w:val="both"/>
              <w:rPr>
                <w:b w:val="false"/>
                <w:b w:val="false"/>
              </w:rPr>
            </w:pPr>
            <w:r>
              <w:rPr/>
              <w:t>- 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w:t>
            </w:r>
          </w:p>
        </w:tc>
        <w:tc>
          <w:tcPr>
            <w:tcW w:w="5386"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both"/>
              <w:rPr/>
            </w:pPr>
            <w:r>
              <w:rPr/>
              <w:t xml:space="preserve">В </w:t>
            </w:r>
            <w:hyperlink r:id="rId3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"Иные доходы" необходимо отражать все доходы, которые не были отражены в </w:t>
            </w:r>
            <w:hyperlink r:id="rId3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полях 1</w:t>
              </w:r>
            </w:hyperlink>
            <w:r>
              <w:rPr/>
              <w:t xml:space="preserve"> - </w:t>
            </w:r>
            <w:hyperlink r:id="rId3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5</w:t>
              </w:r>
            </w:hyperlink>
            <w:r>
              <w:rPr/>
              <w:t xml:space="preserve"> раздела "Сведения о доходах". Перечень доходов, которые подлежат указанию в </w:t>
            </w:r>
            <w:hyperlink r:id="rId3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"Иные доходы", представлен в </w:t>
            </w:r>
            <w:hyperlink r:id="rId34" w:tgtFrame="\&quot;Методические рекомендации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в 2018 году (за отчетный 2017 год)\&quot;&#10;{КонсультантПлюс}">
              <w:r>
                <w:rPr>
                  <w:rStyle w:val="ListLabel3"/>
                  <w:color w:val="0000FF"/>
                </w:rPr>
                <w:t>пункте 55</w:t>
              </w:r>
            </w:hyperlink>
            <w:r>
              <w:rPr/>
              <w:t xml:space="preserve"> Методических рекомендаций.</w:t>
            </w:r>
          </w:p>
        </w:tc>
      </w:tr>
      <w:tr>
        <w:trPr/>
        <w:tc>
          <w:tcPr>
            <w:tcW w:w="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hanging="0"/>
              <w:jc w:val="both"/>
              <w:rPr>
                <w:b w:val="false"/>
                <w:b w:val="false"/>
              </w:rPr>
            </w:pPr>
            <w:r>
              <w:rPr>
                <w:b w:val="false"/>
              </w:rPr>
            </w:r>
          </w:p>
        </w:tc>
        <w:tc>
          <w:tcPr>
            <w:tcW w:w="317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б) отражаются сведения о денежных средствах, полученных служащим (работником), его супругой (супругом) в виде кредитов, займов, налогового вычета.</w:t>
            </w:r>
          </w:p>
        </w:tc>
        <w:tc>
          <w:tcPr>
            <w:tcW w:w="5386"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283"/>
              <w:jc w:val="both"/>
              <w:rPr/>
            </w:pPr>
            <w:r>
              <w:rPr/>
              <w:t xml:space="preserve">Денежные средства, полученные служащим (работником), его супругой (супругом) в виде кредитов, займов, налогового вычета не считаются доходом и не подлежат отражению в </w:t>
            </w:r>
            <w:hyperlink r:id="rId3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"Иные доходы".</w:t>
            </w:r>
          </w:p>
        </w:tc>
      </w:tr>
    </w:tbl>
    <w:p>
      <w:pPr>
        <w:pStyle w:val="ConsPlusNormal"/>
        <w:ind w:left="0" w:hanging="0"/>
        <w:jc w:val="both"/>
        <w:rPr/>
      </w:pPr>
      <w:r>
        <w:rPr/>
      </w:r>
    </w:p>
    <w:p>
      <w:pPr>
        <w:pStyle w:val="ConsPlusTitle"/>
        <w:numPr>
          <w:ilvl w:val="0"/>
          <w:numId w:val="0"/>
        </w:numPr>
        <w:ind w:left="0" w:hanging="0"/>
        <w:jc w:val="center"/>
        <w:outlineLvl w:val="1"/>
        <w:rPr/>
      </w:pPr>
      <w:r>
        <w:rPr/>
        <w:t>Раздел 2. "Сведения о расходах"</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Не всегда правильно и обоснованно заполняется </w:t>
            </w:r>
            <w:hyperlink r:id="rId3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 2</w:t>
              </w:r>
            </w:hyperlink>
            <w:r>
              <w:rPr/>
              <w:t xml:space="preserve"> "Сведения о расходах".</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283"/>
              <w:jc w:val="both"/>
              <w:rPr/>
            </w:pPr>
            <w:hyperlink r:id="rId3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 2</w:t>
              </w:r>
            </w:hyperlink>
            <w:r>
              <w:rPr/>
              <w:t xml:space="preserve"> "Сведения о расходах" заполняется в случае, если в отчетном периоде служащим (работником), его супругой (супругом) и несовершеннолетними детьми совершена сделка (сделки)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сумма такой сделки или общая сумма совершенных сделок превышает общий доход данного лица и его супруги (супруга) за три последних года, предшествующих отчетному периоду (исключая отчетный период). Соответствующая информация указывается по каждой сделке.</w:t>
            </w:r>
          </w:p>
          <w:p>
            <w:pPr>
              <w:pStyle w:val="ConsPlusNormal"/>
              <w:tabs>
                <w:tab w:val="clear" w:pos="720"/>
              </w:tabs>
              <w:ind w:left="0" w:firstLine="283"/>
              <w:jc w:val="both"/>
              <w:rPr>
                <w:b w:val="false"/>
                <w:b w:val="false"/>
              </w:rPr>
            </w:pPr>
            <w:r>
              <w:rPr/>
              <w:t>При расчете общего дохода служащего (работника) и его супруги (супруга) суммируются доходы, полученные ими за три календарных года, предшествовавших году совершения сделки.</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Не заполняется </w:t>
            </w:r>
            <w:hyperlink r:id="rId3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 2</w:t>
              </w:r>
            </w:hyperlink>
            <w:r>
              <w:rPr/>
              <w:t xml:space="preserve"> "Сведения о расходах" в случаях приобретения объекта недвижимого имущества на средства, предоставленные государством (например, единовременная субсидия на приобретение жилого помещения).</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283"/>
              <w:jc w:val="both"/>
              <w:rPr>
                <w:b w:val="false"/>
                <w:b w:val="false"/>
              </w:rPr>
            </w:pPr>
            <w:r>
              <w:rPr/>
              <w:t>Использование для приобретения объекта недвижимого имущества средств, предоставленных государством, не освобождает служащего (работника), его супругу (супруга), несовершеннолетнего ребенка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доход служащего (работника) и его супруги (супруга) за три последних года, предшествующих году совершения сделки).</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3.</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Не заполняется </w:t>
            </w:r>
            <w:hyperlink r:id="rId3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 2</w:t>
              </w:r>
            </w:hyperlink>
            <w:r>
              <w:rPr/>
              <w:t xml:space="preserve"> "Сведения о расходах" в случаях заключения в отчетном периоде договора участия в долевом строительстве, когда уплаченная в отчетный период по указанному договору сумма превышает общий доход служащего (работника) и его супруги (супруга) за три последних года, предшествующих отчетному периоду.</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283"/>
              <w:jc w:val="both"/>
              <w:rPr/>
            </w:pPr>
            <w:r>
              <w:rPr/>
              <w:t xml:space="preserve">Сведения об объекте долевого строительства, в отношении которого заключен договор участия в долевом строительстве, отражаются в </w:t>
            </w:r>
            <w:hyperlink r:id="rId4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2</w:t>
              </w:r>
            </w:hyperlink>
            <w:r>
              <w:rPr/>
              <w:t xml:space="preserve"> "Сведения о расходах" в случае, если уплаченная в отчетный период по указанному договору сумма превышает общий доход служащего (работника)</w:t>
            </w:r>
          </w:p>
          <w:p>
            <w:pPr>
              <w:pStyle w:val="ConsPlusNormal"/>
              <w:tabs>
                <w:tab w:val="clear" w:pos="720"/>
              </w:tabs>
              <w:ind w:left="0" w:firstLine="283"/>
              <w:jc w:val="both"/>
              <w:rPr>
                <w:b w:val="false"/>
                <w:b w:val="false"/>
              </w:rPr>
            </w:pPr>
            <w:r>
              <w:rPr/>
              <w:t>и его супруги (супруга) за три последних года, предшествующих совершению сделки.</w:t>
            </w:r>
          </w:p>
          <w:p>
            <w:pPr>
              <w:pStyle w:val="ConsPlusNormal"/>
              <w:tabs>
                <w:tab w:val="clear" w:pos="720"/>
              </w:tabs>
              <w:ind w:left="0" w:firstLine="283"/>
              <w:jc w:val="both"/>
              <w:rPr/>
            </w:pPr>
            <w:r>
              <w:rPr/>
              <w:t xml:space="preserve">В случае, если сумма оплаты по договору участия в долевом строительстве превышает 500 тыс. рублей, то информация о заключении такого договора подлежит отражению в </w:t>
            </w:r>
            <w:hyperlink r:id="rId4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6.2</w:t>
              </w:r>
            </w:hyperlink>
            <w:r>
              <w:rPr/>
              <w:t xml:space="preserve"> "Срочные обязательства финансового характера".</w:t>
            </w:r>
          </w:p>
          <w:p>
            <w:pPr>
              <w:pStyle w:val="ConsPlusNormal"/>
              <w:tabs>
                <w:tab w:val="clear" w:pos="720"/>
              </w:tabs>
              <w:ind w:left="0" w:firstLine="283"/>
              <w:jc w:val="both"/>
              <w:rPr>
                <w:b w:val="false"/>
                <w:b w:val="false"/>
              </w:rPr>
            </w:pPr>
            <w:r>
              <w:rPr/>
              <w:t>При заключении в отчетном периоде нескольких договоров участия в долевом строительстве учитывается общая сумма, уплаченная по всем договорам.</w:t>
            </w:r>
          </w:p>
        </w:tc>
      </w:tr>
      <w:tr>
        <w:trPr/>
        <w:tc>
          <w:tcPr>
            <w:tcW w:w="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4.</w:t>
            </w:r>
          </w:p>
        </w:tc>
        <w:tc>
          <w:tcPr>
            <w:tcW w:w="3175"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left"/>
              <w:rPr/>
            </w:pPr>
            <w:r>
              <w:rPr/>
              <w:t xml:space="preserve">При заполнении </w:t>
            </w:r>
            <w:hyperlink r:id="rId4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графы</w:t>
              </w:r>
            </w:hyperlink>
          </w:p>
          <w:p>
            <w:pPr>
              <w:pStyle w:val="ConsPlusNormal"/>
              <w:tabs>
                <w:tab w:val="clear" w:pos="720"/>
              </w:tabs>
              <w:ind w:left="0" w:hanging="0"/>
              <w:jc w:val="left"/>
              <w:rPr>
                <w:b w:val="false"/>
                <w:b w:val="false"/>
              </w:rPr>
            </w:pPr>
            <w:r>
              <w:rPr/>
              <w:t>"Основание приобретения имущества" раздела 2 "Сведения о расходах" служащим (работником) не указываются документы, являющиеся законным основанием для возникновения права собственности, либо указываются неправильно.</w:t>
            </w:r>
          </w:p>
        </w:tc>
        <w:tc>
          <w:tcPr>
            <w:tcW w:w="5386"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firstLine="283"/>
              <w:jc w:val="both"/>
              <w:rPr/>
            </w:pPr>
            <w:r>
              <w:rPr/>
              <w:t xml:space="preserve">При заполнении </w:t>
            </w:r>
            <w:hyperlink r:id="rId4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раздела 2</w:t>
              </w:r>
            </w:hyperlink>
            <w:r>
              <w:rPr/>
              <w:t xml:space="preserve"> "Сведения о расходах" указываются реквизиты свидетельства о государственной регистрации права собственности на недвижимое имущество и/или регистрационный номер записи в Едином государственном реестре прав на недвижимое имущество и сделок с ним (ЕГРП). 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долевого участия в строительстве).</w:t>
            </w:r>
          </w:p>
          <w:p>
            <w:pPr>
              <w:pStyle w:val="ConsPlusNormal"/>
              <w:tabs>
                <w:tab w:val="clear" w:pos="720"/>
              </w:tabs>
              <w:ind w:left="0" w:firstLine="283"/>
              <w:jc w:val="both"/>
              <w:rPr>
                <w:b w:val="false"/>
                <w:b w:val="false"/>
              </w:rPr>
            </w:pPr>
            <w:r>
              <w:rPr/>
              <w:t>В случае приобретения другого имущества (например, транспортного средства, ценных бумаг) - наименование и реквизиты документа, являющегося законным основанием для возникновения права собственности.</w:t>
            </w:r>
          </w:p>
        </w:tc>
      </w:tr>
      <w:tr>
        <w:trPr/>
        <w:tc>
          <w:tcPr>
            <w:tcW w:w="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hanging="0"/>
              <w:jc w:val="both"/>
              <w:rPr>
                <w:b w:val="false"/>
                <w:b w:val="false"/>
              </w:rPr>
            </w:pPr>
            <w:r>
              <w:rPr>
                <w:b w:val="false"/>
              </w:rPr>
            </w:r>
          </w:p>
        </w:tc>
        <w:tc>
          <w:tcPr>
            <w:tcW w:w="317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К справке не прилагаются копии документов, являющихся законным основанием для возникновения права собственности</w:t>
            </w:r>
          </w:p>
        </w:tc>
        <w:tc>
          <w:tcPr>
            <w:tcW w:w="5386"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283"/>
              <w:jc w:val="both"/>
              <w:rPr>
                <w:b w:val="false"/>
                <w:b w:val="false"/>
              </w:rPr>
            </w:pPr>
            <w:r>
              <w:rPr/>
              <w:t>При этом к справке в обязательном порядке прилагаются копии документов, являющихся законным основанием для возникновения права собственности.</w:t>
            </w:r>
          </w:p>
        </w:tc>
      </w:tr>
    </w:tbl>
    <w:p>
      <w:pPr>
        <w:pStyle w:val="ConsPlusNormal"/>
        <w:ind w:left="0" w:hanging="0"/>
        <w:jc w:val="both"/>
        <w:rPr/>
      </w:pPr>
      <w:r>
        <w:rPr/>
      </w:r>
    </w:p>
    <w:p>
      <w:pPr>
        <w:pStyle w:val="ConsPlusTitle"/>
        <w:numPr>
          <w:ilvl w:val="0"/>
          <w:numId w:val="0"/>
        </w:numPr>
        <w:ind w:left="0" w:hanging="0"/>
        <w:jc w:val="center"/>
        <w:outlineLvl w:val="1"/>
        <w:rPr/>
      </w:pPr>
      <w:r>
        <w:rPr/>
        <w:t>Раздел 3. "Сведения об имуществе"</w:t>
      </w:r>
    </w:p>
    <w:p>
      <w:pPr>
        <w:pStyle w:val="ConsPlusNormal"/>
        <w:ind w:left="0" w:hanging="0"/>
        <w:jc w:val="both"/>
        <w:rPr/>
      </w:pPr>
      <w:r>
        <w:rPr/>
      </w:r>
    </w:p>
    <w:p>
      <w:pPr>
        <w:pStyle w:val="ConsPlusTitle"/>
        <w:numPr>
          <w:ilvl w:val="0"/>
          <w:numId w:val="0"/>
        </w:numPr>
        <w:ind w:left="0" w:hanging="0"/>
        <w:jc w:val="center"/>
        <w:outlineLvl w:val="2"/>
        <w:rPr/>
      </w:pPr>
      <w:r>
        <w:rPr/>
        <w:t>Подраздел 3.1. "Недвижимое имущество"</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4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"Недвижимое имущество" не отражаются объекты недвижимого имущества, не используемые длительное время, либо право собственности на которые не зарегистрировано в установленном порядке (сведения об имеющихся правах на объекты недвижимого имущества не внесены в Единый государственный реестр прав на объекты недвижимого имущества, отсутствуют (утеряны) свидетельства о государственной регистрации права).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pPr>
            <w:r>
              <w:rPr/>
              <w:t xml:space="preserve">В </w:t>
            </w:r>
            <w:hyperlink r:id="rId4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"Недвижимое имущество" указываются все объекты недвижимости, принадлежащие служащему (работнику), члену его семьи на праве собственности, независимо от того, когда они были приобретены, в каком регионе Российской Федерации или в каком государстве зарегистрированы. Указанию также подлежит недвижимое имущество, полученное в порядке дарения, наследования или по решению суда, вступившего в законную силу, недвижимое имущество, право собственности на которое не зарегистрировано в установленном порядке (не осуществлена регистрация в Росреестре).</w:t>
            </w:r>
          </w:p>
          <w:p>
            <w:pPr>
              <w:pStyle w:val="ConsPlusNormal"/>
              <w:tabs>
                <w:tab w:val="clear" w:pos="720"/>
              </w:tabs>
              <w:ind w:left="0" w:firstLine="540"/>
              <w:jc w:val="both"/>
              <w:rPr/>
            </w:pPr>
            <w:r>
              <w:rPr/>
              <w:t xml:space="preserve">Необходимо помнить, что лицо после приобретения права владения, но до государственной регистрации права собственности является законным владельцем имущества на основании </w:t>
            </w:r>
            <w:hyperlink r:id="rId46" w:tgtFrame="\&quot;Гражданский кодекс Российской Федерации (часть первая)\">
              <w:r>
                <w:rPr>
                  <w:rStyle w:val="ListLabel3"/>
                  <w:color w:val="0000FF"/>
                </w:rPr>
                <w:t>статьи 305</w:t>
              </w:r>
            </w:hyperlink>
            <w:r>
              <w:rPr/>
              <w:t xml:space="preserve"> Гражданского кодекса Российской Федерации.</w:t>
            </w:r>
          </w:p>
        </w:tc>
      </w:tr>
      <w:tr>
        <w:trPr/>
        <w:tc>
          <w:tcPr>
            <w:tcW w:w="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4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"Недвижимое имущество":</w:t>
            </w:r>
          </w:p>
          <w:p>
            <w:pPr>
              <w:pStyle w:val="ConsPlusNormal"/>
              <w:tabs>
                <w:tab w:val="clear" w:pos="720"/>
              </w:tabs>
              <w:ind w:left="0" w:hanging="0"/>
              <w:jc w:val="left"/>
              <w:rPr>
                <w:b w:val="false"/>
                <w:b w:val="false"/>
              </w:rPr>
            </w:pPr>
            <w:r>
              <w:rPr/>
              <w:t>а) не полностью отражается информация о виде и наименовании имеющегося недвижимого имущества;</w:t>
            </w:r>
          </w:p>
        </w:tc>
        <w:tc>
          <w:tcPr>
            <w:tcW w:w="5386" w:type="dxa"/>
            <w:tcBorders>
              <w:top w:val="single" w:sz="4" w:space="0" w:color="000000"/>
              <w:left w:val="single" w:sz="4" w:space="0" w:color="000000"/>
              <w:right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При указании сведений о земельных участках указывается вид земельного участка: под индивидуальное гаражное, жилищное строительство, дачный, садовый, приусадебный, огородный и другие. При заполнении </w:t>
            </w:r>
            <w:hyperlink r:id="rId4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пункта 3</w:t>
              </w:r>
            </w:hyperlink>
            <w:r>
              <w:rPr/>
              <w:t xml:space="preserve"> "Квартиры" соответственно вносятся сведения о ней, например, 2-комнатная квартира.</w:t>
            </w:r>
          </w:p>
        </w:tc>
      </w:tr>
      <w:tr>
        <w:trPr/>
        <w:tc>
          <w:tcPr>
            <w:tcW w:w="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hanging="0"/>
              <w:jc w:val="both"/>
              <w:rPr>
                <w:b w:val="false"/>
                <w:b w:val="false"/>
              </w:rPr>
            </w:pPr>
            <w:r>
              <w:rPr>
                <w:b w:val="false"/>
              </w:rPr>
            </w:r>
          </w:p>
        </w:tc>
        <w:tc>
          <w:tcPr>
            <w:tcW w:w="317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б) в </w:t>
            </w:r>
            <w:hyperlink r:id="rId4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"Иное недвижимое имущество" вид и наименование иного недвижимого имущества не указываются.</w:t>
            </w:r>
          </w:p>
        </w:tc>
        <w:tc>
          <w:tcPr>
            <w:tcW w:w="5386"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pPr>
            <w:r>
              <w:rPr/>
              <w:t xml:space="preserve">В </w:t>
            </w:r>
            <w:hyperlink r:id="rId5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"Иное недвижимое имущество" подраздела 3.1 "Недвижимое имущество" в обязательном порядке указываются вид и наименование недвижимого имущества в соответствии с правоустанавливающими документами.</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3.</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 отражается информация о земельном участке, на котором расположен объект недвижимого имущества, находящийся в собственности.</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При наличии в собственности жилого, дачного или садового дома, гаража, информация о которых отражается в </w:t>
            </w:r>
            <w:hyperlink r:id="rId5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"Недвижимое имущество", информация о земельном участке, на котором расположен соответствующий объект недвижимого имущества, подлежит указанию в </w:t>
            </w:r>
            <w:hyperlink r:id="rId5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3.1</w:t>
              </w:r>
            </w:hyperlink>
            <w:r>
              <w:rPr/>
              <w:t xml:space="preserve"> "Сведения об имуществе" или </w:t>
            </w:r>
            <w:hyperlink r:id="rId5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6.1</w:t>
              </w:r>
            </w:hyperlink>
            <w:r>
              <w:rPr/>
              <w:t xml:space="preserve"> "Объекты недвижимого имущества, находящиеся в пользовании" (в зависимости от наличия зарегистрированного права собственности).</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4.</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 указывается точное местонахождение (адрес) объекта недвижимого имущества.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b w:val="false"/>
                <w:b w:val="false"/>
              </w:rPr>
            </w:pPr>
            <w:r>
              <w:rPr/>
              <w:t>Местонахождение (адрес) недвижимого имущества указывается согласно правоустанавливающим документам. Указываются:</w:t>
            </w:r>
          </w:p>
          <w:p>
            <w:pPr>
              <w:pStyle w:val="ConsPlusNormal"/>
              <w:tabs>
                <w:tab w:val="clear" w:pos="720"/>
              </w:tabs>
              <w:ind w:left="0" w:hanging="0"/>
              <w:jc w:val="left"/>
              <w:rPr>
                <w:b w:val="false"/>
                <w:b w:val="false"/>
              </w:rPr>
            </w:pPr>
            <w:r>
              <w:rPr/>
              <w:t>1) индекс; 2) субъект Российской Федерации; 3) район; 4) город, иной населенный пункт (село, поселок и т.д.); 5) улица (проспект, переулок и т.д.); 6) номер дома (владения, участка), корпуса (строения), квартиры.</w:t>
            </w:r>
          </w:p>
          <w:p>
            <w:pPr>
              <w:pStyle w:val="ConsPlusNormal"/>
              <w:tabs>
                <w:tab w:val="clear" w:pos="720"/>
              </w:tabs>
              <w:ind w:left="0" w:firstLine="540"/>
              <w:jc w:val="both"/>
              <w:rPr>
                <w:b w:val="false"/>
                <w:b w:val="false"/>
              </w:rPr>
            </w:pPr>
            <w:r>
              <w:rPr/>
              <w:t>Если недвижимое имущество находится за рубежом, то указывается:</w:t>
            </w:r>
          </w:p>
          <w:p>
            <w:pPr>
              <w:pStyle w:val="ConsPlusNormal"/>
              <w:tabs>
                <w:tab w:val="clear" w:pos="720"/>
              </w:tabs>
              <w:ind w:left="0" w:hanging="0"/>
              <w:jc w:val="left"/>
              <w:rPr>
                <w:b w:val="false"/>
                <w:b w:val="false"/>
              </w:rPr>
            </w:pPr>
            <w:r>
              <w:rPr/>
              <w:t>1) наименование государства;</w:t>
            </w:r>
          </w:p>
          <w:p>
            <w:pPr>
              <w:pStyle w:val="ConsPlusNormal"/>
              <w:tabs>
                <w:tab w:val="clear" w:pos="720"/>
              </w:tabs>
              <w:ind w:left="0" w:hanging="0"/>
              <w:jc w:val="left"/>
              <w:rPr>
                <w:b w:val="false"/>
                <w:b w:val="false"/>
              </w:rPr>
            </w:pPr>
            <w:r>
              <w:rPr/>
              <w:t>2) населенный пункт (иная единица административно-территориального деления);</w:t>
            </w:r>
          </w:p>
          <w:p>
            <w:pPr>
              <w:pStyle w:val="ConsPlusNormal"/>
              <w:tabs>
                <w:tab w:val="clear" w:pos="720"/>
              </w:tabs>
              <w:ind w:left="0" w:hanging="0"/>
              <w:jc w:val="left"/>
              <w:rPr>
                <w:b w:val="false"/>
                <w:b w:val="false"/>
              </w:rPr>
            </w:pPr>
            <w:r>
              <w:rPr/>
              <w:t>3) почтовый адрес.</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5.</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Неправильно указываются вид собственности и площадь недвижимого имущества.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pPr>
            <w:r>
              <w:rPr/>
              <w:t xml:space="preserve">В </w:t>
            </w:r>
            <w:hyperlink r:id="rId5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собственности" необходимо указывать вид собственности на имущество (индивидуальная, общая совместная, общая долевая). При заполнении справки для совместной собственности дополнительно указываются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w:t>
            </w:r>
          </w:p>
          <w:p>
            <w:pPr>
              <w:pStyle w:val="ConsPlusNormal"/>
              <w:tabs>
                <w:tab w:val="clear" w:pos="720"/>
              </w:tabs>
              <w:ind w:left="0" w:firstLine="283"/>
              <w:jc w:val="both"/>
              <w:rPr>
                <w:b w:val="false"/>
                <w:b w:val="false"/>
              </w:rPr>
            </w:pPr>
            <w:r>
              <w:rPr/>
              <w:t>Площадь объекта недвижимого имущества указывается на основании правоустанавливающих документов. Если недвижимое имущество принадлежит служащему (работнику), члену семьи на праве совместной собственности или долевой собственности, указывается общая площадь данного объекта, а не площадь доли.</w:t>
            </w:r>
          </w:p>
        </w:tc>
      </w:tr>
      <w:tr>
        <w:trPr/>
        <w:tc>
          <w:tcPr>
            <w:tcW w:w="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6.</w:t>
            </w:r>
          </w:p>
        </w:tc>
        <w:tc>
          <w:tcPr>
            <w:tcW w:w="3175"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5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6</w:t>
              </w:r>
            </w:hyperlink>
            <w:r>
              <w:rPr/>
              <w:t xml:space="preserve"> "Основание приобретения и источник средств" подраздела 3.1 "Недвижимое имущество":</w:t>
            </w:r>
          </w:p>
          <w:p>
            <w:pPr>
              <w:pStyle w:val="ConsPlusNormal"/>
              <w:tabs>
                <w:tab w:val="clear" w:pos="720"/>
              </w:tabs>
              <w:ind w:left="0" w:hanging="0"/>
              <w:jc w:val="left"/>
              <w:rPr>
                <w:b w:val="false"/>
                <w:b w:val="false"/>
              </w:rPr>
            </w:pPr>
            <w:r>
              <w:rPr/>
              <w:t>а) не указываются реквизиты документов, являющихся основанием приобретения (возникновения права собственности);</w:t>
            </w:r>
          </w:p>
        </w:tc>
        <w:tc>
          <w:tcPr>
            <w:tcW w:w="5386"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firstLine="283"/>
              <w:jc w:val="both"/>
              <w:rPr>
                <w:b w:val="false"/>
                <w:b w:val="false"/>
              </w:rPr>
            </w:pPr>
            <w:r>
              <w:rPr/>
              <w:t>Для каждого объекта недвижимого имущества указывается основание приобретения, например, реквизиты (номер и дата) свидетельства о государственной регистрации права собственности, регистрационный номер записи в Едином государственном реестре прав на недвижимое имущество и сделок с ним. Также указываются наименование и реквизиты (номер и дата) документа, являющегося основанием для возникновения права собственности (договор купли-продажи, договор мены, договор дарения, свидетельство о праве на наследство, решение суда и др.).</w:t>
            </w:r>
          </w:p>
        </w:tc>
      </w:tr>
      <w:tr>
        <w:trPr/>
        <w:tc>
          <w:tcPr>
            <w:tcW w:w="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hanging="0"/>
              <w:jc w:val="both"/>
              <w:rPr>
                <w:b w:val="false"/>
                <w:b w:val="false"/>
              </w:rPr>
            </w:pPr>
            <w:r>
              <w:rPr>
                <w:b w:val="false"/>
              </w:rPr>
            </w:r>
          </w:p>
        </w:tc>
        <w:tc>
          <w:tcPr>
            <w:tcW w:w="317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б) указываются сведения об источнике средств, за счет которых приобретено имущество, служащими (работниками), не обязанными указывать такие сведения.</w:t>
            </w:r>
          </w:p>
        </w:tc>
        <w:tc>
          <w:tcPr>
            <w:tcW w:w="5386"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pPr>
            <w:r>
              <w:rPr/>
              <w:t xml:space="preserve">Сведения об источнике средств, за счет которых приобретено имущество, в соответствии с Федеральным </w:t>
            </w:r>
            <w:hyperlink r:id="rId56" w:tgtFrame="Федеральный закон от 07.05.2013 N 79-ФЗ (ред. от 28.12.2016)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10;{КонсультантПлюс}">
              <w:r>
                <w:rPr>
                  <w:rStyle w:val="ListLabel3"/>
                  <w:color w:val="0000FF"/>
                </w:rPr>
                <w:t>законом</w:t>
              </w:r>
            </w:hyperlink>
            <w:r>
              <w:rPr/>
              <w:t xml:space="preserve"> от 7 мая 2013 г.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обязаны указывать служащие (работники), замещающие должности, замещение которых влечет за собой запрет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 отношении принадлежащего им, их супругам и несовершеннолетним детям имущества, находящегося за пределами территории Российской Федерации.</w:t>
            </w:r>
          </w:p>
          <w:p>
            <w:pPr>
              <w:pStyle w:val="ConsPlusNormal"/>
              <w:tabs>
                <w:tab w:val="clear" w:pos="720"/>
              </w:tabs>
              <w:ind w:left="0" w:firstLine="540"/>
              <w:jc w:val="both"/>
              <w:rPr>
                <w:b w:val="false"/>
                <w:b w:val="false"/>
              </w:rPr>
            </w:pPr>
            <w:r>
              <w:rPr/>
              <w:t>Сведения о вышеуказанном источнике отображаются в справке ежегодно, вне зависимости от года приобретения имущества.</w:t>
            </w:r>
          </w:p>
        </w:tc>
      </w:tr>
    </w:tbl>
    <w:p>
      <w:pPr>
        <w:pStyle w:val="ConsPlusNormal"/>
        <w:ind w:left="0" w:hanging="0"/>
        <w:jc w:val="both"/>
        <w:rPr/>
      </w:pPr>
      <w:r>
        <w:rPr/>
      </w:r>
    </w:p>
    <w:p>
      <w:pPr>
        <w:pStyle w:val="ConsPlusTitle"/>
        <w:numPr>
          <w:ilvl w:val="0"/>
          <w:numId w:val="0"/>
        </w:numPr>
        <w:ind w:left="0" w:hanging="0"/>
        <w:jc w:val="center"/>
        <w:outlineLvl w:val="1"/>
        <w:rPr/>
      </w:pPr>
      <w:r>
        <w:rPr/>
        <w:t>Раздел 3. "Сведения об имуществе"</w:t>
      </w:r>
    </w:p>
    <w:p>
      <w:pPr>
        <w:pStyle w:val="ConsPlusNormal"/>
        <w:ind w:left="0" w:hanging="0"/>
        <w:jc w:val="both"/>
        <w:rPr/>
      </w:pPr>
      <w:r>
        <w:rPr/>
      </w:r>
    </w:p>
    <w:p>
      <w:pPr>
        <w:pStyle w:val="ConsPlusTitle"/>
        <w:numPr>
          <w:ilvl w:val="0"/>
          <w:numId w:val="0"/>
        </w:numPr>
        <w:ind w:left="0" w:hanging="0"/>
        <w:jc w:val="center"/>
        <w:outlineLvl w:val="2"/>
        <w:rPr/>
      </w:pPr>
      <w:r>
        <w:rPr/>
        <w:t>Подраздел 3.2. "Транспортные средства"</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both"/>
              <w:rPr/>
            </w:pPr>
            <w:r>
              <w:rPr/>
              <w:t xml:space="preserve">В </w:t>
            </w:r>
            <w:hyperlink r:id="rId5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3.2</w:t>
              </w:r>
            </w:hyperlink>
            <w:r>
              <w:rPr/>
              <w:t xml:space="preserve"> "Транспортные средства" не указываются ветхие,</w:t>
            </w:r>
          </w:p>
          <w:p>
            <w:pPr>
              <w:pStyle w:val="ConsPlusNormal"/>
              <w:tabs>
                <w:tab w:val="clear" w:pos="720"/>
              </w:tabs>
              <w:ind w:left="0" w:hanging="0"/>
              <w:jc w:val="left"/>
              <w:rPr>
                <w:b w:val="false"/>
                <w:b w:val="false"/>
              </w:rPr>
            </w:pPr>
            <w:r>
              <w:rPr/>
              <w:t>негодные к эксплуатации, находящиеся в угоне транспортные средства.</w:t>
            </w:r>
          </w:p>
        </w:tc>
        <w:tc>
          <w:tcPr>
            <w:tcW w:w="5386"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firstLine="540"/>
              <w:jc w:val="both"/>
              <w:rPr>
                <w:b w:val="false"/>
                <w:b w:val="false"/>
              </w:rPr>
            </w:pPr>
            <w:r>
              <w:rPr/>
              <w:t>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w:t>
            </w:r>
          </w:p>
          <w:p>
            <w:pPr>
              <w:pStyle w:val="ConsPlusNormal"/>
              <w:tabs>
                <w:tab w:val="clear" w:pos="720"/>
              </w:tabs>
              <w:ind w:left="0" w:firstLine="540"/>
              <w:jc w:val="both"/>
              <w:rPr>
                <w:b w:val="false"/>
                <w:b w:val="false"/>
              </w:rPr>
            </w:pPr>
            <w:r>
              <w:rPr/>
              <w:t>Транспортные средства, переданные в пользование по доверенности, находящиеся в угоне, в залоге у банка, полностью негодные к эксплуатации, не снятые с регистрационного учета и т.д., собственником которых является служащий (работник), члены его семьи, также подлежат указанию в справке.</w:t>
            </w:r>
          </w:p>
        </w:tc>
      </w:tr>
      <w:tr>
        <w:trPr/>
        <w:tc>
          <w:tcPr>
            <w:tcW w:w="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hanging="0"/>
              <w:jc w:val="both"/>
              <w:rPr>
                <w:b w:val="false"/>
                <w:b w:val="false"/>
              </w:rPr>
            </w:pPr>
            <w:r>
              <w:rPr>
                <w:b w:val="false"/>
              </w:rPr>
            </w:r>
          </w:p>
        </w:tc>
        <w:tc>
          <w:tcPr>
            <w:tcW w:w="317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 указывается вид, марка или модель транспортного средства, год его изготовления.</w:t>
            </w:r>
          </w:p>
        </w:tc>
        <w:tc>
          <w:tcPr>
            <w:tcW w:w="5386"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b w:val="false"/>
                <w:b w:val="false"/>
              </w:rPr>
            </w:pPr>
            <w:r>
              <w:rPr/>
              <w:t>Обязательно указываются вид, марка, модель транспортного средства, год его изготовления.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both"/>
              <w:rPr>
                <w:b w:val="false"/>
                <w:b w:val="false"/>
              </w:rPr>
            </w:pPr>
            <w:r>
              <w:rPr/>
              <w:t>Неверно указывается место регистрации транспортного средства.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При заполнении </w:t>
            </w:r>
            <w:hyperlink r:id="rId5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поля</w:t>
              </w:r>
            </w:hyperlink>
            <w:r>
              <w:rPr/>
              <w:t xml:space="preserve"> "Место регистрации" указывается наименование органа внутренних дел, осуществившего регистрационный учет транспортного средства, например МО ГИБДД ТНРЭР N 2 ГУ МВД России по г. Москве и т.д. Указанные данные заполняются согласно свидетельству о регистрации транспортного средства.</w:t>
            </w:r>
          </w:p>
        </w:tc>
      </w:tr>
    </w:tbl>
    <w:p>
      <w:pPr>
        <w:pStyle w:val="ConsPlusNormal"/>
        <w:ind w:left="0" w:hanging="0"/>
        <w:jc w:val="both"/>
        <w:rPr/>
      </w:pPr>
      <w:r>
        <w:rPr/>
      </w:r>
    </w:p>
    <w:p>
      <w:pPr>
        <w:pStyle w:val="ConsPlusTitle"/>
        <w:numPr>
          <w:ilvl w:val="0"/>
          <w:numId w:val="0"/>
        </w:numPr>
        <w:ind w:left="0" w:hanging="0"/>
        <w:jc w:val="center"/>
        <w:outlineLvl w:val="1"/>
        <w:rPr/>
      </w:pPr>
      <w:r>
        <w:rPr/>
        <w:t>Раздел 4. Сведения о счетах в банках и иных</w:t>
      </w:r>
    </w:p>
    <w:p>
      <w:pPr>
        <w:pStyle w:val="ConsPlusTitle"/>
        <w:ind w:left="0" w:hanging="0"/>
        <w:jc w:val="center"/>
        <w:rPr/>
      </w:pPr>
      <w:r>
        <w:rPr/>
        <w:t>кредитных организациях</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5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6</w:t>
              </w:r>
            </w:hyperlink>
            <w:r>
              <w:rPr/>
              <w:t xml:space="preserve"> "Сумма поступивших на счет денежных средств" раздела 4 "Сведения о счетах в банках и иных кредитных организациях":</w:t>
            </w:r>
          </w:p>
          <w:p>
            <w:pPr>
              <w:pStyle w:val="ConsPlusNormal"/>
              <w:tabs>
                <w:tab w:val="clear" w:pos="720"/>
              </w:tabs>
              <w:ind w:left="0" w:hanging="0"/>
              <w:jc w:val="left"/>
              <w:rPr>
                <w:b w:val="false"/>
                <w:b w:val="false"/>
              </w:rPr>
            </w:pPr>
            <w:r>
              <w:rPr/>
              <w:t>а) не указывается сумма денежных поступлений на счет за отчетный период, превышающая общий доход служащего (работника) и его супруги (супруга) за отчетный период и два предшествующих ему года, при этом к справке не прилагается выписка о движении денежных средств по счету;</w:t>
            </w:r>
          </w:p>
        </w:tc>
        <w:tc>
          <w:tcPr>
            <w:tcW w:w="5386" w:type="dxa"/>
            <w:tcBorders>
              <w:top w:val="single" w:sz="4" w:space="0" w:color="000000"/>
              <w:left w:val="single" w:sz="4" w:space="0" w:color="000000"/>
              <w:right w:val="single" w:sz="4" w:space="0" w:color="000000"/>
              <w:insideV w:val="single" w:sz="4" w:space="0" w:color="000000"/>
            </w:tcBorders>
            <w:shd w:fill="auto" w:val="clear"/>
          </w:tcPr>
          <w:p>
            <w:pPr>
              <w:pStyle w:val="ConsPlusNormal"/>
              <w:tabs>
                <w:tab w:val="clear" w:pos="720"/>
              </w:tabs>
              <w:ind w:left="0" w:firstLine="540"/>
              <w:jc w:val="both"/>
              <w:rPr/>
            </w:pPr>
            <w:r>
              <w:rPr/>
              <w:t xml:space="preserve">В </w:t>
            </w:r>
            <w:hyperlink r:id="rId6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6</w:t>
              </w:r>
            </w:hyperlink>
            <w:r>
              <w:rPr/>
              <w:t xml:space="preserve"> "Сумма поступивших на счет денежных средств" раздела 4 "Сведения о счетах в банках и иных кредитных организациях" обязательно указывается общая сумма денежных поступлений на счет за отчетный период (включая займы от физических лиц и переводы денежных средств с других счетов служащего (работника), его супруги (супруга) и несовершеннолетних детей), если указанная сумма превышает общий доход служащего (работника) и его супруги (супруга) за отчетный период и два предшествующих ему года.</w:t>
            </w:r>
          </w:p>
          <w:p>
            <w:pPr>
              <w:pStyle w:val="ConsPlusNormal"/>
              <w:tabs>
                <w:tab w:val="clear" w:pos="720"/>
              </w:tabs>
              <w:ind w:left="0" w:firstLine="540"/>
              <w:jc w:val="both"/>
              <w:rPr>
                <w:b w:val="false"/>
                <w:b w:val="false"/>
              </w:rPr>
            </w:pPr>
            <w:r>
              <w:rPr/>
              <w:t>В этом случае к справке в обязательном порядке прилагается выписка о движении денежных средств по данному счету за отчетный период.</w:t>
            </w:r>
          </w:p>
        </w:tc>
      </w:tr>
      <w:tr>
        <w:trPr/>
        <w:tc>
          <w:tcPr>
            <w:tcW w:w="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ind w:left="0" w:hanging="0"/>
              <w:jc w:val="both"/>
              <w:rPr>
                <w:b w:val="false"/>
                <w:b w:val="false"/>
              </w:rPr>
            </w:pPr>
            <w:r>
              <w:rPr>
                <w:b w:val="false"/>
              </w:rPr>
            </w:r>
          </w:p>
        </w:tc>
        <w:tc>
          <w:tcPr>
            <w:tcW w:w="317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б) указывается сумма денежных поступлений на счет за отчетный период, не превышающая общий доход служащего (работника) и его супруги (супруга) за отчетный период и два предшествующих ему года.</w:t>
            </w:r>
          </w:p>
        </w:tc>
        <w:tc>
          <w:tcPr>
            <w:tcW w:w="5386"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pPr>
            <w:r>
              <w:rPr/>
              <w:t xml:space="preserve">В случае, если общая сумма денежных поступлений на счет за отчетный период не превышает общий доход служащего (работника) и его супруги (супруга) за отчетный период и два предшествующих ему года, </w:t>
            </w:r>
            <w:hyperlink r:id="rId6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графа 6</w:t>
              </w:r>
            </w:hyperlink>
            <w:r>
              <w:rPr/>
              <w:t xml:space="preserve"> "Сумма поступивших на счет денежных средств" раздела 4 "Сведения о счетах в банках и иных кредитных организациях" не заполняется.</w:t>
            </w:r>
          </w:p>
          <w:p>
            <w:pPr>
              <w:pStyle w:val="ConsPlusNormal"/>
              <w:tabs>
                <w:tab w:val="clear" w:pos="720"/>
              </w:tabs>
              <w:ind w:left="0" w:firstLine="540"/>
              <w:jc w:val="both"/>
              <w:rPr>
                <w:b w:val="false"/>
                <w:b w:val="false"/>
              </w:rPr>
            </w:pPr>
            <w:r>
              <w:rPr/>
              <w:t>Рекомендация: для получения сведений о общей сумме денежных поступлений на счет за отчетный период следует обратиться в банк (кредитную организацию), в котором открыт счет.</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both"/>
              <w:rPr>
                <w:b w:val="false"/>
                <w:b w:val="false"/>
              </w:rPr>
            </w:pPr>
            <w:r>
              <w:rPr/>
              <w:t>Указываются не все счета в банках, открытые по состоянию на отчетную дату.</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b w:val="false"/>
                <w:b w:val="false"/>
              </w:rPr>
            </w:pPr>
            <w:r>
              <w:rPr/>
              <w:t>В данном разделе справки отражается информация обо всех счетах, открытых по состоянию на отчетную дату, вне зависимости от даты и цели их открытия, цели использования, в том числе:</w:t>
            </w:r>
          </w:p>
          <w:p>
            <w:pPr>
              <w:pStyle w:val="ConsPlusNormal"/>
              <w:tabs>
                <w:tab w:val="clear" w:pos="720"/>
              </w:tabs>
              <w:ind w:left="0" w:firstLine="540"/>
              <w:jc w:val="both"/>
              <w:rPr>
                <w:b w:val="false"/>
                <w:b w:val="false"/>
              </w:rPr>
            </w:pPr>
            <w:r>
              <w:rPr/>
              <w:t>1) счета, на которых находятся денежные средства, принадлежащие служащему (работнику), члену его семьи (или права на которые принадлежат данному лицу), при этом данный служащий (работник), член его семьи не является клиентом банка (в том числе индивидуальный инвестиционный счет);</w:t>
            </w:r>
          </w:p>
          <w:p>
            <w:pPr>
              <w:pStyle w:val="ConsPlusNormal"/>
              <w:tabs>
                <w:tab w:val="clear" w:pos="720"/>
              </w:tabs>
              <w:ind w:left="0" w:firstLine="540"/>
              <w:jc w:val="both"/>
              <w:rPr>
                <w:b w:val="false"/>
                <w:b w:val="false"/>
              </w:rPr>
            </w:pPr>
            <w:r>
              <w:rPr/>
              <w:t>2) счета с нулевым остатком на 31 декабря отчетного года (отчетную дату);</w:t>
            </w:r>
          </w:p>
          <w:p>
            <w:pPr>
              <w:pStyle w:val="ConsPlusNormal"/>
              <w:tabs>
                <w:tab w:val="clear" w:pos="720"/>
              </w:tabs>
              <w:ind w:left="0" w:firstLine="540"/>
              <w:jc w:val="both"/>
              <w:rPr>
                <w:b w:val="false"/>
                <w:b w:val="false"/>
              </w:rPr>
            </w:pPr>
            <w:r>
              <w:rPr/>
              <w:t>3) счета в иностранных банках, расположенных за пределами территории Российской Федерации;</w:t>
            </w:r>
          </w:p>
          <w:p>
            <w:pPr>
              <w:pStyle w:val="ConsPlusNormal"/>
              <w:tabs>
                <w:tab w:val="clear" w:pos="720"/>
              </w:tabs>
              <w:ind w:left="0" w:firstLine="540"/>
              <w:jc w:val="both"/>
              <w:rPr>
                <w:b w:val="false"/>
                <w:b w:val="false"/>
              </w:rPr>
            </w:pPr>
            <w:r>
              <w:rPr/>
              <w:t>4) счета, открытые в период существования СССР;</w:t>
            </w:r>
          </w:p>
          <w:p>
            <w:pPr>
              <w:pStyle w:val="ConsPlusNormal"/>
              <w:tabs>
                <w:tab w:val="clear" w:pos="720"/>
              </w:tabs>
              <w:ind w:left="0" w:firstLine="540"/>
              <w:jc w:val="both"/>
              <w:rPr>
                <w:b w:val="false"/>
                <w:b w:val="false"/>
              </w:rPr>
            </w:pPr>
            <w:r>
              <w:rPr/>
              <w:t>5) счета, открытые для погашения кредита;</w:t>
            </w:r>
          </w:p>
          <w:p>
            <w:pPr>
              <w:pStyle w:val="ConsPlusNormal"/>
              <w:tabs>
                <w:tab w:val="clear" w:pos="720"/>
              </w:tabs>
              <w:ind w:left="0" w:firstLine="540"/>
              <w:jc w:val="both"/>
              <w:rPr>
                <w:b w:val="false"/>
                <w:b w:val="false"/>
              </w:rPr>
            </w:pPr>
            <w:r>
              <w:rPr/>
              <w:t>6) счета пластиковых карт, например, различные виды социальных карт (социальная карта москвича, социальная карта студента, социальная карта учащегося), пластиковых карт для зачисления пенсии, кредитных карт;</w:t>
            </w:r>
          </w:p>
          <w:p>
            <w:pPr>
              <w:pStyle w:val="ConsPlusNormal"/>
              <w:tabs>
                <w:tab w:val="clear" w:pos="720"/>
              </w:tabs>
              <w:ind w:left="0" w:firstLine="540"/>
              <w:jc w:val="both"/>
              <w:rPr>
                <w:b w:val="false"/>
                <w:b w:val="false"/>
              </w:rPr>
            </w:pPr>
            <w:r>
              <w:rPr/>
              <w:t>7) счета, открываемые для осуществления деятельности на рынке ценных бумаг.</w:t>
            </w:r>
          </w:p>
          <w:p>
            <w:pPr>
              <w:pStyle w:val="ConsPlusNormal"/>
              <w:tabs>
                <w:tab w:val="clear" w:pos="720"/>
              </w:tabs>
              <w:ind w:left="0" w:firstLine="540"/>
              <w:jc w:val="both"/>
              <w:rPr>
                <w:b w:val="false"/>
                <w:b w:val="false"/>
              </w:rPr>
            </w:pPr>
            <w:r>
              <w:rPr/>
              <w:t>Подлежит указанию информация о счетах пластиковых карт даже в случаях окончания срока действия этих карт (их блокировки), если счет данной карты не был закрыт банком или иной кредитной организацией по письменному заявлению держателя карты (счет карты закрывается, как правило, через 45 дней с даты поступления заявления).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3.</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Некорректно указывается дата открытия счета и остаток на счете.</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В </w:t>
            </w:r>
            <w:hyperlink r:id="rId6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поле</w:t>
              </w:r>
            </w:hyperlink>
            <w:r>
              <w:rPr/>
              <w:t xml:space="preserve"> "Дата открытия счета" подлежит указанию соответствующая информация о счете, а не о пластиковой карте (дате ее выпуска, повторного выпуска при окончании срока действия предыдущей карты) и не о вкладе (дате зачисления денежных средств на счет).</w:t>
            </w:r>
          </w:p>
          <w:p>
            <w:pPr>
              <w:pStyle w:val="ConsPlusNormal"/>
              <w:tabs>
                <w:tab w:val="clear" w:pos="720"/>
              </w:tabs>
              <w:ind w:left="0" w:firstLine="540"/>
              <w:jc w:val="both"/>
              <w:rPr>
                <w:b w:val="false"/>
                <w:b w:val="false"/>
              </w:rPr>
            </w:pPr>
            <w:r>
              <w:rPr/>
              <w:t>Рекомендация: для получения достоверных сведений о дате открытия счета в банке (иной кредитной организации), виде такого счета, остатка на нем по состоянию на отчетную дату следует обратиться в банк или соответствующую кредитную организацию.</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4.</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both"/>
              <w:rPr>
                <w:b w:val="false"/>
                <w:b w:val="false"/>
              </w:rPr>
            </w:pPr>
            <w:r>
              <w:rPr/>
              <w:t>Некорректно указываются остатки денежных средств для счетов в иностранной валюте.</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b w:val="false"/>
                <w:b w:val="false"/>
              </w:rPr>
            </w:pPr>
            <w:r>
              <w:rPr/>
              <w:t>Для счетов в иностранной валюте остаток указывается в рублях по курсу Банка России на отчетную дату. Сведения об официальных курсах валют на заданную дату, устанавливаемых Центральным банком Российской Федерации, доступны на официальном сайте Банка России.</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5.</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both"/>
              <w:rPr>
                <w:b w:val="false"/>
                <w:b w:val="false"/>
              </w:rPr>
            </w:pPr>
            <w:r>
              <w:rPr/>
              <w:t>Неверно указывается остаток на счете по кредитной карте, карте с овердрафтом.</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Учитывая, что средства на кредитной карте отражают обязательства ее держателя перед кредитным учреждением, а не сумму на счете, в </w:t>
            </w:r>
            <w:hyperlink r:id="rId6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"остаток на счете" необходимо указывать ноль "0".</w:t>
            </w:r>
          </w:p>
          <w:p>
            <w:pPr>
              <w:pStyle w:val="ConsPlusNormal"/>
              <w:tabs>
                <w:tab w:val="clear" w:pos="720"/>
              </w:tabs>
              <w:ind w:left="0" w:firstLine="540"/>
              <w:jc w:val="both"/>
              <w:rPr>
                <w:b w:val="false"/>
                <w:b w:val="false"/>
              </w:rPr>
            </w:pPr>
            <w:r>
              <w:rPr/>
              <w:t>Денежные средства, размещенные держателем на кредитной карте и не "списанные" банком или кредитной организацией до 31 декабря или иной отчетной даты в счет имеющейся задолженности, в справке указываются как принадлежащие держателю денежные средства, т.е. положительный остаток.</w:t>
            </w:r>
          </w:p>
          <w:p>
            <w:pPr>
              <w:pStyle w:val="ConsPlusNormal"/>
              <w:tabs>
                <w:tab w:val="clear" w:pos="720"/>
              </w:tabs>
              <w:ind w:left="0" w:firstLine="540"/>
              <w:jc w:val="both"/>
              <w:rPr>
                <w:b w:val="false"/>
                <w:b w:val="false"/>
              </w:rPr>
            </w:pPr>
            <w:r>
              <w:rPr/>
              <w:t>Аналогичным образом отражаются сведения о карте с овердрафтом. Если средства по овердрафту использованы, остаток на данном счете по состоянию на отчетную дату также указывается ноль "0".</w:t>
            </w:r>
          </w:p>
        </w:tc>
      </w:tr>
    </w:tbl>
    <w:p>
      <w:pPr>
        <w:pStyle w:val="ConsPlusNormal"/>
        <w:ind w:left="0" w:hanging="0"/>
        <w:jc w:val="both"/>
        <w:rPr/>
      </w:pPr>
      <w:r>
        <w:rPr/>
      </w:r>
    </w:p>
    <w:p>
      <w:pPr>
        <w:pStyle w:val="ConsPlusTitle"/>
        <w:numPr>
          <w:ilvl w:val="0"/>
          <w:numId w:val="0"/>
        </w:numPr>
        <w:ind w:left="0" w:hanging="0"/>
        <w:jc w:val="center"/>
        <w:outlineLvl w:val="1"/>
        <w:rPr/>
      </w:pPr>
      <w:r>
        <w:rPr/>
        <w:t>Раздел 5 "Сведения о ценных бумагах"</w:t>
      </w:r>
    </w:p>
    <w:p>
      <w:pPr>
        <w:pStyle w:val="ConsPlusNormal"/>
        <w:ind w:left="0" w:hanging="0"/>
        <w:jc w:val="both"/>
        <w:rPr/>
      </w:pPr>
      <w:r>
        <w:rPr/>
      </w:r>
    </w:p>
    <w:tbl>
      <w:tblPr>
        <w:tblW w:w="907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10"/>
        <w:gridCol w:w="3175"/>
        <w:gridCol w:w="5386"/>
      </w:tblGrid>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hanging="0"/>
              <w:jc w:val="left"/>
              <w:rPr>
                <w:b w:val="false"/>
                <w:b w:val="false"/>
              </w:rPr>
            </w:pPr>
            <w:r>
              <w:rPr/>
              <w:t>Не указываются ценные бумаги, акции, доли участия в уставных капиталах организаций, принадлежащие служащему (работнику), члену семьи, переданные в доверительное управление.</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pPr>
            <w:r>
              <w:rPr/>
              <w:t xml:space="preserve">В данном </w:t>
            </w:r>
            <w:hyperlink r:id="rId6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указываются сведения об имеющихся ценных бумагах, долях участия в уставных капиталах коммерческих организаций и фондах, в том числе переданные собственником в доверительное управление.</w:t>
            </w:r>
          </w:p>
        </w:tc>
      </w:tr>
      <w:tr>
        <w:trPr/>
        <w:tc>
          <w:tcPr>
            <w:tcW w:w="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Неверно указывается уставный капитал организации.</w:t>
            </w:r>
          </w:p>
        </w:tc>
        <w:tc>
          <w:tcPr>
            <w:tcW w:w="538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b w:val="false"/>
                <w:b w:val="false"/>
              </w:rPr>
            </w:pPr>
            <w:r>
              <w:rPr/>
              <w:t>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w:t>
            </w:r>
          </w:p>
          <w:p>
            <w:pPr>
              <w:pStyle w:val="ConsPlusNormal"/>
              <w:tabs>
                <w:tab w:val="clear" w:pos="720"/>
              </w:tabs>
              <w:ind w:left="0" w:firstLine="540"/>
              <w:jc w:val="both"/>
              <w:rPr>
                <w:b w:val="false"/>
                <w:b w:val="false"/>
              </w:rPr>
            </w:pPr>
            <w:r>
              <w:rPr/>
              <w:t>Рекомендация: для получения информации об уставном капитале организации следует обратиться в соответствующую организацию.</w:t>
            </w:r>
          </w:p>
        </w:tc>
      </w:tr>
    </w:tbl>
    <w:p>
      <w:pPr>
        <w:pStyle w:val="ConsPlusNormal"/>
        <w:ind w:left="0" w:hanging="0"/>
        <w:jc w:val="both"/>
        <w:rPr/>
      </w:pPr>
      <w:r>
        <w:rPr/>
      </w:r>
    </w:p>
    <w:p>
      <w:pPr>
        <w:pStyle w:val="ConsPlusTitle"/>
        <w:numPr>
          <w:ilvl w:val="0"/>
          <w:numId w:val="0"/>
        </w:numPr>
        <w:ind w:left="0" w:hanging="0"/>
        <w:jc w:val="center"/>
        <w:outlineLvl w:val="1"/>
        <w:rPr/>
      </w:pPr>
      <w:r>
        <w:rPr/>
        <w:t>Раздел 6 "Сведения об обязательствах</w:t>
      </w:r>
    </w:p>
    <w:p>
      <w:pPr>
        <w:pStyle w:val="ConsPlusTitle"/>
        <w:ind w:left="0" w:hanging="0"/>
        <w:jc w:val="center"/>
        <w:rPr/>
      </w:pPr>
      <w:r>
        <w:rPr/>
        <w:t>имущественного характера"</w:t>
      </w:r>
    </w:p>
    <w:p>
      <w:pPr>
        <w:pStyle w:val="ConsPlusNormal"/>
        <w:ind w:left="0" w:hanging="0"/>
        <w:jc w:val="both"/>
        <w:rPr/>
      </w:pPr>
      <w:r>
        <w:rPr/>
      </w:r>
    </w:p>
    <w:p>
      <w:pPr>
        <w:pStyle w:val="ConsPlusTitle"/>
        <w:numPr>
          <w:ilvl w:val="0"/>
          <w:numId w:val="0"/>
        </w:numPr>
        <w:ind w:left="0" w:hanging="0"/>
        <w:jc w:val="center"/>
        <w:outlineLvl w:val="2"/>
        <w:rPr/>
      </w:pPr>
      <w:r>
        <w:rPr/>
        <w:t>Подраздел 6.1 "Объекты недвижимого имущества, находящиеся</w:t>
      </w:r>
    </w:p>
    <w:p>
      <w:pPr>
        <w:pStyle w:val="ConsPlusTitle"/>
        <w:ind w:left="0" w:hanging="0"/>
        <w:jc w:val="center"/>
        <w:rPr/>
      </w:pPr>
      <w:r>
        <w:rPr/>
        <w:t>в пользовании"</w:t>
      </w:r>
    </w:p>
    <w:p>
      <w:pPr>
        <w:pStyle w:val="ConsPlusNormal"/>
        <w:ind w:left="0" w:hanging="0"/>
        <w:jc w:val="both"/>
        <w:rPr/>
      </w:pPr>
      <w:r>
        <w:rPr/>
      </w:r>
    </w:p>
    <w:tbl>
      <w:tblPr>
        <w:tblW w:w="9070"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08"/>
        <w:gridCol w:w="3175"/>
        <w:gridCol w:w="5387"/>
      </w:tblGrid>
      <w:tr>
        <w:trPr/>
        <w:tc>
          <w:tcPr>
            <w:tcW w:w="5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1.</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6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6.1</w:t>
              </w:r>
            </w:hyperlink>
            <w:r>
              <w:rPr/>
              <w:t xml:space="preserve"> "Объекты недвижимого имущества, находящиеся в пользовании" указываются не все объекты недвижимого имущества, находящиеся в пользовании.</w:t>
            </w:r>
          </w:p>
        </w:tc>
        <w:tc>
          <w:tcPr>
            <w:tcW w:w="53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firstLine="540"/>
              <w:jc w:val="both"/>
              <w:rPr>
                <w:b w:val="false"/>
                <w:b w:val="false"/>
              </w:rPr>
            </w:pPr>
            <w:r>
              <w:rPr/>
              <w:t>В указанном подразделе в обязательном порядке отражается информация о недвижимом имуществе (дома, квартиры, комнаты, нежилые помещения, земельные участки, гаражи и др.), находящемся во временном пользовании служащего (работника) и (или) его супруги (супруга), несовершеннолетних детей.</w:t>
            </w:r>
          </w:p>
          <w:p>
            <w:pPr>
              <w:pStyle w:val="ConsPlusNormal"/>
              <w:tabs>
                <w:tab w:val="clear" w:pos="720"/>
              </w:tabs>
              <w:ind w:left="0" w:firstLine="540"/>
              <w:jc w:val="both"/>
              <w:rPr>
                <w:b w:val="false"/>
                <w:b w:val="false"/>
              </w:rPr>
            </w:pPr>
            <w:r>
              <w:rPr/>
              <w:t>Также в этом подразделе подлежат указанию сведения о жилых помещениях (дом, квартира, комната):</w:t>
            </w:r>
          </w:p>
          <w:p>
            <w:pPr>
              <w:pStyle w:val="ConsPlusNormal"/>
              <w:tabs>
                <w:tab w:val="clear" w:pos="720"/>
              </w:tabs>
              <w:ind w:left="0" w:hanging="0"/>
              <w:jc w:val="both"/>
              <w:rPr>
                <w:b w:val="false"/>
                <w:b w:val="false"/>
              </w:rPr>
            </w:pPr>
            <w:r>
              <w:rPr/>
              <w:t>- не принадлежащих служащему (работнику) или членам его семьи на праве собственности или на праве нанимателя, в которых у служащего (работника), членов его семьи имеется регистрация (постоянная или временная);</w:t>
            </w:r>
          </w:p>
          <w:p>
            <w:pPr>
              <w:pStyle w:val="ConsPlusNormal"/>
              <w:tabs>
                <w:tab w:val="clear" w:pos="720"/>
              </w:tabs>
              <w:ind w:left="0" w:hanging="0"/>
              <w:jc w:val="both"/>
              <w:rPr>
                <w:b w:val="false"/>
                <w:b w:val="false"/>
              </w:rPr>
            </w:pPr>
            <w:r>
              <w:rPr/>
              <w:t>- где служащий (работник), члены его семьи фактически проживают без заключения договора аренды, безвозмездного пользования или социального найма;</w:t>
            </w:r>
          </w:p>
          <w:p>
            <w:pPr>
              <w:pStyle w:val="ConsPlusNormal"/>
              <w:tabs>
                <w:tab w:val="clear" w:pos="720"/>
              </w:tabs>
              <w:ind w:left="0" w:hanging="0"/>
              <w:jc w:val="both"/>
              <w:rPr>
                <w:b w:val="false"/>
                <w:b w:val="false"/>
              </w:rPr>
            </w:pPr>
            <w:r>
              <w:rPr/>
              <w:t>- занимаемых по договору аренды (найма, поднайма);</w:t>
            </w:r>
          </w:p>
          <w:p>
            <w:pPr>
              <w:pStyle w:val="ConsPlusNormal"/>
              <w:tabs>
                <w:tab w:val="clear" w:pos="720"/>
              </w:tabs>
              <w:ind w:left="0" w:hanging="0"/>
              <w:jc w:val="both"/>
              <w:rPr>
                <w:b w:val="false"/>
                <w:b w:val="false"/>
              </w:rPr>
            </w:pPr>
            <w:r>
              <w:rPr/>
              <w:t>- занимаемых по договорам социального найма;</w:t>
            </w:r>
          </w:p>
          <w:p>
            <w:pPr>
              <w:pStyle w:val="ConsPlusNormal"/>
              <w:tabs>
                <w:tab w:val="clear" w:pos="720"/>
              </w:tabs>
              <w:ind w:left="0" w:hanging="0"/>
              <w:jc w:val="both"/>
              <w:rPr>
                <w:b w:val="false"/>
                <w:b w:val="false"/>
              </w:rPr>
            </w:pPr>
            <w:r>
              <w:rPr/>
              <w:t>- находящихся в завершающей стадии строительства и возможно пригодных к проживанию, но не зарегистрированных в установленном порядке органами Росреестра, т.е. без свидетельства о праве собственности</w:t>
            </w:r>
          </w:p>
          <w:p>
            <w:pPr>
              <w:pStyle w:val="ConsPlusNormal"/>
              <w:tabs>
                <w:tab w:val="clear" w:pos="720"/>
              </w:tabs>
              <w:ind w:left="0" w:hanging="0"/>
              <w:jc w:val="both"/>
              <w:rPr>
                <w:b w:val="false"/>
                <w:b w:val="false"/>
              </w:rPr>
            </w:pPr>
            <w:r>
              <w:rPr/>
              <w:t>- принадлежащем на праве пожизненного наследуемого владения земельным участком.</w:t>
            </w:r>
          </w:p>
        </w:tc>
      </w:tr>
      <w:tr>
        <w:trPr/>
        <w:tc>
          <w:tcPr>
            <w:tcW w:w="5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2.</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Неверно указывается площадь объекта недвижимого имущества, находящегося в пользовании.</w:t>
            </w:r>
          </w:p>
        </w:tc>
        <w:tc>
          <w:tcPr>
            <w:tcW w:w="53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b w:val="false"/>
                <w:b w:val="false"/>
              </w:rPr>
            </w:pPr>
            <w:r>
              <w:rPr/>
              <w:t>При найме комнаты в квартире, пользовании частью земельного участка, частью дома (дачи) указывается общая площадь объекта недвижимого имущества, находящегося в пользовании, а не его часть, находящаяся в пользовании.</w:t>
            </w:r>
          </w:p>
        </w:tc>
      </w:tr>
    </w:tbl>
    <w:p>
      <w:pPr>
        <w:pStyle w:val="ConsPlusNormal"/>
        <w:ind w:left="0" w:hanging="0"/>
        <w:jc w:val="both"/>
        <w:rPr/>
      </w:pPr>
      <w:r>
        <w:rPr/>
      </w:r>
    </w:p>
    <w:p>
      <w:pPr>
        <w:pStyle w:val="ConsPlusTitle"/>
        <w:numPr>
          <w:ilvl w:val="0"/>
          <w:numId w:val="0"/>
        </w:numPr>
        <w:ind w:left="0" w:hanging="0"/>
        <w:jc w:val="center"/>
        <w:outlineLvl w:val="1"/>
        <w:rPr/>
      </w:pPr>
      <w:r>
        <w:rPr/>
        <w:t>Раздел 6 "Сведения об обязательствах</w:t>
      </w:r>
    </w:p>
    <w:p>
      <w:pPr>
        <w:pStyle w:val="ConsPlusTitle"/>
        <w:ind w:left="0" w:hanging="0"/>
        <w:jc w:val="center"/>
        <w:rPr/>
      </w:pPr>
      <w:r>
        <w:rPr/>
        <w:t>имущественного характера"</w:t>
      </w:r>
    </w:p>
    <w:p>
      <w:pPr>
        <w:pStyle w:val="ConsPlusNormal"/>
        <w:ind w:left="0" w:hanging="0"/>
        <w:jc w:val="both"/>
        <w:rPr/>
      </w:pPr>
      <w:r>
        <w:rPr/>
      </w:r>
    </w:p>
    <w:p>
      <w:pPr>
        <w:pStyle w:val="ConsPlusTitle"/>
        <w:numPr>
          <w:ilvl w:val="0"/>
          <w:numId w:val="0"/>
        </w:numPr>
        <w:ind w:left="0" w:hanging="0"/>
        <w:jc w:val="center"/>
        <w:outlineLvl w:val="2"/>
        <w:rPr/>
      </w:pPr>
      <w:r>
        <w:rPr/>
        <w:t>Подраздел 6.2 "Срочные обязательства финансового характера"</w:t>
      </w:r>
    </w:p>
    <w:p>
      <w:pPr>
        <w:pStyle w:val="ConsPlusNormal"/>
        <w:ind w:left="0" w:hanging="0"/>
        <w:jc w:val="both"/>
        <w:rPr/>
      </w:pPr>
      <w:r>
        <w:rPr/>
      </w:r>
    </w:p>
    <w:tbl>
      <w:tblPr>
        <w:tblW w:w="9070"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508"/>
        <w:gridCol w:w="3175"/>
        <w:gridCol w:w="5387"/>
      </w:tblGrid>
      <w:tr>
        <w:trPr/>
        <w:tc>
          <w:tcPr>
            <w:tcW w:w="5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N</w:t>
            </w:r>
          </w:p>
          <w:p>
            <w:pPr>
              <w:pStyle w:val="ConsPlusNormal"/>
              <w:tabs>
                <w:tab w:val="clear" w:pos="720"/>
              </w:tabs>
              <w:ind w:left="0" w:hanging="0"/>
              <w:jc w:val="center"/>
              <w:rPr>
                <w:b w:val="false"/>
                <w:b w:val="false"/>
              </w:rPr>
            </w:pPr>
            <w:r>
              <w:rPr/>
              <w:t>п/п</w:t>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Ошибка</w:t>
            </w:r>
          </w:p>
        </w:tc>
        <w:tc>
          <w:tcPr>
            <w:tcW w:w="53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center"/>
              <w:rPr>
                <w:b w:val="false"/>
                <w:b w:val="false"/>
              </w:rPr>
            </w:pPr>
            <w:r>
              <w:rPr/>
              <w:t>Правильные действия</w:t>
            </w:r>
          </w:p>
        </w:tc>
      </w:tr>
      <w:tr>
        <w:trPr/>
        <w:tc>
          <w:tcPr>
            <w:tcW w:w="50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b w:val="false"/>
              </w:rPr>
            </w:r>
          </w:p>
        </w:tc>
        <w:tc>
          <w:tcPr>
            <w:tcW w:w="31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
              <w:tabs>
                <w:tab w:val="clear" w:pos="720"/>
              </w:tabs>
              <w:ind w:left="0" w:hanging="0"/>
              <w:jc w:val="left"/>
              <w:rPr/>
            </w:pPr>
            <w:r>
              <w:rPr/>
              <w:t xml:space="preserve">В </w:t>
            </w:r>
            <w:hyperlink r:id="rId6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"Срочные обязательства финансового характера" не всегда правильно и обоснованно указываются срочные обязательства финансового характера (заем, кредит и другие).</w:t>
            </w:r>
          </w:p>
        </w:tc>
        <w:tc>
          <w:tcPr>
            <w:tcW w:w="53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bottom"/>
          </w:tcPr>
          <w:p>
            <w:pPr>
              <w:pStyle w:val="ConsPlusNormal"/>
              <w:tabs>
                <w:tab w:val="clear" w:pos="720"/>
              </w:tabs>
              <w:ind w:left="0" w:firstLine="540"/>
              <w:jc w:val="both"/>
              <w:rPr/>
            </w:pPr>
            <w:r>
              <w:rPr/>
              <w:t xml:space="preserve">В </w:t>
            </w:r>
            <w:hyperlink r:id="rId6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"Срочные обязательства финансового характера" указывается каждое имеющееся на отчетную дату срочное обязательство финансового характера на сумму, равную или превышающую 500 000 рублей, кредитором или должником по которым является служащий (работник) и (или) его супруга (супруг) и (или) несовершеннолетний ребенок. При этом в данном подразделе, в том числе, подлежат указанию:</w:t>
            </w:r>
          </w:p>
          <w:p>
            <w:pPr>
              <w:pStyle w:val="ConsPlusNormal"/>
              <w:tabs>
                <w:tab w:val="clear" w:pos="720"/>
              </w:tabs>
              <w:ind w:left="0" w:hanging="0"/>
              <w:jc w:val="both"/>
              <w:rPr>
                <w:b w:val="false"/>
                <w:b w:val="false"/>
              </w:rPr>
            </w:pPr>
            <w:r>
              <w:rPr/>
              <w:t>- договор участия в долевом строительстве объекта недвижимости;</w:t>
            </w:r>
          </w:p>
          <w:p>
            <w:pPr>
              <w:pStyle w:val="ConsPlusNormal"/>
              <w:tabs>
                <w:tab w:val="clear" w:pos="720"/>
              </w:tabs>
              <w:ind w:left="0" w:hanging="0"/>
              <w:jc w:val="both"/>
              <w:rPr>
                <w:b w:val="false"/>
                <w:b w:val="false"/>
              </w:rPr>
            </w:pPr>
            <w:r>
              <w:rPr/>
              <w:t>-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рублей);</w:t>
            </w:r>
          </w:p>
          <w:p>
            <w:pPr>
              <w:pStyle w:val="ConsPlusNormal"/>
              <w:tabs>
                <w:tab w:val="clear" w:pos="720"/>
              </w:tabs>
              <w:ind w:left="0" w:hanging="0"/>
              <w:jc w:val="both"/>
              <w:rPr>
                <w:b w:val="false"/>
                <w:b w:val="false"/>
              </w:rPr>
            </w:pPr>
            <w:r>
              <w:rPr/>
              <w:t>- договор финансовой аренды (лизинг);</w:t>
            </w:r>
          </w:p>
          <w:p>
            <w:pPr>
              <w:pStyle w:val="ConsPlusNormal"/>
              <w:tabs>
                <w:tab w:val="clear" w:pos="720"/>
              </w:tabs>
              <w:ind w:left="0" w:hanging="0"/>
              <w:jc w:val="both"/>
              <w:rPr>
                <w:b w:val="false"/>
                <w:b w:val="false"/>
              </w:rPr>
            </w:pPr>
            <w:r>
              <w:rPr/>
              <w:t>- договор займа;</w:t>
            </w:r>
          </w:p>
          <w:p>
            <w:pPr>
              <w:pStyle w:val="ConsPlusNormal"/>
              <w:tabs>
                <w:tab w:val="clear" w:pos="720"/>
              </w:tabs>
              <w:ind w:left="0" w:hanging="0"/>
              <w:jc w:val="both"/>
              <w:rPr>
                <w:b w:val="false"/>
                <w:b w:val="false"/>
              </w:rPr>
            </w:pPr>
            <w:r>
              <w:rPr/>
              <w:t>- договор финансирования под уступку денежного требования;</w:t>
            </w:r>
          </w:p>
          <w:p>
            <w:pPr>
              <w:pStyle w:val="ConsPlusNormal"/>
              <w:tabs>
                <w:tab w:val="clear" w:pos="720"/>
              </w:tabs>
              <w:ind w:left="0" w:hanging="0"/>
              <w:jc w:val="both"/>
              <w:rPr>
                <w:b w:val="false"/>
                <w:b w:val="false"/>
              </w:rPr>
            </w:pPr>
            <w:r>
              <w:rPr/>
              <w:t>- обязательства, связанные с заключением договора об уступке права требования;</w:t>
            </w:r>
          </w:p>
          <w:p>
            <w:pPr>
              <w:pStyle w:val="ConsPlusNormal"/>
              <w:tabs>
                <w:tab w:val="clear" w:pos="720"/>
              </w:tabs>
              <w:ind w:left="0" w:hanging="0"/>
              <w:jc w:val="both"/>
              <w:rPr>
                <w:b w:val="false"/>
                <w:b w:val="false"/>
              </w:rPr>
            </w:pPr>
            <w:r>
              <w:rPr/>
              <w:t>- обязательства вследствие причинения вреда (финансовые);</w:t>
            </w:r>
          </w:p>
          <w:p>
            <w:pPr>
              <w:pStyle w:val="ConsPlusNormal"/>
              <w:tabs>
                <w:tab w:val="clear" w:pos="720"/>
              </w:tabs>
              <w:ind w:left="0" w:hanging="0"/>
              <w:jc w:val="both"/>
              <w:rPr>
                <w:b w:val="false"/>
                <w:b w:val="false"/>
              </w:rPr>
            </w:pPr>
            <w:r>
              <w:rPr/>
              <w:t>- обязательства по договору поручительства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pPr>
              <w:pStyle w:val="ConsPlusNormal"/>
              <w:tabs>
                <w:tab w:val="clear" w:pos="720"/>
              </w:tabs>
              <w:ind w:left="0" w:hanging="0"/>
              <w:jc w:val="both"/>
              <w:rPr>
                <w:b w:val="false"/>
                <w:b w:val="false"/>
              </w:rPr>
            </w:pPr>
            <w:r>
              <w:rPr/>
              <w:t>- обязательства по уплате алиментов (если по состоянию на отчетную дату сумма невыплаченных алиментов равна или превышает 500 000 руб.);</w:t>
            </w:r>
          </w:p>
          <w:p>
            <w:pPr>
              <w:pStyle w:val="ConsPlusNormal"/>
              <w:tabs>
                <w:tab w:val="clear" w:pos="720"/>
              </w:tabs>
              <w:ind w:left="0" w:hanging="0"/>
              <w:jc w:val="both"/>
              <w:rPr>
                <w:b w:val="false"/>
                <w:b w:val="false"/>
              </w:rPr>
            </w:pPr>
            <w:r>
              <w:rPr/>
              <w:t>-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pPr>
              <w:pStyle w:val="ConsPlusNormal"/>
              <w:tabs>
                <w:tab w:val="clear" w:pos="720"/>
              </w:tabs>
              <w:ind w:left="0" w:hanging="0"/>
              <w:jc w:val="both"/>
              <w:rPr>
                <w:b w:val="false"/>
                <w:b w:val="false"/>
              </w:rPr>
            </w:pPr>
            <w:r>
              <w:rPr/>
              <w:t>- иные обязательства, в том числе установленные решением суда.</w:t>
            </w:r>
          </w:p>
        </w:tc>
      </w:tr>
    </w:tbl>
    <w:p>
      <w:pPr>
        <w:pStyle w:val="ConsPlusNormal"/>
        <w:ind w:left="0" w:hanging="0"/>
        <w:jc w:val="both"/>
        <w:rPr/>
      </w:pPr>
      <w:r>
        <w:rPr/>
      </w:r>
    </w:p>
    <w:p>
      <w:pPr>
        <w:pStyle w:val="ConsPlusNormal"/>
        <w:ind w:left="0" w:hanging="0"/>
        <w:jc w:val="both"/>
        <w:rPr/>
      </w:pPr>
      <w:r>
        <w:rPr/>
      </w:r>
    </w:p>
    <w:p>
      <w:pPr>
        <w:pStyle w:val="ConsPlusNormal"/>
        <w:pBdr>
          <w:top w:val="single" w:sz="6" w:space="0" w:color="000000"/>
        </w:pBdr>
        <w:spacing w:before="100" w:after="100"/>
        <w:ind w:left="0" w:hanging="0"/>
        <w:jc w:val="both"/>
        <w:rPr/>
      </w:pPr>
      <w:r>
        <w:rPr/>
      </w:r>
    </w:p>
    <w:sectPr>
      <w:headerReference w:type="default" r:id="rId68"/>
      <w:footerReference w:type="default" r:id="rId69"/>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0">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Tahoma">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nsPlusNormal"/>
      <w:pBdr>
        <w:bottom w:val="single" w:sz="12" w:space="0" w:color="000000"/>
      </w:pBdr>
      <w:jc w:val="center"/>
      <w:rPr>
        <w:sz w:val="1"/>
      </w:rPr>
    </w:pPr>
    <w:r>
      <w:rPr>
        <w:sz w:val="1"/>
      </w:rPr>
    </w:r>
  </w:p>
  <w:tbl>
    <w:tblPr>
      <w:tblW w:w="10207" w:type="dxa"/>
      <w:jc w:val="left"/>
      <w:tblInd w:w="0" w:type="dxa"/>
      <w:tblBorders/>
      <w:tblCellMar>
        <w:top w:w="0" w:type="dxa"/>
        <w:left w:w="40" w:type="dxa"/>
        <w:bottom w:w="0" w:type="dxa"/>
        <w:right w:w="40" w:type="dxa"/>
      </w:tblCellMar>
    </w:tblPr>
    <w:tblGrid>
      <w:gridCol w:w="3368"/>
      <w:gridCol w:w="3470"/>
      <w:gridCol w:w="3369"/>
    </w:tblGrid>
    <w:tr>
      <w:trPr>
        <w:trHeight w:val="1663" w:hRule="exact"/>
      </w:trPr>
      <w:tc>
        <w:tcPr>
          <w:tcW w:w="3368" w:type="dxa"/>
          <w:tcBorders/>
          <w:shd w:fill="auto" w:val="clear"/>
          <w:vAlign w:val="center"/>
        </w:tcPr>
        <w:p>
          <w:pPr>
            <w:pStyle w:val="ConsPlusNormal"/>
            <w:tabs>
              <w:tab w:val="clear" w:pos="720"/>
            </w:tabs>
            <w:jc w:val="left"/>
            <w:rPr/>
          </w:pPr>
          <w:r>
            <w:rPr>
              <w:rFonts w:ascii="0" w:hAnsi="0"/>
              <w:b/>
              <w:i w:val="false"/>
              <w:color w:val="333399"/>
              <w:sz w:val="28"/>
            </w:rPr>
            <w:t>КонсультантПлюс</w:t>
          </w:r>
          <w:r>
            <w:rPr/>
            <w:br/>
          </w:r>
          <w:r>
            <w:rPr>
              <w:rFonts w:ascii="0" w:hAnsi="0"/>
              <w:b/>
              <w:i w:val="false"/>
              <w:color w:val="auto"/>
              <w:sz w:val="16"/>
            </w:rPr>
            <w:t>надежная правовая поддержка</w:t>
          </w:r>
        </w:p>
      </w:tc>
      <w:tc>
        <w:tcPr>
          <w:tcW w:w="3470" w:type="dxa"/>
          <w:tcBorders/>
          <w:shd w:fill="auto" w:val="clear"/>
          <w:vAlign w:val="center"/>
        </w:tcPr>
        <w:p>
          <w:pPr>
            <w:pStyle w:val="ConsPlusNormal"/>
            <w:tabs>
              <w:tab w:val="clear" w:pos="720"/>
            </w:tabs>
            <w:jc w:val="center"/>
            <w:rPr/>
          </w:pPr>
          <w:hyperlink r:id="rId1">
            <w:r>
              <w:rPr>
                <w:rStyle w:val="ListLabel5"/>
                <w:rFonts w:ascii="0" w:hAnsi="0"/>
                <w:b/>
                <w:i w:val="false"/>
                <w:color w:val="0000FF"/>
                <w:sz w:val="20"/>
              </w:rPr>
              <w:t>www.consultant.ru</w:t>
            </w:r>
          </w:hyperlink>
        </w:p>
      </w:tc>
      <w:tc>
        <w:tcPr>
          <w:tcW w:w="3369" w:type="dxa"/>
          <w:tcBorders/>
          <w:shd w:fill="auto" w:val="clear"/>
          <w:vAlign w:val="center"/>
        </w:tcPr>
        <w:p>
          <w:pPr>
            <w:pStyle w:val="ConsPlusNormal"/>
            <w:tabs>
              <w:tab w:val="clear" w:pos="720"/>
            </w:tabs>
            <w:jc w:val="right"/>
            <w:rPr/>
          </w:pPr>
          <w:r>
            <w:rPr>
              <w:rFonts w:ascii="0" w:hAnsi="0"/>
              <w:b w:val="false"/>
              <w:i w:val="false"/>
              <w:sz w:val="20"/>
            </w:rPr>
            <w:t xml:space="preserve">Страница </w:t>
          </w:r>
          <w:r>
            <w:rPr/>
            <w:fldChar w:fldCharType="begin"/>
          </w:r>
          <w:r>
            <w:rPr/>
            <w:instrText> PAGE </w:instrText>
          </w:r>
          <w:r>
            <w:rPr/>
            <w:fldChar w:fldCharType="separate"/>
          </w:r>
          <w:r>
            <w:rPr/>
            <w:t>13</w:t>
          </w:r>
          <w:r>
            <w:rPr/>
            <w:fldChar w:fldCharType="end"/>
          </w:r>
          <w:r>
            <w:rPr>
              <w:rFonts w:ascii="0" w:hAnsi="0"/>
              <w:b w:val="false"/>
              <w:i w:val="false"/>
              <w:sz w:val="20"/>
            </w:rPr>
            <w:t xml:space="preserve"> из </w:t>
          </w:r>
          <w:r>
            <w:rPr/>
            <w:fldChar w:fldCharType="begin"/>
          </w:r>
          <w:r>
            <w:rPr/>
            <w:instrText> NUMPAGES </w:instrText>
          </w:r>
          <w:r>
            <w:rPr/>
            <w:fldChar w:fldCharType="separate"/>
          </w:r>
          <w:r>
            <w:rPr/>
            <w:t>13</w:t>
          </w:r>
          <w:r>
            <w:rPr/>
            <w:fldChar w:fldCharType="end"/>
          </w:r>
        </w:p>
      </w:tc>
    </w:tr>
  </w:tbl>
  <w:p>
    <w:pPr>
      <w:pStyle w:val="ConsPlusNormal"/>
      <w:rPr>
        <w:sz w:val="1"/>
      </w:rPr>
    </w:pPr>
    <w:r>
      <w:rPr>
        <w:sz w:val="1"/>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207" w:type="dxa"/>
      <w:jc w:val="left"/>
      <w:tblInd w:w="0" w:type="dxa"/>
      <w:tblBorders/>
      <w:tblCellMar>
        <w:top w:w="0" w:type="dxa"/>
        <w:left w:w="40" w:type="dxa"/>
        <w:bottom w:w="0" w:type="dxa"/>
        <w:right w:w="40" w:type="dxa"/>
      </w:tblCellMar>
    </w:tblPr>
    <w:tblGrid>
      <w:gridCol w:w="5612"/>
      <w:gridCol w:w="511"/>
      <w:gridCol w:w="4084"/>
    </w:tblGrid>
    <w:tr>
      <w:trPr>
        <w:trHeight w:val="1683" w:hRule="exact"/>
      </w:trPr>
      <w:tc>
        <w:tcPr>
          <w:tcW w:w="5612" w:type="dxa"/>
          <w:tcBorders/>
          <w:shd w:fill="auto" w:val="clear"/>
          <w:vAlign w:val="center"/>
        </w:tcPr>
        <w:p>
          <w:pPr>
            <w:pStyle w:val="ConsPlusNormal"/>
            <w:tabs>
              <w:tab w:val="clear" w:pos="720"/>
            </w:tabs>
            <w:jc w:val="left"/>
            <w:rPr/>
          </w:pPr>
          <w:r>
            <w:rPr>
              <w:rFonts w:ascii="0" w:hAnsi="0"/>
              <w:b w:val="false"/>
              <w:i w:val="false"/>
              <w:sz w:val="16"/>
            </w:rPr>
            <w:t>&lt;Письмо&gt; Минфина России от 03.04.2018 N 25-03-10/21763</w:t>
          </w:r>
          <w:r>
            <w:rPr/>
            <w:br/>
          </w:r>
          <w:r>
            <w:rPr>
              <w:rFonts w:ascii="0" w:hAnsi="0"/>
              <w:b w:val="false"/>
              <w:i w:val="false"/>
              <w:sz w:val="16"/>
            </w:rPr>
            <w:t>&lt;О направлении обзора типичных ошибок, допускаемых при заполнении...</w:t>
          </w:r>
        </w:p>
      </w:tc>
      <w:tc>
        <w:tcPr>
          <w:tcW w:w="511" w:type="dxa"/>
          <w:tcBorders/>
          <w:shd w:fill="auto" w:val="clear"/>
          <w:vAlign w:val="center"/>
        </w:tcPr>
        <w:p>
          <w:pPr>
            <w:pStyle w:val="ConsPlusNormal"/>
            <w:tabs>
              <w:tab w:val="clear" w:pos="720"/>
            </w:tabs>
            <w:jc w:val="center"/>
            <w:rPr/>
          </w:pPr>
          <w:r>
            <w:rPr/>
          </w:r>
        </w:p>
        <w:p>
          <w:pPr>
            <w:pStyle w:val="ConsPlusNormal"/>
            <w:tabs>
              <w:tab w:val="clear" w:pos="720"/>
            </w:tabs>
            <w:jc w:val="center"/>
            <w:rPr/>
          </w:pPr>
          <w:r>
            <w:rPr/>
          </w:r>
        </w:p>
      </w:tc>
      <w:tc>
        <w:tcPr>
          <w:tcW w:w="4084" w:type="dxa"/>
          <w:tcBorders/>
          <w:shd w:fill="auto" w:val="clear"/>
          <w:vAlign w:val="center"/>
        </w:tcPr>
        <w:p>
          <w:pPr>
            <w:pStyle w:val="ConsPlusNormal"/>
            <w:tabs>
              <w:tab w:val="clear" w:pos="720"/>
            </w:tabs>
            <w:jc w:val="right"/>
            <w:rPr/>
          </w:pPr>
          <w:r>
            <w:rPr>
              <w:rFonts w:ascii="0" w:hAnsi="0"/>
              <w:b w:val="false"/>
              <w:i w:val="false"/>
              <w:sz w:val="18"/>
            </w:rPr>
            <w:t xml:space="preserve">Документ предоставлен </w:t>
          </w:r>
          <w:hyperlink r:id="rId1">
            <w:r>
              <w:rPr>
                <w:rStyle w:val="ListLabel4"/>
                <w:rFonts w:ascii="0" w:hAnsi="0"/>
                <w:b w:val="false"/>
                <w:i w:val="false"/>
                <w:color w:val="0000FF"/>
                <w:sz w:val="18"/>
              </w:rPr>
              <w:t>КонсультантПлюс</w:t>
            </w:r>
          </w:hyperlink>
          <w:r>
            <w:rPr/>
            <w:br/>
          </w:r>
          <w:r>
            <w:rPr>
              <w:rFonts w:ascii="0" w:hAnsi="0"/>
              <w:b w:val="false"/>
              <w:i w:val="false"/>
              <w:sz w:val="16"/>
            </w:rPr>
            <w:t>Дата сохранения: 30.01.2019</w:t>
          </w:r>
        </w:p>
      </w:tc>
    </w:tr>
  </w:tbl>
  <w:p>
    <w:pPr>
      <w:pStyle w:val="ConsPlusNormal"/>
      <w:pBdr>
        <w:bottom w:val="single" w:sz="12" w:space="0" w:color="000000"/>
      </w:pBdr>
      <w:jc w:val="center"/>
      <w:rPr>
        <w:sz w:val="1"/>
      </w:rPr>
    </w:pPr>
    <w:r>
      <w:rPr>
        <w:sz w:val="1"/>
      </w:rPr>
    </w:r>
  </w:p>
  <w:p>
    <w:pPr>
      <w:pStyle w:val="ConsPlusNormal"/>
      <w:jc w:val="center"/>
      <w:rPr/>
    </w:pPr>
    <w:r>
      <w:rPr>
        <w:sz w:val="10"/>
      </w:rPr>
      <w:t xml:space="preserve"> </w:t>
    </w:r>
  </w:p>
</w:hdr>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pPrDefault>
  </w:docDefaults>
  <w:style w:type="paragraph" w:styleId="Normal">
    <w:name w:val="Normal"/>
    <w:qFormat/>
    <w:pPr>
      <w:widowControl w:val="false"/>
    </w:pPr>
    <w:rPr>
      <w:rFonts w:ascii="Liberation Serif" w:hAnsi="Liberation Serif" w:eastAsia="NSimSun" w:cs="Mangal"/>
      <w:color w:val="auto"/>
      <w:kern w:val="2"/>
      <w:sz w:val="24"/>
      <w:szCs w:val="24"/>
      <w:lang w:val="ru-RU" w:eastAsia="zh-CN" w:bidi="hi-IN"/>
    </w:rPr>
  </w:style>
  <w:style w:type="character" w:styleId="ListLabel1">
    <w:name w:val="ListLabel 1"/>
    <w:qFormat/>
    <w:rPr>
      <w:b/>
      <w:color w:val="0000FF"/>
      <w:sz w:val="28"/>
    </w:rPr>
  </w:style>
  <w:style w:type="character" w:styleId="ListLabel2">
    <w:name w:val="ListLabel 2"/>
    <w:qFormat/>
    <w:rPr/>
  </w:style>
  <w:style w:type="character" w:styleId="Style14">
    <w:name w:val="Интернет-ссылка"/>
    <w:rPr>
      <w:color w:val="000080"/>
      <w:u w:val="single"/>
      <w:lang w:val="zxx" w:eastAsia="zxx" w:bidi="zxx"/>
    </w:rPr>
  </w:style>
  <w:style w:type="character" w:styleId="ListLabel3">
    <w:name w:val="ListLabel 3"/>
    <w:qFormat/>
    <w:rPr>
      <w:color w:val="0000FF"/>
    </w:rPr>
  </w:style>
  <w:style w:type="character" w:styleId="ListLabel4">
    <w:name w:val="ListLabel 4"/>
    <w:qFormat/>
    <w:rPr>
      <w:rFonts w:ascii="0" w:hAnsi="0"/>
      <w:b w:val="false"/>
      <w:i w:val="false"/>
      <w:color w:val="0000FF"/>
      <w:sz w:val="18"/>
    </w:rPr>
  </w:style>
  <w:style w:type="character" w:styleId="ListLabel5">
    <w:name w:val="ListLabel 5"/>
    <w:qFormat/>
    <w:rPr>
      <w:rFonts w:ascii="0" w:hAnsi="0"/>
      <w:b/>
      <w:i w:val="false"/>
      <w:color w:val="0000FF"/>
      <w:sz w:val="20"/>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ConsPlusNormal">
    <w:name w:val="ConsPlusNormal"/>
    <w:qFormat/>
    <w:pPr>
      <w:widowControl/>
      <w:bidi w:val="0"/>
      <w:jc w:val="left"/>
    </w:pPr>
    <w:rPr>
      <w:rFonts w:ascii="Arial" w:hAnsi="Arial" w:eastAsia="Arial" w:cs="Courier New"/>
      <w:b w:val="false"/>
      <w:i w:val="false"/>
      <w:strike w:val="false"/>
      <w:dstrike w:val="false"/>
      <w:color w:val="auto"/>
      <w:kern w:val="2"/>
      <w:sz w:val="20"/>
      <w:szCs w:val="24"/>
      <w:u w:val="none"/>
      <w:lang w:val="ru-RU" w:eastAsia="zh-CN" w:bidi="hi-IN"/>
    </w:rPr>
  </w:style>
  <w:style w:type="paragraph" w:styleId="ConsPlusNonformat">
    <w:name w:val="ConsPlusNonformat"/>
    <w:qFormat/>
    <w:pPr>
      <w:widowControl/>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bidi w:val="0"/>
      <w:jc w:val="left"/>
    </w:pPr>
    <w:rPr>
      <w:rFonts w:ascii="Arial" w:hAnsi="Arial" w:eastAsia="Arial" w:cs="Courier New"/>
      <w:b/>
      <w:i w:val="false"/>
      <w:strike w:val="false"/>
      <w:dstrike w:val="false"/>
      <w:color w:val="auto"/>
      <w:kern w:val="2"/>
      <w:sz w:val="20"/>
      <w:szCs w:val="24"/>
      <w:u w:val="none"/>
      <w:lang w:val="ru-RU" w:eastAsia="zh-CN" w:bidi="hi-IN"/>
    </w:rPr>
  </w:style>
  <w:style w:type="paragraph" w:styleId="ConsPlusCell">
    <w:name w:val="ConsPlusCell"/>
    <w:qFormat/>
    <w:pPr>
      <w:widowControl/>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Page">
    <w:name w:val="ConsPlusTitlePage"/>
    <w:qFormat/>
    <w:pPr>
      <w:widowControl/>
      <w:bidi w:val="0"/>
      <w:jc w:val="left"/>
    </w:pPr>
    <w:rPr>
      <w:rFonts w:ascii="Tahoma" w:hAnsi="Tahoma" w:eastAsia="Arial" w:cs="Courier New"/>
      <w:b w:val="false"/>
      <w:i w:val="false"/>
      <w:strike w:val="false"/>
      <w:dstrike w:val="false"/>
      <w:color w:val="auto"/>
      <w:kern w:val="2"/>
      <w:sz w:val="20"/>
      <w:szCs w:val="24"/>
      <w:u w:val="none"/>
      <w:lang w:val="ru-RU" w:eastAsia="zh-CN" w:bidi="hi-IN"/>
    </w:rPr>
  </w:style>
  <w:style w:type="paragraph" w:styleId="ConsPlusJurTerm">
    <w:name w:val="ConsPlusJurTerm"/>
    <w:qFormat/>
    <w:pPr>
      <w:widowControl/>
      <w:bidi w:val="0"/>
      <w:jc w:val="left"/>
    </w:pPr>
    <w:rPr>
      <w:rFonts w:ascii="Tahoma" w:hAnsi="Tahoma" w:eastAsia="Arial" w:cs="Courier New"/>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bidi w:val="0"/>
      <w:jc w:val="left"/>
    </w:pPr>
    <w:rPr>
      <w:rFonts w:ascii="Arial" w:hAnsi="Arial" w:eastAsia="Arial" w:cs="Courier New"/>
      <w:b w:val="false"/>
      <w:i w:val="false"/>
      <w:strike w:val="false"/>
      <w:dstrike w:val="false"/>
      <w:color w:val="auto"/>
      <w:kern w:val="2"/>
      <w:sz w:val="20"/>
      <w:szCs w:val="24"/>
      <w:u w:val="none"/>
      <w:lang w:val="ru-RU" w:eastAsia="zh-CN" w:bidi="hi-IN"/>
    </w:rPr>
  </w:style>
  <w:style w:type="paragraph" w:styleId="Style20">
    <w:name w:val="Header"/>
    <w:basedOn w:val="Normal"/>
    <w:pPr/>
    <w:rPr/>
  </w:style>
  <w:style w:type="paragraph" w:styleId="Style21">
    <w:name w:val="Footer"/>
    <w:basedOn w:val="Normal"/>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consultant.ru/" TargetMode="External"/><Relationship Id="rId4" Type="http://schemas.openxmlformats.org/officeDocument/2006/relationships/hyperlink" Target="http://www.consultant.ru/" TargetMode="External"/><Relationship Id="rId5" Type="http://schemas.openxmlformats.org/officeDocument/2006/relationships/hyperlink" Target="consultantplus://offline/ref=FCF8D68E5DE204C3BC52E3F54CCDC3BB69D0ED4E2AD5DD5792F99FD5A84996CBEC5D7BDBBD11C5D904BCEE6F053A8A64A0AB5171639CB08AgFoEK" TargetMode="External"/><Relationship Id="rId6" Type="http://schemas.openxmlformats.org/officeDocument/2006/relationships/hyperlink" Target="consultantplus://offline/ref=FCF8D68E5DE204C3BC52E3F54CCDC3BB69D0ED4E2AD5DD5792F99FD5A84996CBEC5D7BDBBD11C5D904BCEE6F053A8A64A0AB5171639CB08AgFoEK" TargetMode="External"/><Relationship Id="rId7" Type="http://schemas.openxmlformats.org/officeDocument/2006/relationships/hyperlink" Target="consultantplus://offline/ref=FCF8D68E5DE204C3BC52E3F54CCDC3BB69D0ED4E2AD5DD5792F99FD5A84996CBEC5D7BDBBD11C5D908BCEE6F053A8A64A0AB5171639CB08AgFoEK" TargetMode="External"/><Relationship Id="rId8" Type="http://schemas.openxmlformats.org/officeDocument/2006/relationships/hyperlink" Target="consultantplus://offline/ref=FCF8D68E5DE204C3BC52E3F54CCDC3BB69D0ED4E2AD5DD5792F99FD5A84996CBEC5D7BDBBD11C5DB06BCEE6F053A8A64A0AB5171639CB08AgFoEK" TargetMode="External"/><Relationship Id="rId9" Type="http://schemas.openxmlformats.org/officeDocument/2006/relationships/hyperlink" Target="consultantplus://offline/ref=FCF8D68E5DE204C3BC52E3F54CCDC3BB69D0ED4E2AD5DD5792F99FD5A84996CBEC5D7BDBBD11C5DB02BCEE6F053A8A64A0AB5171639CB08AgFoEK" TargetMode="External"/><Relationship Id="rId10" Type="http://schemas.openxmlformats.org/officeDocument/2006/relationships/hyperlink" Target="consultantplus://offline/ref=FCF8D68E5DE204C3BC52E3F54CCDC3BB69D0ED4E2AD5DD5792F99FD5A84996CBEC5D7BDBBD11C5DA02BCEE6F053A8A64A0AB5171639CB08AgFoEK" TargetMode="External"/><Relationship Id="rId11" Type="http://schemas.openxmlformats.org/officeDocument/2006/relationships/hyperlink" Target="consultantplus://offline/ref=FCF8D68E5DE204C3BC52E3F54CCDC3BB69D0ED4E2AD5DD5792F99FD5A84996CBEC5D7BDBBD11C4DD05BCEE6F053A8A64A0AB5171639CB08AgFoEK" TargetMode="External"/><Relationship Id="rId12" Type="http://schemas.openxmlformats.org/officeDocument/2006/relationships/hyperlink" Target="consultantplus://offline/ref=FCF8D68E5DE204C3BC52E3F54CCDC3BB69D0ED4E2AD5DD5792F99FD5A84996CBEC5D7BDBBD11C4DD04BCEE6F053A8A64A0AB5171639CB08AgFoEK" TargetMode="External"/><Relationship Id="rId13" Type="http://schemas.openxmlformats.org/officeDocument/2006/relationships/hyperlink" Target="01.01.2019)&#x0a;{&#1050;&#1086;&#1085;&#1089;&#1091;&#1083;&#1100;&#1090;&#1072;&#1085;&#1090;&#1055;&#1083;&#1102;&#1089;}" TargetMode="External"/><Relationship Id="rId14" Type="http://schemas.openxmlformats.org/officeDocument/2006/relationships/hyperlink" Target="consultantplus://offline/ref=FCF8D68E5DE204C3BC52E3F54CCDC3BB69D0ED4E2AD5DD5792F99FD5A84996CBEC5D7BDBBD11C4DA04BCEE6F053A8A64A0AB5171639CB08AgFoEK" TargetMode="External"/><Relationship Id="rId15" Type="http://schemas.openxmlformats.org/officeDocument/2006/relationships/hyperlink" Target="consultantplus://offline/ref=FCF8D68E5DE204C3BC52E3F54CCDC3BB69D0ED4E2AD5DD5792F99FD5A84996CBEC5D7BDBBD11C4D506BCEE6F053A8A64A0AB5171639CB08AgFoEK" TargetMode="External"/><Relationship Id="rId16" Type="http://schemas.openxmlformats.org/officeDocument/2006/relationships/hyperlink" Target="consultantplus://offline/ref=FCF8D68E5DE204C3BC52E3F54CCDC3BB69D0ED4E2AD5DD5792F99FD5A84996CBEC5D7BDBBD11C7DE00BCEE6F053A8A64A0AB5171639CB08AgFoEK" TargetMode="External"/><Relationship Id="rId17" Type="http://schemas.openxmlformats.org/officeDocument/2006/relationships/hyperlink" Target="consultantplus://offline/ref=FCF8D68E5DE204C3BC52E3F54CCDC3BB69D0ED4E2AD5DD5792F99FD5A84996CBEC5D7BDBBD11C7D906BCEE6F053A8A64A0AB5171639CB08AgFoEK" TargetMode="External"/><Relationship Id="rId18" Type="http://schemas.openxmlformats.org/officeDocument/2006/relationships/hyperlink" Target="consultantplus://offline/ref=FCF8D68E5DE204C3BC52E3F54CCDC3BB69DFE24E2AD7DD5792F99FD5A84996CBFE5D23D7BE11DBDD00A9B83E40g6o6K" TargetMode="External"/><Relationship Id="rId19" Type="http://schemas.openxmlformats.org/officeDocument/2006/relationships/hyperlink" Target="consultantplus://offline/ref=FCF8D68E5DE204C3BC52E3F54CCDC3BB69D0ED4E2AD5DD5792F99FD5A84996CBEC5D7BDBBD11C7D409BCEE6F053A8A64A0AB5171639CB08AgFoEK" TargetMode="External"/><Relationship Id="rId20" Type="http://schemas.openxmlformats.org/officeDocument/2006/relationships/hyperlink" Target="consultantplus://offline/ref=FCF8D68E5DE204C3BC52E3F54CCDC3BB69D0ED4E2AD5DD5792F99FD5A84996CBEC5D7BDBBD11C7D409BCEE6F053A8A64A0AB5171639CB08AgFoEK" TargetMode="External"/><Relationship Id="rId21" Type="http://schemas.openxmlformats.org/officeDocument/2006/relationships/hyperlink" Target="consultantplus://offline/ref=FCF8D68E5DE204C3BC52E3F54CCDC3BB69D0ED4E2AD5DD5792F99FD5A84996CBEC5D7BDBBD11C5D806BCEE6F053A8A64A0AB5171639CB08AgFoEK" TargetMode="External"/><Relationship Id="rId22" Type="http://schemas.openxmlformats.org/officeDocument/2006/relationships/hyperlink" Target="consultantplus://offline/ref=FCF8D68E5DE204C3BC52E3F54CCDC3BB69D0ED4E2AD5DD5792F99FD5A84996CBEC5D7BDBBD11C5D806BCEE6F053A8A64A0AB5171639CB08AgFoEK" TargetMode="External"/><Relationship Id="rId23" Type="http://schemas.openxmlformats.org/officeDocument/2006/relationships/hyperlink" Target="&#x0a;{&#1050;&#1086;&#1085;&#1089;&#1091;&#1083;&#1100;&#1090;&#1072;&#1085;&#1090;&#1055;&#1083;&#1102;&#1089;}" TargetMode="External"/><Relationship Id="rId24" Type="http://schemas.openxmlformats.org/officeDocument/2006/relationships/hyperlink" Target="&#x0a;{&#1050;&#1086;&#1085;&#1089;&#1091;&#1083;&#1100;&#1090;&#1072;&#1085;&#1090;&#1055;&#1083;&#1102;&#1089;}" TargetMode="External"/><Relationship Id="rId25" Type="http://schemas.openxmlformats.org/officeDocument/2006/relationships/hyperlink" Target="consultantplus://offline/ref=FCF8D68E5DE204C3BC52E3F54CCDC3BB69D0ED4E2AD5DD5792F99FD5A84996CBEC5D7BDBBD11C5DB06BCEE6F053A8A64A0AB5171639CB08AgFoEK" TargetMode="External"/><Relationship Id="rId26" Type="http://schemas.openxmlformats.org/officeDocument/2006/relationships/hyperlink" Target="consultantplus://offline/ref=FCF8D68E5DE204C3BC52E3F54CCDC3BB69D0ED4E2AD5DD5792F99FD5A84996CBEC5D7BDBBD11C5D800BCEE6F053A8A64A0AB5171639CB08AgFoEK" TargetMode="External"/><Relationship Id="rId27" Type="http://schemas.openxmlformats.org/officeDocument/2006/relationships/hyperlink" Target="consultantplus://offline/ref=FCF8D68E5DE204C3BC52E3F54CCDC3BB69D0ED4E2AD5DD5792F99FD5A84996CBEC5D7BDBBD11C5DB02BCEE6F053A8A64A0AB5171639CB08AgFoEK" TargetMode="External"/><Relationship Id="rId28" Type="http://schemas.openxmlformats.org/officeDocument/2006/relationships/hyperlink" Target="consultantplus://offline/ref=FCF8D68E5DE204C3BC52E3F54CCDC3BB69D0ED4E2AD5DD5792F99FD5A84996CBEC5D7BDBBD11C5DB02BCEE6F053A8A64A0AB5171639CB08AgFoEK" TargetMode="External"/><Relationship Id="rId29" Type="http://schemas.openxmlformats.org/officeDocument/2006/relationships/hyperlink" Target="consultantplus://offline/ref=FCF8D68E5DE204C3BC52E3F54CCDC3BB69D0ED4E2AD5DD5792F99FD5A84996CBEC5D7BDBBD11C5DB06BCEE6F053A8A64A0AB5171639CB08AgFoEK" TargetMode="External"/><Relationship Id="rId30" Type="http://schemas.openxmlformats.org/officeDocument/2006/relationships/hyperlink" Target="consultantplus://offline/ref=FCF8D68E5DE204C3BC52E3F54CCDC3BB69D0ED4E2AD5DD5792F99FD5A84996CBEC5D7BDBBD11C5DB06BCEE6F053A8A64A0AB5171639CB08AgFoEK" TargetMode="External"/><Relationship Id="rId31" Type="http://schemas.openxmlformats.org/officeDocument/2006/relationships/hyperlink" Target="consultantplus://offline/ref=FCF8D68E5DE204C3BC52E3F54CCDC3BB69D0ED4E2AD5DD5792F99FD5A84996CBEC5D7BDBBD11C5D807BCEE6F053A8A64A0AB5171639CB08AgFoEK" TargetMode="External"/><Relationship Id="rId32" Type="http://schemas.openxmlformats.org/officeDocument/2006/relationships/hyperlink" Target="consultantplus://offline/ref=FCF8D68E5DE204C3BC52E3F54CCDC3BB69D0ED4E2AD5DD5792F99FD5A84996CBEC5D7BDBBD11C5DB05BCEE6F053A8A64A0AB5171639CB08AgFoEK" TargetMode="External"/><Relationship Id="rId33" Type="http://schemas.openxmlformats.org/officeDocument/2006/relationships/hyperlink" Target="consultantplus://offline/ref=FCF8D68E5DE204C3BC52E3F54CCDC3BB69D0ED4E2AD5DD5792F99FD5A84996CBEC5D7BDBBD11C5DB06BCEE6F053A8A64A0AB5171639CB08AgFoEK" TargetMode="External"/><Relationship Id="rId34" Type="http://schemas.openxmlformats.org/officeDocument/2006/relationships/hyperlink" Target="consultantplus://offline/ref=FCF8D68E5DE204C3BC52E3F54CCDC3BB69DFE24E2AD7DD5792F99FD5A84996CBEC5D7BDBBD11C4D502BCEE6F053A8A64A0AB5171639CB08AgFoEK" TargetMode="External"/><Relationship Id="rId35" Type="http://schemas.openxmlformats.org/officeDocument/2006/relationships/hyperlink" Target="consultantplus://offline/ref=FCF8D68E5DE204C3BC52E3F54CCDC3BB69D0ED4E2AD5DD5792F99FD5A84996CBEC5D7BDBBD11C5DB06BCEE6F053A8A64A0AB5171639CB08AgFoEK" TargetMode="External"/><Relationship Id="rId36" Type="http://schemas.openxmlformats.org/officeDocument/2006/relationships/hyperlink" Target="consultantplus://offline/ref=FCF8D68E5DE204C3BC52E3F54CCDC3BB69D0ED4E2AD5DD5792F99FD5A84996CBEC5D7BDBBD11C5DA02BCEE6F053A8A64A0AB5171639CB08AgFoEK" TargetMode="External"/><Relationship Id="rId37" Type="http://schemas.openxmlformats.org/officeDocument/2006/relationships/hyperlink" Target="consultantplus://offline/ref=FCF8D68E5DE204C3BC52E3F54CCDC3BB69D0ED4E2AD5DD5792F99FD5A84996CBEC5D7BDBBD11C5DA02BCEE6F053A8A64A0AB5171639CB08AgFoEK" TargetMode="External"/><Relationship Id="rId38" Type="http://schemas.openxmlformats.org/officeDocument/2006/relationships/hyperlink" Target="consultantplus://offline/ref=FCF8D68E5DE204C3BC52E3F54CCDC3BB69D0ED4E2AD5DD5792F99FD5A84996CBEC5D7BDBBD11C5DA02BCEE6F053A8A64A0AB5171639CB08AgFoEK" TargetMode="External"/><Relationship Id="rId39" Type="http://schemas.openxmlformats.org/officeDocument/2006/relationships/hyperlink" Target="consultantplus://offline/ref=FCF8D68E5DE204C3BC52E3F54CCDC3BB69D0ED4E2AD5DD5792F99FD5A84996CBEC5D7BDBBD11C5DA02BCEE6F053A8A64A0AB5171639CB08AgFoEK" TargetMode="External"/><Relationship Id="rId40" Type="http://schemas.openxmlformats.org/officeDocument/2006/relationships/hyperlink" Target="consultantplus://offline/ref=FCF8D68E5DE204C3BC52E3F54CCDC3BB69D0ED4E2AD5DD5792F99FD5A84996CBEC5D7BDBBD11C5DA02BCEE6F053A8A64A0AB5171639CB08AgFoEK" TargetMode="External"/><Relationship Id="rId41" Type="http://schemas.openxmlformats.org/officeDocument/2006/relationships/hyperlink" Target="consultantplus://offline/ref=FCF8D68E5DE204C3BC52E3F54CCDC3BB69D0ED4E2AD5DD5792F99FD5A84996CBEC5D7BDBBD11C7D906BCEE6F053A8A64A0AB5171639CB08AgFoEK" TargetMode="External"/><Relationship Id="rId42" Type="http://schemas.openxmlformats.org/officeDocument/2006/relationships/hyperlink" Target="consultantplus://offline/ref=FCF8D68E5DE204C3BC52E3F54CCDC3BB69D0ED4E2AD5DD5792F99FD5A84996CBEC5D7BDBBD11C5DA09BCEE6F053A8A64A0AB5171639CB08AgFoEK" TargetMode="External"/><Relationship Id="rId43" Type="http://schemas.openxmlformats.org/officeDocument/2006/relationships/hyperlink" Target="consultantplus://offline/ref=FCF8D68E5DE204C3BC52E3F54CCDC3BB69D0ED4E2AD5DD5792F99FD5A84996CBEC5D7BDBBD11C5DA02BCEE6F053A8A64A0AB5171639CB08AgFoEK" TargetMode="External"/><Relationship Id="rId44" Type="http://schemas.openxmlformats.org/officeDocument/2006/relationships/hyperlink" Target="consultantplus://offline/ref=FCF8D68E5DE204C3BC52E3F54CCDC3BB69D0ED4E2AD5DD5792F99FD5A84996CBEC5D7BDBBD11C4DD04BCEE6F053A8A64A0AB5171639CB08AgFoEK" TargetMode="External"/><Relationship Id="rId45" Type="http://schemas.openxmlformats.org/officeDocument/2006/relationships/hyperlink" Target="consultantplus://offline/ref=FCF8D68E5DE204C3BC52E3F54CCDC3BB69D0ED4E2AD5DD5792F99FD5A84996CBEC5D7BDBBD11C4DD04BCEE6F053A8A64A0AB5171639CB08AgFoEK" TargetMode="External"/><Relationship Id="rId46" Type="http://schemas.openxmlformats.org/officeDocument/2006/relationships/hyperlink" Target="01.01.2019)&#x0a;{&#1050;&#1086;&#1085;&#1089;&#1091;&#1083;&#1100;&#1090;&#1072;&#1085;&#1090;&#1055;&#1083;&#1102;&#1089;}" TargetMode="External"/><Relationship Id="rId47" Type="http://schemas.openxmlformats.org/officeDocument/2006/relationships/hyperlink" Target="consultantplus://offline/ref=FCF8D68E5DE204C3BC52E3F54CCDC3BB69D0ED4E2AD5DD5792F99FD5A84996CBEC5D7BDBBD11C4DD04BCEE6F053A8A64A0AB5171639CB08AgFoEK" TargetMode="External"/><Relationship Id="rId48" Type="http://schemas.openxmlformats.org/officeDocument/2006/relationships/hyperlink" Target="consultantplus://offline/ref=FCF8D68E5DE204C3BC52E3F54CCDC3BB69D0ED4E2AD5DD5792F99FD5A84996CBEC5D7BDBBD11C4DF07BCEE6F053A8A64A0AB5171639CB08AgFoEK" TargetMode="External"/><Relationship Id="rId49" Type="http://schemas.openxmlformats.org/officeDocument/2006/relationships/hyperlink" Target="consultantplus://offline/ref=FCF8D68E5DE204C3BC52E3F54CCDC3BB69D0ED4E2AD5DD5792F99FD5A84996CBEC5D7BDBBD11C4DE04BCEE6F053A8A64A0AB5171639CB08AgFoEK" TargetMode="External"/><Relationship Id="rId50" Type="http://schemas.openxmlformats.org/officeDocument/2006/relationships/hyperlink" Target="consultantplus://offline/ref=FCF8D68E5DE204C3BC52E3F54CCDC3BB69D0ED4E2AD5DD5792F99FD5A84996CBEC5D7BDBBD11C4DE04BCEE6F053A8A64A0AB5171639CB08AgFoEK" TargetMode="External"/><Relationship Id="rId51" Type="http://schemas.openxmlformats.org/officeDocument/2006/relationships/hyperlink" Target="consultantplus://offline/ref=FCF8D68E5DE204C3BC52E3F54CCDC3BB69D0ED4E2AD5DD5792F99FD5A84996CBEC5D7BDBBD11C4DD04BCEE6F053A8A64A0AB5171639CB08AgFoEK" TargetMode="External"/><Relationship Id="rId52" Type="http://schemas.openxmlformats.org/officeDocument/2006/relationships/hyperlink" Target="consultantplus://offline/ref=FCF8D68E5DE204C3BC52E3F54CCDC3BB69D0ED4E2AD5DD5792F99FD5A84996CBEC5D7BDBBD11C4DD04BCEE6F053A8A64A0AB5171639CB08AgFoEK" TargetMode="External"/><Relationship Id="rId53" Type="http://schemas.openxmlformats.org/officeDocument/2006/relationships/hyperlink" Target="consultantplus://offline/ref=FCF8D68E5DE204C3BC52E3F54CCDC3BB69D0ED4E2AD5DD5792F99FD5A84996CBEC5D7BDBBD11C7DE00BCEE6F053A8A64A0AB5171639CB08AgFoEK" TargetMode="External"/><Relationship Id="rId54" Type="http://schemas.openxmlformats.org/officeDocument/2006/relationships/hyperlink" Target="consultantplus://offline/ref=FCF8D68E5DE204C3BC52E3F54CCDC3BB69D0ED4E2AD5DD5792F99FD5A84996CBEC5D7BDBBD11C4DD09BCEE6F053A8A64A0AB5171639CB08AgFoEK" TargetMode="External"/><Relationship Id="rId55" Type="http://schemas.openxmlformats.org/officeDocument/2006/relationships/hyperlink" Target="consultantplus://offline/ref=FCF8D68E5DE204C3BC52E3F54CCDC3BB69D0ED4E2AD5DD5792F99FD5A84996CBEC5D7BDBBD11C4DC06BCEE6F053A8A64A0AB5171639CB08AgFoEK" TargetMode="External"/><Relationship Id="rId56" Type="http://schemas.openxmlformats.org/officeDocument/2006/relationships/hyperlink" Target="consultantplus://offline/ref=FCF8D68E5DE204C3BC52E3F54CCDC3BB69D6E4462CD7DD5792F99FD5A84996CBFE5D23D7BE11DBDD00A9B83E40g6o6K" TargetMode="External"/><Relationship Id="rId57" Type="http://schemas.openxmlformats.org/officeDocument/2006/relationships/hyperlink" Target="consultantplus://offline/ref=FCF8D68E5DE204C3BC52E3F54CCDC3BB69D0ED4E2AD5DD5792F99FD5A84996CBEC5D7BDBBD11C4DE09BCEE6F053A8A64A0AB5171639CB08AgFoEK" TargetMode="External"/><Relationship Id="rId58" Type="http://schemas.openxmlformats.org/officeDocument/2006/relationships/hyperlink" Target="consultantplus://offline/ref=FCF8D68E5DE204C3BC52E3F54CCDC3BB69D0ED4E2AD5DD5792F99FD5A84996CBEC5D7BDBBD11C4D903BCEE6F053A8A64A0AB5171639CB08AgFoEK" TargetMode="External"/><Relationship Id="rId59" Type="http://schemas.openxmlformats.org/officeDocument/2006/relationships/hyperlink" Target="consultantplus://offline/ref=FCF8D68E5DE204C3BC52E3F54CCDC3BB69D0ED4E2AD5DD5792F99FD5A84996CBEC5D7BDBBD11C4D506BCEE6F053A8A64A0AB5171639CB08AgFoEK" TargetMode="External"/><Relationship Id="rId60" Type="http://schemas.openxmlformats.org/officeDocument/2006/relationships/hyperlink" Target="consultantplus://offline/ref=FCF8D68E5DE204C3BC52E3F54CCDC3BB69D0ED4E2AD5DD5792F99FD5A84996CBEC5D7BDBBD11C4D506BCEE6F053A8A64A0AB5171639CB08AgFoEK" TargetMode="External"/><Relationship Id="rId61" Type="http://schemas.openxmlformats.org/officeDocument/2006/relationships/hyperlink" Target="consultantplus://offline/ref=FCF8D68E5DE204C3BC52E3F54CCDC3BB69D0ED4E2AD5DD5792F99FD5A84996CBEC5D7BDBBD11C4D506BCEE6F053A8A64A0AB5171639CB08AgFoEK" TargetMode="External"/><Relationship Id="rId62" Type="http://schemas.openxmlformats.org/officeDocument/2006/relationships/hyperlink" Target="consultantplus://offline/ref=FCF8D68E5DE204C3BC52E3F54CCDC3BB69D0ED4E2AD5DD5792F99FD5A84996CBEC5D7BDBBD11C4DA08BCEE6F053A8A64A0AB5171639CB08AgFoEK" TargetMode="External"/><Relationship Id="rId63" Type="http://schemas.openxmlformats.org/officeDocument/2006/relationships/hyperlink" Target="consultantplus://offline/ref=FCF8D68E5DE204C3BC52E3F54CCDC3BB69D0ED4E2AD5DD5792F99FD5A84996CBEC5D7BDBBD11C4D501BCEE6F053A8A64A0AB5171639CB08AgFoEK" TargetMode="External"/><Relationship Id="rId64" Type="http://schemas.openxmlformats.org/officeDocument/2006/relationships/hyperlink" Target="consultantplus://offline/ref=FCF8D68E5DE204C3BC52E3F54CCDC3BB69D0ED4E2AD5DD5792F99FD5A84996CBEC5D7BDBBD11C4D400BCEE6F053A8A64A0AB5171639CB08AgFoEK" TargetMode="External"/><Relationship Id="rId65" Type="http://schemas.openxmlformats.org/officeDocument/2006/relationships/hyperlink" Target="consultantplus://offline/ref=FCF8D68E5DE204C3BC52E3F54CCDC3BB69D0ED4E2AD5DD5792F99FD5A84996CBEC5D7BDBBD11C7DE00BCEE6F053A8A64A0AB5171639CB08AgFoEK" TargetMode="External"/><Relationship Id="rId66" Type="http://schemas.openxmlformats.org/officeDocument/2006/relationships/hyperlink" Target="consultantplus://offline/ref=FCF8D68E5DE204C3BC52E3F54CCDC3BB69D0ED4E2AD5DD5792F99FD5A84996CBEC5D7BDBBD11C7D906BCEE6F053A8A64A0AB5171639CB08AgFoEK" TargetMode="External"/><Relationship Id="rId67" Type="http://schemas.openxmlformats.org/officeDocument/2006/relationships/hyperlink" Target="consultantplus://offline/ref=FCF8D68E5DE204C3BC52E3F54CCDC3BB69D0ED4E2AD5DD5792F99FD5A84996CBEC5D7BDBBD11C7D906BCEE6F053A8A64A0AB5171639CB08AgFoEK" TargetMode="External"/><Relationship Id="rId68" Type="http://schemas.openxmlformats.org/officeDocument/2006/relationships/header" Target="header1.xml"/><Relationship Id="rId69" Type="http://schemas.openxmlformats.org/officeDocument/2006/relationships/footer" Target="footer1.xml"/><Relationship Id="rId70" Type="http://schemas.openxmlformats.org/officeDocument/2006/relationships/fontTable" Target="fontTable.xml"/><Relationship Id="rId71"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http://www.consultant.ru/" TargetMode="External"/>
</Relationships>
</file>

<file path=word/_rels/header1.xml.rels><?xml version="1.0" encoding="UTF-8"?>
<Relationships xmlns="http://schemas.openxmlformats.org/package/2006/relationships"><Relationship Id="rId1" Type="http://schemas.openxmlformats.org/officeDocument/2006/relationships/hyperlink" Target="http://www.consultant.ru/" TargetMode="External"/>
</Relationships>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7</Pages>
  <Words>4213</Words>
  <Characters>28255</Characters>
  <CharactersWithSpaces>32227</CharactersWithSpaces>
  <Paragraphs>248</Paragraphs>
  <Company>КонсультантПлюс Версия 4018.00.18</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2019-01-30T13:40:00Z</dcterms:created>
  <dc:creator/>
  <dc:description/>
  <dc:language>ru-RU</dc:language>
  <cp:lastModifiedBy/>
  <cp:revision>0</cp:revision>
  <dc:subject/>
  <dc:title>&lt;Письмо&gt; Минфина России от 03.04.2018 N 25-03-10/21763&lt;О направлении обзора типичных ошибок, допускаемых при заполнении справок о доходах, расходах, об имуществе и обязательствах имущественного характера&gt;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4018.00.18</vt:lpwstr>
  </property>
</Properties>
</file>