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716" w:type="dxa"/>
        <w:jc w:val="left"/>
        <w:tblInd w:w="0" w:type="dxa"/>
        <w:tblBorders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716"/>
      </w:tblGrid>
      <w:tr>
        <w:trPr>
          <w:trHeight w:val="3031" w:hRule="exact"/>
        </w:trPr>
        <w:tc>
          <w:tcPr>
            <w:tcW w:w="10716" w:type="dxa"/>
            <w:tcBorders/>
            <w:shd w:fill="auto" w:val="clea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c>
          <w:tcPr>
            <w:tcW w:w="10716" w:type="dxa"/>
            <w:tcBorders/>
            <w:shd w:fill="auto" w:val="clear"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48"/>
              </w:rPr>
              <w:t>"Обзор проблемных вопросов, возникающих при представлении, анализе и проверке достоверности сведений о доходах, расходах, об имуществе и обязательствах имущественного характера"</w:t>
            </w:r>
            <w:r>
              <w:rPr/>
              <w:br/>
            </w:r>
            <w:r>
              <w:rPr>
                <w:sz w:val="48"/>
              </w:rPr>
              <w:t>(30.03.2018)</w:t>
            </w:r>
          </w:p>
        </w:tc>
      </w:tr>
      <w:tr>
        <w:trPr>
          <w:trHeight w:val="3031" w:hRule="exact"/>
        </w:trPr>
        <w:tc>
          <w:tcPr>
            <w:tcW w:w="10716" w:type="dxa"/>
            <w:tcBorders/>
            <w:shd w:fill="auto" w:val="clear"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sz w:val="28"/>
              </w:rPr>
              <w:t>Документ предоставлен </w:t>
            </w:r>
            <w:hyperlink r:id="rId3" w:tgtFrame="Ссылка на КонсультантПлюс">
              <w:r>
                <w:rPr>
                  <w:rStyle w:val="ListLabel2"/>
                  <w:b/>
                  <w:color w:val="0000FF"/>
                  <w:sz w:val="28"/>
                </w:rPr>
                <w:t>КонсультантПлюс</w:t>
              </w:r>
              <w:r>
                <w:rPr>
                  <w:rStyle w:val="ListLabel2"/>
                </w:rPr>
                <w:br/>
                <w:br/>
              </w:r>
            </w:hyperlink>
            <w:hyperlink r:id="rId4" w:tgtFrame="Ссылка на КонсультантПлюс">
              <w:r>
                <w:rPr>
                  <w:rStyle w:val="ListLabel1"/>
                  <w:b/>
                  <w:color w:val="0000FF"/>
                  <w:sz w:val="28"/>
                </w:rPr>
                <w:t>www.consultant.ru</w:t>
              </w:r>
            </w:hyperlink>
            <w:r>
              <w:rPr/>
              <w:br/>
              <w:br/>
            </w:r>
            <w:r>
              <w:rPr>
                <w:sz w:val="28"/>
              </w:rPr>
              <w:t>Дата сохранения: 30.01.2019</w:t>
            </w:r>
            <w:r>
              <w:rPr/>
              <w:br/>
            </w:r>
            <w:r>
              <w:rPr>
                <w:sz w:val="28"/>
              </w:rPr>
              <w:t> </w:t>
            </w:r>
          </w:p>
        </w:tc>
      </w:tr>
    </w:tbl>
    <w:p>
      <w:pPr>
        <w:sectPr>
          <w:type w:val="nextPage"/>
          <w:pgSz w:w="11906" w:h="16838"/>
          <w:pgMar w:left="595" w:right="595" w:header="0" w:top="841" w:footer="0" w:bottom="841" w:gutter="0"/>
          <w:pgNumType w:fmt="decimal"/>
          <w:formProt w:val="false"/>
          <w:textDirection w:val="lrTb"/>
          <w:docGrid w:type="default" w:linePitch="100" w:charSpace="0"/>
        </w:sectPr>
        <w:pStyle w:val="Normal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hanging="0"/>
        <w:jc w:val="both"/>
        <w:outlineLvl w:val="0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ОБЗОР</w:t>
      </w:r>
    </w:p>
    <w:p>
      <w:pPr>
        <w:pStyle w:val="ConsPlusTitle"/>
        <w:ind w:left="0" w:hanging="0"/>
        <w:jc w:val="center"/>
        <w:rPr/>
      </w:pPr>
      <w:r>
        <w:rPr/>
        <w:t>ПРОБЛЕМНЫХ ВОПРОСОВ, ВОЗНИКАЮЩИХ ПРИ ПРЕДСТАВЛЕНИИ, АНАЛИЗЕ</w:t>
      </w:r>
    </w:p>
    <w:p>
      <w:pPr>
        <w:pStyle w:val="ConsPlusTitle"/>
        <w:ind w:left="0" w:hanging="0"/>
        <w:jc w:val="center"/>
        <w:rPr/>
      </w:pPr>
      <w:r>
        <w:rPr/>
        <w:t>И ПРОВЕРКЕ ДОСТОВЕРНОСТИ СВЕДЕНИЙ О ДОХОДАХ, РАСХОДАХ,</w:t>
      </w:r>
    </w:p>
    <w:p>
      <w:pPr>
        <w:pStyle w:val="ConsPlusTitle"/>
        <w:ind w:left="0" w:hanging="0"/>
        <w:jc w:val="center"/>
        <w:rPr/>
      </w:pPr>
      <w:r>
        <w:rPr/>
        <w:t>ОБ ИМУЩЕСТВЕ И ОБЯЗАТЕЛЬСТВАХ ИМУЩЕСТВЕННОГО ХАРАКТЕРА</w:t>
      </w:r>
    </w:p>
    <w:p>
      <w:pPr>
        <w:pStyle w:val="ConsPlusTitle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(30 марта 2018 года)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0"/>
        <w:rPr/>
      </w:pPr>
      <w:r>
        <w:rPr/>
        <w:t>I. Типовые вопросы, связанные с представлением сведений о доходах, расходах, об имуществе и обязательствах имущественного характера (далее - сведения о доходах) и заполнением соответствующей формы справки.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1"/>
        <w:rPr/>
      </w:pPr>
      <w:r>
        <w:rPr/>
        <w:t>Общие вопросы по представлению сведений.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Является ли уважительной причина непредставления сведений о доходах служащим, в отношении которого избрана мера пресечения в виде заключения под стражу? Каков порядок применения мер юридической ответственности за непредставление указанных сведений такими лицами?</w:t>
      </w:r>
    </w:p>
    <w:p>
      <w:pPr>
        <w:pStyle w:val="ConsPlusNormal"/>
        <w:spacing w:before="200" w:after="0"/>
        <w:ind w:left="0" w:firstLine="540"/>
        <w:jc w:val="both"/>
        <w:rPr/>
      </w:pPr>
      <w:hyperlink r:id="rId5" w:tgtFrame="Федеральный закон от 25.12.2008 N 273-ФЗ (ред. от 30.10.2018) \&quot;О противодействии коррупции\&quot;&#10;{КонсультантПлюс}">
        <w:r>
          <w:rPr>
            <w:rStyle w:val="ListLabel3"/>
            <w:color w:val="0000FF"/>
          </w:rPr>
          <w:t>Статья 8</w:t>
        </w:r>
      </w:hyperlink>
      <w:r>
        <w:rPr/>
        <w:t xml:space="preserve"> Федерального закона от 25 декабря 2008 г. N 273-ФЗ "О противодействии коррупции" не содержит каких-либо исключений из установленной для служащих обязанности представлять сведения о своих доходах, а также о доходах своих супруги (супруга) и несовершеннолетних детей.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При этом </w:t>
      </w:r>
      <w:hyperlink r:id="rId6" w:tgtFrame="Указ Президента РФ от 01.07.2010 N 821 (ред. от 19.09.2017) \&quot;О комиссиях по соблюдению требований к служебному поведению федеральных государственных служащих и урегулированию конфликта интересов\">
        <w:r>
          <w:rPr>
            <w:rStyle w:val="ListLabel3"/>
            <w:color w:val="0000FF"/>
          </w:rPr>
          <w:t>пунктом 16</w:t>
        </w:r>
      </w:hyperlink>
      <w:r>
        <w:rPr/>
        <w:t xml:space="preserve"> Положения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 Указом Президента Российской Федерации от 1 июля 2010 г. N 821 (далее соответственно - Положение о комиссиях, комиссия), предусмотрена возможность направления служащим заявления о невозможности по объективным причинам представить сведения о доходах своих супруги (супруга) и несовершеннолетних детей. Однако для самого служащего право направить такое заявление в отношении сведений о своих доходах законодательством не установлено.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Рассмотрение на заседании комиссии вопроса о непредставлении сведений о доходах служащего, а также причин их непредставления может быть инициировано любым членом комиссии (</w:t>
      </w:r>
      <w:hyperlink r:id="rId7" w:tgtFrame="Указ Президента РФ от 01.07.2010 N 821 (ред. от 19.09.2017) \&quot;О комиссиях по соблюдению требований к служебному поведению федеральных государственных служащих и урегулированию конфликта интересов\">
        <w:r>
          <w:rPr>
            <w:rStyle w:val="ListLabel3"/>
            <w:color w:val="0000FF"/>
          </w:rPr>
          <w:t>подпункт "в" пункта 16</w:t>
        </w:r>
      </w:hyperlink>
      <w:r>
        <w:rPr/>
        <w:t xml:space="preserve"> Положения о комиссиях). Уважительной причиной непредставления сведений о доходах служащего может быть любая жизненная ситуация служащего, которую комиссия должна коллегиально рассмотреть (с учетом всех обстоятельств конкретной ситуации) и направить представителю нанимателя рекомендации о привлечении либо отсутствии объективных причин для привлечения служащего к ответственности.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1.1. Куда подают заявления о невозможности представить сведения о доходах лица, замещающие муниципальные должности? Каким органом рассматриваются данные заявления, какие решения могут приниматься?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Лица, замещающие муниципальные должности, представляют сведения о доходах высшему должностному лицу субъекта Российской Федерации в порядке, установленном законом субъекта Российской Федерации (</w:t>
      </w:r>
      <w:hyperlink r:id="rId8" w:tgtFrame="Федеральный закон от 25.12.2008 N 273-ФЗ (ред. от 30.10.2018) \&quot;О противодействии коррупции\&quot;&#10;{КонсультантПлюс}">
        <w:r>
          <w:rPr>
            <w:rStyle w:val="ListLabel3"/>
            <w:color w:val="0000FF"/>
          </w:rPr>
          <w:t>часть 4.2 статьи 12.1</w:t>
        </w:r>
      </w:hyperlink>
      <w:r>
        <w:rPr/>
        <w:t xml:space="preserve"> Федерального закона "О противодействии коррупции").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Руководствуясь федеральным </w:t>
      </w:r>
      <w:hyperlink r:id="rId9" w:tgtFrame="Указ Президента РФ от 01.07.2010 N 821 (ред. от 19.09.2017) \&quot;О комиссиях по соблюдению требований к служебному поведению федеральных государственных служащих и урегулированию конфликта интересов\">
        <w:r>
          <w:rPr>
            <w:rStyle w:val="ListLabel3"/>
            <w:color w:val="0000FF"/>
          </w:rPr>
          <w:t>Положением</w:t>
        </w:r>
      </w:hyperlink>
      <w:r>
        <w:rPr/>
        <w:t xml:space="preserve"> о комиссиях целесообразно предусмотреть положения, касающиеся подачи высшему должностному лицу субъекта Российской Федерации заявления о невозможности представить сведения о доходах, обеспечения рассмотрения им таких заявлений, а также возможные решения при рассмотрении данных заявлений в соответствующих субъектовых и муниципальных </w:t>
      </w:r>
      <w:hyperlink r:id="rId10" w:tgtFrame="Указ Президента РФ от 01.07.2010 N 821 (ред. от 19.09.2017) \&quot;О комиссиях по соблюдению требований к служебному поведению федеральных государственных служащих и урегулированию конфликта интересов\">
        <w:r>
          <w:rPr>
            <w:rStyle w:val="ListLabel3"/>
            <w:color w:val="0000FF"/>
          </w:rPr>
          <w:t>Положениях</w:t>
        </w:r>
      </w:hyperlink>
      <w:r>
        <w:rPr/>
        <w:t xml:space="preserve"> о комиссиях. Например, данный вопрос может быть рассмотрен на заседании комиссии по координации работы по противодействию коррупции в субъекте Российской Федерации.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 При рассмотрении заявления служащего о невозможности по объективным причинам представить сведения о доходах супруги (супруга) и несовершеннолетних детей (далее - заявление о невозможности представить сведения) какие доводы являются достаточными для принятия комиссией решения о том, что причина непредставления служащим таких сведений является объективной и уважительной? Может ли служащий подавать такое заявление ежегодно, несколько раз с перерывами?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К ситуациям, когда отсутствует возможность представить сведения о супруге, относятся, например, случаи, когда супруга (супруг) находится в длительной командировке или в местах отбывания наказания или супруги не проживают совместно. Кроме того, супруга (супруг) может также отказаться по субъективным причинам представить соответствующие сведения.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При этом сам по себе факт разрыва отношений, на наш взгляд, не может расцениваться как объективная и уважительная причина в силу особого характера обязанностей, возложенных на лицо при замещении им соответствующей должности.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Причину непредставления служащим сведений о доходах своих супруги (супруга) и несовершеннолетних детей можно признать объективной и уважительной в случае, если служащий принял все зависящие от него меры для обеспечения надлежащего исполнения им соответствующей обязанности (принимались ли меры к установлению места жительства супруги (супруга), несовершеннолетних детей, получению таких сведений от супруги (супруга) и в отношении несовершеннолетних детей, запрашивалась ли доступная лицу информация из регистрирующих органов).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При получении антикоррупционным подразделением заявления о невозможности представить сведения необходимо дать объективную оценку разумной достаточности мер, принятых служащим для получения сведений о доходах супруги (супруга) и несовершеннолетних детей, а также результатов, которые были получены. Проведенная оценка данных мер и результатов, а также иной доступной информации, которая способна повлиять на решение комиссии, должна быть оформлена в информационную справку и направлена членам комиссии для возможности их предварительного ознакомления с конкретной ситуацией.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Учитывая, что обязанность служащих представлять сведения о доходах возникает ежегодно (с 1 января), направление заявления о невозможности представить сведения должно осуществляться ежегодно.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3. Обязан ли служащий подавать сведения о доходах при увольнении в период с 1 января по 30 апреля?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Законодательством установлен конкретный перечень лиц, на которых распространяется обязанность представлять сведения о доходах. После увольнения со службы на гражданина вышеуказанная обязанность не распространяется.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Исполнение служащим указанной обязанности по предыдущему месту службы может свидетельствовать о надлежащем соблюдении им запретов и ограничений, исполнении обязанностей, установленных в целях противодействия коррупции. Рекомендуем доводить данную информацию до служащих, планирующих свое увольнение.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Обращаем внимание, что в случае поступления гражданина на службу в период декларационной кампании гражданин представляет сведения о доходах в установленном порядке. Обязанность повторного представления (в качестве служащего) сведений о доходах до 30 апреля отсутствует, поскольку служащий не замещал соответствующую должность по состоянию на 31 декабря.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4. Является ли нарушением требований законодательства о противодействии коррупции, влекущим применение взысканий, указание в справке о доходах сведений о расходах при отсутствии правовых оснований для представления данных сведений?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Заполнение соответствующего раздела справки о доходах сведениями о понесенных расходах при отсутствии установленных Федеральным </w:t>
      </w:r>
      <w:hyperlink r:id="rId11" w:tgtFrame="Федеральный закон от 03.12.2012 N 230-ФЗ (ред. от 03.08.2018) \&quot;О контроле за соответствием расходов лиц, замещающих государственные должности, и иных лиц их доходам\">
        <w:r>
          <w:rPr>
            <w:rStyle w:val="ListLabel3"/>
            <w:color w:val="0000FF"/>
          </w:rPr>
          <w:t>законом</w:t>
        </w:r>
      </w:hyperlink>
      <w:r>
        <w:rPr/>
        <w:t xml:space="preserve"> от 3 декабря 2012 г. N 230-ФЗ "О контроле за соответствием расходов лиц, замещающих государственную должность, и иных лиц их доходам" (далее - Федеральный закон N 230-ФЗ) оснований не является нарушением со стороны служащего требований антикоррупционного законодательства. Данный служащий не подлежит привлечению к ответственности за представление таких сведений о расходах.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5. Вопрос, касающийся возможности подтверждения состава семьи лица, подающего сведения о доходах.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каждом конкретном случае необходимо принять все доступные меры по установлению состава семьи лица, подающего сведения. Например, запросить личное дело лица и проверить информацию, хранящуюся в нем; направить запросы в органы ЗАГС по месту жительства или рождения лица; провести беседы с лицом и (или) его коллегами.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Кроме того, отдельные должностные лица наделены правом направлять запросы в федеральные органы исполнительной власти, уполномоченные на осуществление оперативно-разыскной деятельности, о проведении оперативно-разыскных мероприятий по основаниям, установленным </w:t>
      </w:r>
      <w:hyperlink r:id="rId12" w:tgtFrame="Федеральный закон от 12.08.1995 N 144-ФЗ (ред. от 06.07.2016) \&quot;Об оперативно-розыскной деятельности\&quot;&#10;{КонсультантПлюс}">
        <w:r>
          <w:rPr>
            <w:rStyle w:val="ListLabel3"/>
            <w:color w:val="0000FF"/>
          </w:rPr>
          <w:t>частью 3 статьи 7</w:t>
        </w:r>
      </w:hyperlink>
      <w:r>
        <w:rPr/>
        <w:t xml:space="preserve"> Федерального закона от 12 августа 1995 г. N 144-ФЗ "Об оперативно-розыскной деятельности", при осуществлении соответствующих видов проверки. Ответы на указанные запросы также могут способствовать установлению состава семьи лица, подающего сведения о доходах.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6. В течение какого периода времени с момента представления сведений о доходах данные сведения должны быть проанализированы?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Ответ: законодательство Российской Федерации о противодействии коррупции устанавливает, что анализ сведений о доходах проводится в отношении представленных сведений о доходах. Момент представления данных сведений наступает тогда, когда служащий сдает справку о доходах, а антикоррупционное подразделение ее принимает. Таким образом, анализ сведений о доходах может проводиться с 1 мая года, когда сведения о доходах были представлены.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Однако необходимо учитывать, что срок давности для привлечения служащего к ответственности три года. В этой связи необходимо учитывать данный срок при анализе сведений о доходах и последующем принятии решения о проведении соответствующей проверки при необходимости.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С целью выявления и своевременного исправления возможных ошибок (неточностей) в справках о доходах рекомендуем оказывать консультативно-методическую помощь служащим до представления ими данных справок в установленном порядке.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1"/>
        <w:rPr/>
      </w:pPr>
      <w:r>
        <w:rPr/>
        <w:t>Вопросы, касающиеся заполнения отдельных разделов справки о доходах.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Пролог: если не ясны какие-либо положения или сноски к форме справки о доходах, содержащиеся в </w:t>
      </w:r>
      <w:hyperlink r:id="rId13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Указе</w:t>
        </w:r>
      </w:hyperlink>
      <w:r>
        <w:rPr/>
        <w:t xml:space="preserve"> Президента Российской Федерации N 460, обращайтесь к Методическим рекомендациям по вопросам представления сведений о доходах, ежегодную подготовку которых осуществляет Министерство.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2"/>
        <w:rPr/>
      </w:pPr>
      <w:r>
        <w:rPr/>
        <w:t>Раздел 1 Сведения о доходах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Необходимость отражения страховых выплат при досрочном расторжении договора и выплат при наступлении страхового случая "дожитие".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Выплаты при досрочном расторжении договора (выкупная сумма) не указываются, поскольку происходит возврат части денежных средств по несостоявшемуся договору.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случае наступления страхового случая, в том числе при "дожитии", полученные выплаты подлежат указанию.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2"/>
        <w:rPr/>
      </w:pPr>
      <w:r>
        <w:rPr/>
        <w:t>Раздел 2 Сведения о расходах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1. Необходимо ли заполнять </w:t>
      </w:r>
      <w:hyperlink r:id="rId14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раздел 2</w:t>
        </w:r>
      </w:hyperlink>
      <w:r>
        <w:rPr/>
        <w:t xml:space="preserve"> справки при приобретении недвижимого имущества посредством участия в долевом строительстве, в случае, если оплаченная в 2017 г. по указанному договору сумма превышает общий доход служащего и его супруги (супруга) за 2014 - 2016 г., а государственная регистрация права собственности на недвижимое имущество произведена в 2018 г.?</w:t>
      </w:r>
    </w:p>
    <w:p>
      <w:pPr>
        <w:pStyle w:val="ConsPlusNormal"/>
        <w:spacing w:before="200" w:after="0"/>
        <w:ind w:left="0" w:firstLine="540"/>
        <w:jc w:val="both"/>
        <w:rPr/>
      </w:pPr>
      <w:hyperlink r:id="rId15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Раздел 2</w:t>
        </w:r>
      </w:hyperlink>
      <w:r>
        <w:rPr/>
        <w:t xml:space="preserve"> справки заполняется только в случае, если в отчетном периоде служащим, его супругой (супругом) и несовершеннолетними детьми осуществлены расходы по сделке (сделкам) по приобретению земельного участка, другого объекта недвижимости, транспортного средства, ценных бумаг, акций и сумма расходов по такой сделке или общая сумма совершенных сделок превышает общий доход данного лица и его супруги (супруга) за три последних года, предшествующих отчетному периоду.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случае, если оплата суммы по договору произведена в 2017 г. и данная сумма превышает общий доход семьи за предшествующий трехлетний период, сведения о расходах необходимо предоставить в рамках декларационной кампании 2018 г. и без учета того, что государственная регистрация права собственности произведена только в 2018 г., поскольку именно в 2017 г. были понесены расходы по сделке.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При этом обращаем внимание на необходимость заполнения в данной ситуации </w:t>
      </w:r>
      <w:hyperlink r:id="rId16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подраздела 6.2</w:t>
        </w:r>
      </w:hyperlink>
      <w:r>
        <w:rPr/>
        <w:t xml:space="preserve"> справки с указанием на обязательство застройщика перед служащим.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2. Необходимо ли заполнять </w:t>
      </w:r>
      <w:hyperlink r:id="rId17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раздел 2</w:t>
        </w:r>
      </w:hyperlink>
      <w:r>
        <w:rPr/>
        <w:t xml:space="preserve"> справки при приобретении служащим и его родителями недвижимого имущества, каждый из которых приобрел по 1/3 доли в данном имуществе? Сумма по сделке превышает доход служащего за три последних года, предшествующих отчетному периоду. Однако сумма за 1/3 доли не превышает трехгодовой доход.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В случае если в сделке по приобретению недвижимости на стороне покупателя выступает множественность лиц, одним из которых является лицо, на которое распространяются положения Федерального </w:t>
      </w:r>
      <w:hyperlink r:id="rId18" w:tgtFrame="Федеральный закон от 03.12.2012 N 230-ФЗ (ред. от 03.08.2018) \&quot;О контроле за соответствием расходов лиц, замещающих государственные должности, и иных лиц их доходам\">
        <w:r>
          <w:rPr>
            <w:rStyle w:val="ListLabel3"/>
            <w:color w:val="0000FF"/>
          </w:rPr>
          <w:t>закона</w:t>
        </w:r>
      </w:hyperlink>
      <w:r>
        <w:rPr/>
        <w:t xml:space="preserve"> N 230-ФЗ, имущество приобретается в общую собственность, в том числе с определением долей, о такой сделке, превышающей доход лица и его супруги (супруга) за три последних года, предшествующих отчетному периоду, необходимо представить сведения о расходах.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В случае если заключаются отдельные сделки по приобретению долей в недвижимости, то учитывается общая стоимость каждой из сделок, совершенных лицом, на которое распространяются положения Федерального </w:t>
      </w:r>
      <w:hyperlink r:id="rId19" w:tgtFrame="Федеральный закон от 03.12.2012 N 230-ФЗ (ред. от 03.08.2018) \&quot;О контроле за соответствием расходов лиц, замещающих государственные должности, и иных лиц их доходам\">
        <w:r>
          <w:rPr>
            <w:rStyle w:val="ListLabel3"/>
            <w:color w:val="0000FF"/>
          </w:rPr>
          <w:t>закона</w:t>
        </w:r>
      </w:hyperlink>
      <w:r>
        <w:rPr/>
        <w:t xml:space="preserve"> N 230-ФЗ, и его супругой (супругом).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3. При определении необходимости заполнения </w:t>
      </w:r>
      <w:hyperlink r:id="rId20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раздела 2</w:t>
        </w:r>
      </w:hyperlink>
      <w:r>
        <w:rPr/>
        <w:t xml:space="preserve"> справки необходимо соотносить расходы по приобретению имущества и доходы, полученные за три последних года, предшествующих отчетному периоду. Например, в случае приобретения служащим имущества в 2017 г. учитываются доходы, полученные в 2014 - 2016 гг. При этом, ранее в 2016 г. служащий приобрел другое имущество. Необходимо ли при определении доходов за 2014 - 2016 гг. учитывать расходы по приобретению имущества в 2016 г.?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Из положений Федерального </w:t>
      </w:r>
      <w:hyperlink r:id="rId21" w:tgtFrame="Федеральный закон от 03.12.2012 N 230-ФЗ (ред. от 03.08.2018) \&quot;О контроле за соответствием расходов лиц, замещающих государственные должности, и иных лиц их доходам\">
        <w:r>
          <w:rPr>
            <w:rStyle w:val="ListLabel3"/>
            <w:color w:val="0000FF"/>
          </w:rPr>
          <w:t>закона</w:t>
        </w:r>
      </w:hyperlink>
      <w:r>
        <w:rPr/>
        <w:t xml:space="preserve"> N 230-ФЗ следует, что оценка соразмерности понесенных расходов на сделки в отчетном периоде доходам осуществляется исходя из доходов, полученных служащим и его супругой (супругом) за три последних года, предшествующих отчетному периоду. При осуществлении подсчета дохода, полученного за три последних года, предшествующих отчетному периоду, обязанность учета понесенных (возможно понесенных) расходов в течение данного трехлетнего периода законодательством Российской Федерации не установлена.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Вместе с тем, при установлении фактов ежегодной покупки объектов имущества, ценных бумаг, акций рекомендуем проводить тщательный анализ расходов и доходов, с целью последующего проведения проверки при необходимости.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2"/>
        <w:rPr/>
      </w:pPr>
      <w:r>
        <w:rPr/>
        <w:t>Подраздел 3.1 Недвижимое имущество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1. Заполнение </w:t>
      </w:r>
      <w:hyperlink r:id="rId22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подраздела 3.1</w:t>
        </w:r>
      </w:hyperlink>
      <w:r>
        <w:rPr/>
        <w:t xml:space="preserve"> справки в случаях, когда договор купли-продажи заключен в конце отчетного периода, а право собственности - в следующем отчетном периоде.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Аналогично: заполнение </w:t>
      </w:r>
      <w:hyperlink r:id="rId23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раздела 1</w:t>
        </w:r>
      </w:hyperlink>
      <w:r>
        <w:rPr/>
        <w:t xml:space="preserve"> справки в случаях, когда договор купли-продажи заключен в конце отчетного периода, а деньги поступили на счет лица, в отношении которого представляются сведения, в следующем отчетном периоде.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Данное имущество в </w:t>
      </w:r>
      <w:hyperlink r:id="rId24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подразделе 3.1</w:t>
        </w:r>
      </w:hyperlink>
      <w:r>
        <w:rPr/>
        <w:t xml:space="preserve"> справки не отражается. Если по состоянию на 31 декабря служащий пользуется купленным имуществом, то данное имущество отражается в </w:t>
      </w:r>
      <w:hyperlink r:id="rId25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подразделе 6.1</w:t>
        </w:r>
      </w:hyperlink>
      <w:r>
        <w:rPr/>
        <w:t xml:space="preserve"> справки.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Доход: если на 31 декабря денежные средства не поступили - сведения о них не указываются.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2"/>
        <w:rPr/>
      </w:pPr>
      <w:r>
        <w:rPr/>
        <w:t>Подраздел 3.2 Транспортные средства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Считаются ли транспортные средства, находящиеся в собственности физического лица - индивидуального предпринимателя, являющегося одновременно депутатом на непостоянной основе (в том числе сельскохозяйственная техника: тракторы, комбайны, сеялки, прицепы и т.д.), личной собственностью такого депутата и подлежат ли указанию в справке о доходах?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случае, если сельскохозяйственная техника зарегистрирована в соответствующих органах на депутата в статусе физического лица, то она подлежит отражению в справке о доходах. В ином случае, когда такая техника зарегистрирована на индивидуального предпринимателя или юридическое лицо, она является коммерческим имуществом и не подлежит отражению.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Аналогичным подходом необходимо руководствоваться при возникновении срочных обязательств финансового характера.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2"/>
        <w:rPr/>
      </w:pPr>
      <w:r>
        <w:rPr/>
        <w:t>Раздел 4 Сведения о счетах в банках и иных кредитных организациях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1. Заполнение </w:t>
      </w:r>
      <w:hyperlink r:id="rId26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графы 6</w:t>
        </w:r>
      </w:hyperlink>
      <w:r>
        <w:rPr/>
        <w:t xml:space="preserve"> "Сумма поступивших на счет денежных средств" раздела 4 справки на несовершеннолетнего ребенка.</w:t>
      </w:r>
    </w:p>
    <w:p>
      <w:pPr>
        <w:pStyle w:val="ConsPlusNormal"/>
        <w:spacing w:before="200" w:after="0"/>
        <w:ind w:left="0" w:firstLine="540"/>
        <w:jc w:val="both"/>
        <w:rPr/>
      </w:pPr>
      <w:hyperlink r:id="rId27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Графа 6 раздела 4</w:t>
        </w:r>
      </w:hyperlink>
      <w:r>
        <w:rPr/>
        <w:t xml:space="preserve"> справки заполняется в случаях, если указанная сумма превышает общий доход служащего (работника) и его супруга (супруги) за отчетный период и два предшествующих ему года. Таким образом, </w:t>
      </w:r>
      <w:hyperlink r:id="rId28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графа 6 раздела 4</w:t>
        </w:r>
      </w:hyperlink>
      <w:r>
        <w:rPr/>
        <w:t xml:space="preserve"> справки должна быть заполнена, если сумма поступивших денежных средств на счет ребенка превышает трехгодовой доход его родителей.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2"/>
        <w:rPr/>
      </w:pPr>
      <w:r>
        <w:rPr/>
        <w:t>Подраздел 6.1 Объекты недвижимого имущества, находящиеся в пользовании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1. Указание в </w:t>
      </w:r>
      <w:hyperlink r:id="rId29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подразделе 6.1</w:t>
        </w:r>
      </w:hyperlink>
      <w:r>
        <w:rPr/>
        <w:t xml:space="preserve"> справки земельного участка под гаражом (машино-места) (в гаражном кооперативе, на многоуровневой (подземной/надземной) парковке, на придомовой территории, на обособленном (выделенном) земельном участке).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Если имеется документ о праве собственности или договор аренды на земельный участок, на котором расположен гараж (машино-места) - данный земельный участок отражается в </w:t>
      </w:r>
      <w:hyperlink r:id="rId30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подразделе 3.1</w:t>
        </w:r>
      </w:hyperlink>
      <w:r>
        <w:rPr/>
        <w:t xml:space="preserve"> или </w:t>
      </w:r>
      <w:hyperlink r:id="rId31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6.1</w:t>
        </w:r>
      </w:hyperlink>
      <w:r>
        <w:rPr/>
        <w:t xml:space="preserve"> справки соответственно.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случае отсутствия документов на земельный участок - данный земельный участок не отражается.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2"/>
        <w:rPr/>
      </w:pPr>
      <w:r>
        <w:rPr/>
        <w:t>Подраздел 6.2 Срочные обязательства финансового характера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1. Заполнение </w:t>
      </w:r>
      <w:hyperlink r:id="rId32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подраздела 6.2</w:t>
        </w:r>
      </w:hyperlink>
      <w:r>
        <w:rPr/>
        <w:t xml:space="preserve"> справки в случае, если по кредитному обязательству (не превышающему 500 тыс. руб.) накоплены проценты (суммарно с суммой займа превышающие 500 тыс. руб./сами проценты превышают 500 тыс. руб.).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Пени, штрафы, проценты за просрочку платежа по кредитному договору предусматриваются в условиях кредитного договора и являются финансовым обязательством перед кредитором при наступлении определенных условий.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Таким образом, при возникновении таких условий возникает обязательство финансового характера, вытекающее из кредитного договора. В случае, если данное обязательство является равным или превышает 500 тыс. руб., то сведения о таком обязательстве отражаются в </w:t>
      </w:r>
      <w:hyperlink r:id="rId33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подразделе 6.2</w:t>
        </w:r>
      </w:hyperlink>
      <w:r>
        <w:rPr/>
        <w:t xml:space="preserve"> справки.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2. Договора страхования жизни в </w:t>
      </w:r>
      <w:hyperlink r:id="rId34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подразделе 6.2</w:t>
        </w:r>
      </w:hyperlink>
      <w:r>
        <w:rPr/>
        <w:t xml:space="preserve"> справки не указываются.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2"/>
        <w:rPr/>
      </w:pPr>
      <w:r>
        <w:rPr/>
        <w:t>Раздел 7 Сведения о недвижимом имуществе, транспортных средствах и ценных бумагах, отчужденных в течение отчетного периода в результате безвозмездной сделки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Необходимо ли отражать информацию об утилизации автомобиля в случае самостоятельной утилизации транспортного средства (например, разбор на запчасти) без заключения договора на утилизацию с организацией, осуществляющей данный вид деятельности (документы, подтверждающие утилизацию отсутствуют), или должен быть документ, подтверждающий утилизацию транспортного средства, фактическое его уничтожение, гибель (акт об утилизации и др.).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Самостоятельная утилизация, например, разбор автомобиля на запчасти, не прекращает право собственности на данный автомобиль. В данном случае </w:t>
      </w:r>
      <w:hyperlink r:id="rId35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раздел 7</w:t>
        </w:r>
      </w:hyperlink>
      <w:r>
        <w:rPr/>
        <w:t xml:space="preserve"> справки не заполняется, такой автомобиль необходимо отражать в </w:t>
      </w:r>
      <w:hyperlink r:id="rId36" w:tgtFrame="Указ Президента РФ от 23.06.2014 N 460 (ред. от 09.10.2017) \&quot;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\&quot;&#10;{КонсультантПлюс}">
        <w:r>
          <w:rPr>
            <w:rStyle w:val="ListLabel3"/>
            <w:color w:val="0000FF"/>
          </w:rPr>
          <w:t>разделе 3.2</w:t>
        </w:r>
      </w:hyperlink>
      <w:r>
        <w:rPr/>
        <w:t xml:space="preserve"> справки.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0"/>
        <w:rPr/>
      </w:pPr>
      <w:r>
        <w:rPr/>
        <w:t>II. Вопросы, связанные с проведением проверки достоверности и полноты сведений, а также с осуществлением контроля за расходами (далее - проверка).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1"/>
        <w:rPr/>
      </w:pPr>
      <w:r>
        <w:rPr/>
        <w:t>1. Основания для инициирования проверки.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1.1. Критерии признания информации достаточной для инициирования процедуры проверки.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Достаточность информации предполагает наличие совокупности данных, свидетельствующих о несоответствии фактическим обстоятельствам представленных служащим сведений. Как правило, данная информация содержится в различных документах, отражающих действительное имущественное положение служащего и членов его семьи. Она может находиться в открытом доступе (например, в открытых государственных реестрах, в том числе иностранных, в средствах массовой информации) или содержаться в представленных служащим документах.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Признаками, свидетельствующими о необходимости проведения проверки, могут служить: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- несовпадение (расхождение) представленной служащим информации, в том числе в бумажном виде и (или) в ходе беседы;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- сомнение в подлинности представленных сведений;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- путаность и оговорки, допускаемые служащим при проведении с ним беседы.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случае, если работниками подразделений при проведении анализа представленных сведений о доходах, об имуществе и обязательствах имущественного характера выявлены обстоятельства, позволяющие усомниться в достоверности данных сведений, необходимо инициировать проведение проверки.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Полученная от органов и организаций информация, свидетельствующая о несоответствии представленных служащим сведений фактическим обстоятельствам (без приложения соответствующих документов), не означает, что проверку проводить нельзя.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Учитывая, что достаточность информации является оценочной категорией, необходимо помнить, что любая информация (кроме анонимной) о несоответствии представленных служащим сведений фактическим обстоятельствам либо наличии сомнений в объективности такой информации может быть признана достаточной.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1"/>
        <w:rPr/>
      </w:pPr>
      <w:r>
        <w:rPr/>
        <w:t>2. Организационные вопросы осуществления проверки.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2.1. Необходимо ли при проведении проверки осуществлять комплексную проверку всех отраженных в справках сведений или только в части тех недостоверных сведений, которые явились основанием для проведения такой проверки?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При наличии оснований для проведения проверки (например, представление органов прокуратуры о сокрытии недвижимого имущества) рекомендуется проводить проверку всех сведений, содержащихся в справке, несмотря на то, что сомнение в достоверности представленных сведений заключается, например, лишь по одному разделу справки.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Указанный подход позволяет полноценно оценить исполнение служащим обязанности по представлению достоверных сведений о доходах и избежать повторного проведения проверки и возможного привлечения служащего к ответственности в случае, если выявляются новые ошибки в ранее представленных сведениях.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Доклад о результатах проверки, а также сведения о соблюдении служащим ограничений, установленных федеральными законами, приобщается к личному делу служащего.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2.2. Может ли быть проведен контроль за расходами за год, выходящий за пределы трехлетнего периода (например, может ли быть проведена в 2018 году проверка о расходах, совершенных в 2013 году)?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Федеральный </w:t>
      </w:r>
      <w:hyperlink r:id="rId37" w:tgtFrame="Федеральный закон от 03.12.2012 N 230-ФЗ (ред. от 03.08.2018) \&quot;О контроле за соответствием расходов лиц, замещающих государственные должности, и иных лиц их доходам\">
        <w:r>
          <w:rPr>
            <w:rStyle w:val="ListLabel3"/>
            <w:color w:val="0000FF"/>
          </w:rPr>
          <w:t>закон</w:t>
        </w:r>
      </w:hyperlink>
      <w:r>
        <w:rPr/>
        <w:t xml:space="preserve"> N 230-ФЗ устанавливает, что сведения о расходах представляются по каждой сделке, совершенной в течение календарного года, предшествующего году представления сведений (далее - отчетный период), если общая сумма таких сделок превышает общий доход служащего и его супруги (супруга) за три последних года, предшествующих отчетному периоду.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Также установлено, что основанием для осуществления контроля за расходами является достаточная информация о том, что данным служащим, его супругой (супругом) и (или) несовершеннолетними детьми в течение отчетного периода совершены сделки (совершена сделка) на общую сумму, превышающую общий доход служащего и его супруги (супруга) за три последних года, предшествующих отчетному периоду.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Федеральный </w:t>
      </w:r>
      <w:hyperlink r:id="rId38" w:tgtFrame="Федеральный закон от 03.12.2012 N 230-ФЗ (ред. от 03.08.2018) \&quot;О контроле за соответствием расходов лиц, замещающих государственные должности, и иных лиц их доходам\">
        <w:r>
          <w:rPr>
            <w:rStyle w:val="ListLabel3"/>
            <w:color w:val="0000FF"/>
          </w:rPr>
          <w:t>закон</w:t>
        </w:r>
      </w:hyperlink>
      <w:r>
        <w:rPr/>
        <w:t xml:space="preserve"> N 230-ФЗ не содержит ограничений по временному периоду совершения сделок, по которым может быть осуществлен контроль за расходами.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В соответствии со </w:t>
      </w:r>
      <w:hyperlink r:id="rId39" w:tgtFrame="\&quot;Гражданский кодекс Российской Федерации (часть первая)\">
        <w:r>
          <w:rPr>
            <w:rStyle w:val="ListLabel3"/>
            <w:color w:val="0000FF"/>
          </w:rPr>
          <w:t>статьями 196</w:t>
        </w:r>
      </w:hyperlink>
      <w:r>
        <w:rPr/>
        <w:t xml:space="preserve"> и </w:t>
      </w:r>
      <w:hyperlink r:id="rId40" w:tgtFrame="\&quot;Гражданский кодекс Российской Федерации (часть первая)\">
        <w:r>
          <w:rPr>
            <w:rStyle w:val="ListLabel3"/>
            <w:color w:val="0000FF"/>
          </w:rPr>
          <w:t>200</w:t>
        </w:r>
      </w:hyperlink>
      <w:r>
        <w:rPr/>
        <w:t xml:space="preserve"> Гражданского кодекса Российской Федерации общий срок исковой давности составляет три года со дня, когда лицо узнало или должно было узнать о нарушении своего права.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Таким образом, с момента поступления в соответствии со </w:t>
      </w:r>
      <w:hyperlink r:id="rId41" w:tgtFrame="Федеральный закон от 03.12.2012 N 230-ФЗ (ред. от 03.08.2018) \&quot;О контроле за соответствием расходов лиц, замещающих государственные должности, и иных лиц их доходам\">
        <w:r>
          <w:rPr>
            <w:rStyle w:val="ListLabel3"/>
            <w:color w:val="0000FF"/>
          </w:rPr>
          <w:t>статьей 4</w:t>
        </w:r>
      </w:hyperlink>
      <w:r>
        <w:rPr/>
        <w:t xml:space="preserve"> Федерального закона N 230-ФЗ информации о том, что лицом, его супругой (супругом) и (или) несовершеннолетними детьми в течение отчетного периода совершены сделки на общую сумму, превышающую общий доход данного лица и его супруги (супруга) за три последних года, предшествующих отчетному периоду, начинает исчисляться трехлетний срок исковой давности в течение которого процедуры контроля за расходами являются целесообразными, так как могут привести к обращению в доход Российской Федерации соответствующего имущества.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2.3. Проведение проверки в случаях, когда лицо, в отношении которого проводится проверка, уволилось (было уволено) по другим основаниям до ее завершения.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данном случае рекомендуется довести проверку до конца, поскольку возможно выявление по результатам проверки состава административного правонарушения или уголовного преступления.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2.4. Возможность использования специализированных программных продуктов в целях осуществления проверки (например, СПАРК-интерфакс).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Запрет на использование подобных программных продуктов законодательство Российской Федерации не устанавливает.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2.5. Получение согласия на проведение бесед с гражданами и служащими в рамках проведения проверки (в том числе форма получения согласия, последствия отказа и пр.).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При проведении в отношении служащего проверки антикоррупционное подразделение вправе проводить беседы с данным служащим и получать необходимые пояснения. Подтверждение согласия на проведение беседы нецелесообразно, поскольку при таком согласии беседа состоится. В случае отказа служащего от проведения беседы, рекомендуется документально зафиксировать факт такого отказа в присутствии трех служащих уполномоченного подразделения.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рамках проведения анализа сведений о доходах согласие или отказ служащего на проведение с ними беседы, получение от него пояснений целесообразно оформлять в письменном виде в произвольной форме.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2.6. Ответственность уполномоченных должностных лиц, осуществляющих проверку.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 случае ненадлежащего исполнения должностными лицами возложенных на них обязанностей данные лица могут быть привлечены к дисциплинарной ответственности, установленной законодательством.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2.7. Кадровое подразделение обязано ознакомить служащего, в отношении которого проведена проверка, с результатами проверки. В какой форме и сроки целесообразно осуществлять данное ознакомление (письменная форма, под роспись, выдача копии доклада или выписки из него, др.)?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Подпунктом "в" пункта 24 Положения о проверке установлено право служащего давать пояснения в письменной форме, в частности, по результатам проверки. В соответствии с пунктом 25 Положения о проверке такие пояснения приобщаются к материалам проверки. В этой связи в целях защиты интересов служащего представляется целесообразным уведомлять служащего в произвольной письменной форме (с отметкой об ознакомлении) о результатах проверки до направления соответствующего доклада представителю нанимателя (уполномоченному лицу).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2.8. Каков объем прав у антикоррупционного подразделения по выяснению наличия финансовой возможности у родственников служащего при предоставлении им денежных средств, которые используются для обоснования сделки по приобретению нового имущества?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Права антикоррупционного подразделения на установление финансового состояния родственников служащего ограничены. Вместе с тем, Федеральным </w:t>
      </w:r>
      <w:hyperlink r:id="rId42" w:tgtFrame="Федеральный закон от 03.12.2012 N 230-ФЗ (ред. от 03.08.2018) \&quot;О контроле за соответствием расходов лиц, замещающих государственные должности, и иных лиц их доходам\">
        <w:r>
          <w:rPr>
            <w:rStyle w:val="ListLabel3"/>
            <w:color w:val="0000FF"/>
          </w:rPr>
          <w:t>законом</w:t>
        </w:r>
      </w:hyperlink>
      <w:r>
        <w:rPr/>
        <w:t xml:space="preserve"> N 230-ФЗ предусмотрено, что антикоррупционные подразделения обязаны уведомить служащего в письменной форме о проведении в отношении него или членов его семьи контроля за расходами и о необходимости представить сведения, в том числе об источниках получения средств, за счет которых совершена сделка. В целях подтверждения финансовой возможности родственников служащего антикоррупционным подразделениям предоставлено право проведения бесед со служащим и иными лицами с их согласия, в рамках которых может быть запрошена и установлена необходимая информация.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Кроме того, отдельные должностные лица наделены правом направлять запросы в федеральные органы исполнительной власти, уполномоченные на осуществление оперативно-разыскной деятельности, о проведении оперативно-разыскных мероприятий по основаниям, установленным </w:t>
      </w:r>
      <w:hyperlink r:id="rId43" w:tgtFrame="Федеральный закон от 12.08.1995 N 144-ФЗ (ред. от 06.07.2016) \&quot;Об оперативно-розыскной деятельности\&quot;&#10;{КонсультантПлюс}">
        <w:r>
          <w:rPr>
            <w:rStyle w:val="ListLabel3"/>
            <w:color w:val="0000FF"/>
          </w:rPr>
          <w:t>частью 3 статьи 7</w:t>
        </w:r>
      </w:hyperlink>
      <w:r>
        <w:rPr/>
        <w:t xml:space="preserve"> Федерального закона от 12 августа 1995 г. N 144-ФЗ "Об оперативно-розыскной деятельности", при осуществлении соответствующих видов проверки.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1"/>
        <w:rPr/>
      </w:pPr>
      <w:r>
        <w:rPr/>
        <w:t>3. Межведомственное взаимодействие в ходе проведения проверки.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hyperlink r:id="rId44" w:tgtFrame="Указ Президента РФ от 21.09.2009 N 1065 (ред. от 09.08.2018) \&quot;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\">
        <w:r>
          <w:rPr>
            <w:rStyle w:val="ListLabel3"/>
            <w:color w:val="0000FF"/>
          </w:rPr>
          <w:t>Подпунктом "л"</w:t>
        </w:r>
      </w:hyperlink>
      <w:r>
        <w:rPr/>
        <w:t xml:space="preserve"> Указа Президента Российской Федерации N 1065 антикоррупционные подразделения при осуществлении анализа сведений о доходах наделены правом получения от государственных (муниципальных) органов, предприятий, учреждений и организаций информации о соблюдении служащими требований к служебному поведению (за исключением информации, содержащей сведения, составляющие государственную, банковскую, налоговую или иную охраняемую законом тайну). Таким образом, до начала проведения соответствующей проверки государственные органы вправе направлять запросы и получать указанную информацию. Однако стоит отметить, что в случае подтверждения несоблюдения служащими требований к служебному поведению привлечение такого служащего к ответственности возможно только по результатам проверки.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3.1. Если в рамках анализа сведений о доходах направлялись запросы в организации, например Росреестр, необходимо ли при проведении проверки повторное направление запросов или возможно использование ответов, полученных в рамках проводимого анализа?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Ответ: в случае получения в рамках анализа сведений о доходах необходимой информации от государственных органов, свидетельствующей о совершении служащим коррупционного правонарушения, повторное направление аналогичных запросов при проведении проверки в отношении данного служащего не целесообразно.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numPr>
          <w:ilvl w:val="0"/>
          <w:numId w:val="0"/>
        </w:numPr>
        <w:ind w:left="0" w:firstLine="540"/>
        <w:jc w:val="both"/>
        <w:outlineLvl w:val="0"/>
        <w:rPr/>
      </w:pPr>
      <w:r>
        <w:rPr/>
        <w:t>III. Применение мер ответственности по результатам проверки.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Критерии квалификации недостоверной информации в сведениях в качестве "технической ошибки".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Ответ: к числу таких ошибок могут быть отнесены, в частности: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- ошибка в справке </w:t>
      </w:r>
      <w:hyperlink r:id="rId45" w:tgtFrame="Приказ ФНС России от 02.10.2018 N ММВ-7-11/566@ \&quot;Об утверждении формы сведений о доходах физических лиц и суммах налога на доходы физических лиц, порядка заполнения и формата ее представления в электронной форме, а также порядка представления в налоговые органы сведений о доходах физических лиц и суммах налога на доходы физических лиц и сообщения о невозможности удержания налога, о суммах дохода, с которого не удержан налог, и сумме неудержанного налога на доходы физических лиц\">
        <w:r>
          <w:rPr>
            <w:rStyle w:val="ListLabel3"/>
            <w:color w:val="0000FF"/>
          </w:rPr>
          <w:t>2-НДФЛ</w:t>
        </w:r>
      </w:hyperlink>
      <w:r>
        <w:rPr/>
        <w:t>, выписке по счету, выданной кредитной организацией и т.п., а также иные причины, когда неточность в представленных сведениях возникла по причинам, независящим от служащего;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- некорректное указание почтового адреса (вместо правильного написания "проспект Строителей" или "пр-т Строителей" указывается "пр. Строителей");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- некорректное указание наименования, адреса кредитной организации, при правильном предоставлении иной информации по соответствующему разделу справки (случаи, когда указан не юридический адрес банка, а фактический адрес его филиала, открывшего счет, или вместо правильного указания организационно-правовой формы кредитной организации ПАО "Сбербанк России" указано ПАО "Сбербанк", Сбербанк и т.п.), при условии, что указанное наименование кредитного учреждения позволяет его достоверно установить;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- ошибки в наименовании вида транспортного средства и в наименовании места его регистрации (при условии достоверного указания субъекта Российской Федерации).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 Сроки давности привлечения к ответственности за совершение коррупционных правонарушений.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Ответ: взыскания за совершение коррупционных правонарушений применяются не позднее одного месяца со дня поступления информации о совершении гражданским служащим коррупционного правонарушения. В данный месячный срок не включаются период временной нетрудоспособности служащего, пребывания его в отпуске, другие случаи его отсутствия на службе по уважительным причинам, а также время проведения проверки и рассмотрения ее материалов комиссией по урегулированию конфликтов интересов.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Вместе с тем взыскание должно быть применено не позднее шести месяцев со дня поступления информации о совершении коррупционного правонарушения.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Таким образом, настоятельно рекомендуем, в частности касательно сведений о доходах, не дожидаться представлений органов прокуратуры, а самостоятельно в кратчайшие сроки осуществлять комплексный анализ представляемых сведений о доходах и инициирование при необходимости проверочных мероприятий.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Для иных видов службы или трудовой деятельности законодательством Российской Федерации установлены иные сроки.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3. Может ли служащий быть привлечен к ответственности за неполноту и недостоверность представленных сведений о доходах в случае, если проверкой, проведенной до истечения месячного срока, предусмотренного законодательством для внесения уточненных сведений, были выявлены нарушения?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 xml:space="preserve">Ответ: согласно </w:t>
      </w:r>
      <w:hyperlink r:id="rId46" w:tgtFrame="Указ Президента РФ от 18.05.2009 N 559 (ред. от 19.09.2017) \&quot;О представлении гражданами, претендующими на замещение должностей федеральной государственной службы, и федеральными государственными служащими сведений о доходах, об имуществе и обязательствах имущественного характера\">
        <w:r>
          <w:rPr>
            <w:rStyle w:val="ListLabel3"/>
            <w:color w:val="0000FF"/>
          </w:rPr>
          <w:t>пункту 8</w:t>
        </w:r>
      </w:hyperlink>
      <w:r>
        <w:rPr/>
        <w:t xml:space="preserve"> Положения о представлении сведений о доходах, утвержденного Указом Президента Российской Федерации N 559, в случае если служащий обнаружил, что в представленных им сведениях о доходах не отражены или не полностью отражены какие-либо сведения либо имеются ошибки, он вправе представить уточненные сведения в порядке.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Служащий может представить уточненные сведения в течение одного месяца. Таким образом, данный срок предусмотрен для уточнения представленных сведений работником в инициативном порядке.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Выявление кадровыми подразделениями нарушений при представлении указанных сведений до истечения названного месячного срока не препятствует привлечению работника к установленной ответственности.</w:t>
      </w:r>
    </w:p>
    <w:p>
      <w:pPr>
        <w:pStyle w:val="ConsPlusNormal"/>
        <w:spacing w:before="200" w:after="0"/>
        <w:ind w:left="0" w:firstLine="540"/>
        <w:jc w:val="both"/>
        <w:rPr/>
      </w:pPr>
      <w:r>
        <w:rPr/>
        <w:t>Однако важно в целях соблюдения права служащего на внесение необходимых изменений в справку о доходах полагаем целесообразным проводить соответствующие проверки достоверности представленных сведений по истечении указанного срока для внесения уточненных сведений.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headerReference w:type="default" r:id="rId47"/>
      <w:footerReference w:type="default" r:id="rId48"/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0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Tahoma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sPlusNormal"/>
      <w:pBdr>
        <w:bottom w:val="single" w:sz="12" w:space="0" w:color="000000"/>
      </w:pBdr>
      <w:jc w:val="center"/>
      <w:rPr>
        <w:sz w:val="1"/>
      </w:rPr>
    </w:pPr>
    <w:r>
      <w:rPr>
        <w:sz w:val="1"/>
      </w:rPr>
    </w:r>
  </w:p>
  <w:tbl>
    <w:tblPr>
      <w:tblW w:w="10207" w:type="dxa"/>
      <w:jc w:val="left"/>
      <w:tblInd w:w="0" w:type="dxa"/>
      <w:tblBorders/>
      <w:tblCellMar>
        <w:top w:w="0" w:type="dxa"/>
        <w:left w:w="40" w:type="dxa"/>
        <w:bottom w:w="0" w:type="dxa"/>
        <w:right w:w="40" w:type="dxa"/>
      </w:tblCellMar>
    </w:tblPr>
    <w:tblGrid>
      <w:gridCol w:w="3368"/>
      <w:gridCol w:w="3470"/>
      <w:gridCol w:w="3369"/>
    </w:tblGrid>
    <w:tr>
      <w:trPr>
        <w:trHeight w:val="1663" w:hRule="exact"/>
      </w:trPr>
      <w:tc>
        <w:tcPr>
          <w:tcW w:w="3368" w:type="dxa"/>
          <w:tcBorders/>
          <w:shd w:fill="auto" w:val="clear"/>
          <w:vAlign w:val="center"/>
        </w:tcPr>
        <w:p>
          <w:pPr>
            <w:pStyle w:val="ConsPlusNormal"/>
            <w:tabs>
              <w:tab w:val="clear" w:pos="720"/>
            </w:tabs>
            <w:jc w:val="left"/>
            <w:rPr/>
          </w:pPr>
          <w:r>
            <w:rPr>
              <w:rFonts w:ascii="0" w:hAnsi="0"/>
              <w:b/>
              <w:i w:val="false"/>
              <w:color w:val="333399"/>
              <w:sz w:val="28"/>
            </w:rPr>
            <w:t>КонсультантПлюс</w:t>
          </w:r>
          <w:r>
            <w:rPr/>
            <w:br/>
          </w:r>
          <w:r>
            <w:rPr>
              <w:rFonts w:ascii="0" w:hAnsi="0"/>
              <w:b/>
              <w:i w:val="false"/>
              <w:color w:val="auto"/>
              <w:sz w:val="16"/>
            </w:rPr>
            <w:t>надежная правовая поддержка</w:t>
          </w:r>
        </w:p>
      </w:tc>
      <w:tc>
        <w:tcPr>
          <w:tcW w:w="3470" w:type="dxa"/>
          <w:tcBorders/>
          <w:shd w:fill="auto" w:val="clear"/>
          <w:vAlign w:val="center"/>
        </w:tcPr>
        <w:p>
          <w:pPr>
            <w:pStyle w:val="ConsPlusNormal"/>
            <w:tabs>
              <w:tab w:val="clear" w:pos="720"/>
            </w:tabs>
            <w:jc w:val="center"/>
            <w:rPr/>
          </w:pPr>
          <w:hyperlink r:id="rId1">
            <w:r>
              <w:rPr>
                <w:rStyle w:val="ListLabel5"/>
                <w:rFonts w:ascii="0" w:hAnsi="0"/>
                <w:b/>
                <w:i w:val="false"/>
                <w:color w:val="0000FF"/>
                <w:sz w:val="20"/>
              </w:rPr>
              <w:t>www.consultant.ru</w:t>
            </w:r>
          </w:hyperlink>
        </w:p>
      </w:tc>
      <w:tc>
        <w:tcPr>
          <w:tcW w:w="3369" w:type="dxa"/>
          <w:tcBorders/>
          <w:shd w:fill="auto" w:val="clear"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ascii="0" w:hAnsi="0"/>
              <w:b w:val="false"/>
              <w:i w:val="false"/>
              <w:sz w:val="20"/>
            </w:rPr>
            <w:t xml:space="preserve">Страница </w:t>
          </w:r>
          <w:r>
            <w:rPr/>
            <w:fldChar w:fldCharType="begin"/>
          </w:r>
          <w:r>
            <w:rPr/>
            <w:instrText> PAGE </w:instrText>
          </w:r>
          <w:r>
            <w:rPr/>
            <w:fldChar w:fldCharType="separate"/>
          </w:r>
          <w:r>
            <w:rPr/>
            <w:t>10</w:t>
          </w:r>
          <w:r>
            <w:rPr/>
            <w:fldChar w:fldCharType="end"/>
          </w:r>
          <w:r>
            <w:rPr>
              <w:rFonts w:ascii="0" w:hAnsi="0"/>
              <w:b w:val="false"/>
              <w:i w:val="false"/>
              <w:sz w:val="20"/>
            </w:rPr>
            <w:t xml:space="preserve"> из </w:t>
          </w:r>
          <w:r>
            <w:rPr/>
            <w:fldChar w:fldCharType="begin"/>
          </w:r>
          <w:r>
            <w:rPr/>
            <w:instrText> NUMPAGES </w:instrText>
          </w:r>
          <w:r>
            <w:rPr/>
            <w:fldChar w:fldCharType="separate"/>
          </w:r>
          <w:r>
            <w:rPr/>
            <w:t>10</w:t>
          </w:r>
          <w:r>
            <w:rPr/>
            <w:fldChar w:fldCharType="end"/>
          </w:r>
        </w:p>
      </w:tc>
    </w:tr>
  </w:tbl>
  <w:p>
    <w:pPr>
      <w:pStyle w:val="ConsPlusNormal"/>
      <w:rPr>
        <w:sz w:val="1"/>
      </w:rPr>
    </w:pPr>
    <w:r>
      <w:rPr>
        <w:sz w:val="1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207" w:type="dxa"/>
      <w:jc w:val="left"/>
      <w:tblInd w:w="0" w:type="dxa"/>
      <w:tblBorders/>
      <w:tblCellMar>
        <w:top w:w="0" w:type="dxa"/>
        <w:left w:w="40" w:type="dxa"/>
        <w:bottom w:w="0" w:type="dxa"/>
        <w:right w:w="40" w:type="dxa"/>
      </w:tblCellMar>
    </w:tblPr>
    <w:tblGrid>
      <w:gridCol w:w="5612"/>
      <w:gridCol w:w="511"/>
      <w:gridCol w:w="4084"/>
    </w:tblGrid>
    <w:tr>
      <w:trPr>
        <w:trHeight w:val="1683" w:hRule="exact"/>
      </w:trPr>
      <w:tc>
        <w:tcPr>
          <w:tcW w:w="5612" w:type="dxa"/>
          <w:tcBorders/>
          <w:shd w:fill="auto" w:val="clear"/>
          <w:vAlign w:val="center"/>
        </w:tcPr>
        <w:p>
          <w:pPr>
            <w:pStyle w:val="ConsPlusNormal"/>
            <w:tabs>
              <w:tab w:val="clear" w:pos="720"/>
            </w:tabs>
            <w:jc w:val="left"/>
            <w:rPr/>
          </w:pPr>
          <w:r>
            <w:rPr>
              <w:rFonts w:ascii="0" w:hAnsi="0"/>
              <w:b w:val="false"/>
              <w:i w:val="false"/>
              <w:sz w:val="16"/>
            </w:rPr>
            <w:t>"Обзор проблемных вопросов, возникающих при представлении, анализе и проверке достоверности сведений о доходах, расходах...</w:t>
          </w:r>
        </w:p>
      </w:tc>
      <w:tc>
        <w:tcPr>
          <w:tcW w:w="511" w:type="dxa"/>
          <w:tcBorders/>
          <w:shd w:fill="auto" w:val="clear"/>
          <w:vAlign w:val="center"/>
        </w:tcPr>
        <w:p>
          <w:pPr>
            <w:pStyle w:val="ConsPlusNormal"/>
            <w:tabs>
              <w:tab w:val="clear" w:pos="720"/>
            </w:tabs>
            <w:jc w:val="center"/>
            <w:rPr/>
          </w:pPr>
          <w:r>
            <w:rPr/>
          </w:r>
        </w:p>
        <w:p>
          <w:pPr>
            <w:pStyle w:val="ConsPlusNormal"/>
            <w:tabs>
              <w:tab w:val="clear" w:pos="720"/>
            </w:tabs>
            <w:jc w:val="center"/>
            <w:rPr/>
          </w:pPr>
          <w:r>
            <w:rPr/>
          </w:r>
        </w:p>
      </w:tc>
      <w:tc>
        <w:tcPr>
          <w:tcW w:w="4084" w:type="dxa"/>
          <w:tcBorders/>
          <w:shd w:fill="auto" w:val="clear"/>
          <w:vAlign w:val="center"/>
        </w:tcPr>
        <w:p>
          <w:pPr>
            <w:pStyle w:val="ConsPlusNormal"/>
            <w:tabs>
              <w:tab w:val="clear" w:pos="720"/>
            </w:tabs>
            <w:jc w:val="right"/>
            <w:rPr/>
          </w:pPr>
          <w:r>
            <w:rPr>
              <w:rFonts w:ascii="0" w:hAnsi="0"/>
              <w:b w:val="false"/>
              <w:i w:val="false"/>
              <w:sz w:val="18"/>
            </w:rPr>
            <w:t xml:space="preserve">Документ предоставлен </w:t>
          </w:r>
          <w:hyperlink r:id="rId1">
            <w:r>
              <w:rPr>
                <w:rStyle w:val="ListLabel4"/>
                <w:rFonts w:ascii="0" w:hAnsi="0"/>
                <w:b w:val="false"/>
                <w:i w:val="false"/>
                <w:color w:val="0000FF"/>
                <w:sz w:val="18"/>
              </w:rPr>
              <w:t>КонсультантПлюс</w:t>
            </w:r>
          </w:hyperlink>
          <w:r>
            <w:rPr/>
            <w:br/>
          </w:r>
          <w:r>
            <w:rPr>
              <w:rFonts w:ascii="0" w:hAnsi="0"/>
              <w:b w:val="false"/>
              <w:i w:val="false"/>
              <w:sz w:val="16"/>
            </w:rPr>
            <w:t>Дата сохранения: 30.01.2019</w:t>
          </w:r>
        </w:p>
      </w:tc>
    </w:tr>
  </w:tbl>
  <w:p>
    <w:pPr>
      <w:pStyle w:val="ConsPlusNormal"/>
      <w:pBdr>
        <w:bottom w:val="single" w:sz="12" w:space="0" w:color="000000"/>
      </w:pBdr>
      <w:jc w:val="center"/>
      <w:rPr>
        <w:sz w:val="1"/>
      </w:rPr>
    </w:pPr>
    <w:r>
      <w:rPr>
        <w:sz w:val="1"/>
      </w:rPr>
    </w:r>
  </w:p>
  <w:p>
    <w:pPr>
      <w:pStyle w:val="ConsPlusNormal"/>
      <w:jc w:val="center"/>
      <w:rPr/>
    </w:pPr>
    <w:r>
      <w:rPr>
        <w:sz w:val="10"/>
      </w:rPr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NSimSun" w:cs="Mangal"/>
      <w:color w:val="auto"/>
      <w:kern w:val="2"/>
      <w:sz w:val="24"/>
      <w:szCs w:val="24"/>
      <w:lang w:val="ru-RU" w:eastAsia="zh-CN" w:bidi="hi-IN"/>
    </w:rPr>
  </w:style>
  <w:style w:type="character" w:styleId="ListLabel1">
    <w:name w:val="ListLabel 1"/>
    <w:qFormat/>
    <w:rPr>
      <w:b/>
      <w:color w:val="0000FF"/>
      <w:sz w:val="28"/>
    </w:rPr>
  </w:style>
  <w:style w:type="character" w:styleId="ListLabel2">
    <w:name w:val="ListLabel 2"/>
    <w:qFormat/>
    <w:rPr/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ListLabel3">
    <w:name w:val="ListLabel 3"/>
    <w:qFormat/>
    <w:rPr>
      <w:color w:val="0000FF"/>
    </w:rPr>
  </w:style>
  <w:style w:type="character" w:styleId="ListLabel4">
    <w:name w:val="ListLabel 4"/>
    <w:qFormat/>
    <w:rPr>
      <w:rFonts w:ascii="0" w:hAnsi="0"/>
      <w:b w:val="false"/>
      <w:i w:val="false"/>
      <w:color w:val="0000FF"/>
      <w:sz w:val="18"/>
    </w:rPr>
  </w:style>
  <w:style w:type="character" w:styleId="ListLabel5">
    <w:name w:val="ListLabel 5"/>
    <w:qFormat/>
    <w:rPr>
      <w:rFonts w:ascii="0" w:hAnsi="0"/>
      <w:b/>
      <w:i w:val="false"/>
      <w:color w:val="0000FF"/>
      <w:sz w:val="20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/>
      <w:bidi w:val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/>
      <w:bidi w:val="0"/>
      <w:jc w:val="left"/>
    </w:pPr>
    <w:rPr>
      <w:rFonts w:ascii="Arial" w:hAnsi="Arial" w:eastAsia="Arial" w:cs="Courier New"/>
      <w:b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/>
      <w:bidi w:val="0"/>
      <w:jc w:val="left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/>
      <w:bidi w:val="0"/>
      <w:jc w:val="left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/>
      <w:bidi w:val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Style20">
    <w:name w:val="Header"/>
    <w:basedOn w:val="Normal"/>
    <w:pPr/>
    <w:rPr/>
  </w:style>
  <w:style w:type="paragraph" w:styleId="Style21">
    <w:name w:val="Footer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consultant.ru/" TargetMode="External"/><Relationship Id="rId4" Type="http://schemas.openxmlformats.org/officeDocument/2006/relationships/hyperlink" Target="http://www.consultant.ru/" TargetMode="External"/><Relationship Id="rId5" Type="http://schemas.openxmlformats.org/officeDocument/2006/relationships/hyperlink" Target="consultantplus://offline/ref=9A3CFDB539787D118CB01C10783E8CBE9568CDFAF9928FE29A41E301F77FE24E7B71E1F17CE1FCAF3AB7F71603BC9075D1877B67t8p4K" TargetMode="External"/><Relationship Id="rId6" Type="http://schemas.openxmlformats.org/officeDocument/2006/relationships/hyperlink" Target="&#1080;&#1085;&#1090;&#1077;&#1088;&#1077;&#1089;&#1086;&#1074;\&quot;)&#x0a;{&#1050;&#1086;&#1085;&#1089;&#1091;&#1083;&#1100;&#1090;&#1072;&#1085;&#1090;&#1055;&#1083;&#1102;&#1089;}" TargetMode="External"/><Relationship Id="rId7" Type="http://schemas.openxmlformats.org/officeDocument/2006/relationships/hyperlink" Target="&#1080;&#1085;&#1090;&#1077;&#1088;&#1077;&#1089;&#1086;&#1074;\&quot;)&#x0a;{&#1050;&#1086;&#1085;&#1089;&#1091;&#1083;&#1100;&#1090;&#1072;&#1085;&#1090;&#1055;&#1083;&#1102;&#1089;}" TargetMode="External"/><Relationship Id="rId8" Type="http://schemas.openxmlformats.org/officeDocument/2006/relationships/hyperlink" Target="consultantplus://offline/ref=9A3CFDB539787D118CB01C10783E8CBE9568CDFAF9928FE29A41E301F77FE24E7B71E1F672EDA3AA2FA6AF1800A28E74CE9B79668Ct1p8K" TargetMode="External"/><Relationship Id="rId9" Type="http://schemas.openxmlformats.org/officeDocument/2006/relationships/hyperlink" Target="&#1080;&#1085;&#1090;&#1077;&#1088;&#1077;&#1089;&#1086;&#1074;\&quot;)&#x0a;{&#1050;&#1086;&#1085;&#1089;&#1091;&#1083;&#1100;&#1090;&#1072;&#1085;&#1090;&#1055;&#1083;&#1102;&#1089;}" TargetMode="External"/><Relationship Id="rId10" Type="http://schemas.openxmlformats.org/officeDocument/2006/relationships/hyperlink" Target="&#1080;&#1085;&#1090;&#1077;&#1088;&#1077;&#1089;&#1086;&#1074;\&quot;)&#x0a;{&#1050;&#1086;&#1085;&#1089;&#1091;&#1083;&#1100;&#1090;&#1072;&#1085;&#1090;&#1055;&#1083;&#1102;&#1089;}" TargetMode="External"/><Relationship Id="rId11" Type="http://schemas.openxmlformats.org/officeDocument/2006/relationships/hyperlink" Target="03.09.2018)&#x0a;{&#1050;&#1086;&#1085;&#1089;&#1091;&#1083;&#1100;&#1090;&#1072;&#1085;&#1090;&#1055;&#1083;&#1102;&#1089;}" TargetMode="External"/><Relationship Id="rId12" Type="http://schemas.openxmlformats.org/officeDocument/2006/relationships/hyperlink" Target="consultantplus://offline/ref=9A3CFDB539787D118CB01C10783E8CBE9469CCF9FA938FE29A41E301F77FE24E7B71E1F474E1FCAF3AB7F71603BC9075D1877B67t8p4K" TargetMode="External"/><Relationship Id="rId13" Type="http://schemas.openxmlformats.org/officeDocument/2006/relationships/hyperlink" Target="consultantplus://offline/ref=9A3CFDB539787D118CB01C10783E8CBE946EC4F3F8938FE29A41E301F77FE24E6971B9FA76EAB6FE7FFCF81502tApBK" TargetMode="External"/><Relationship Id="rId14" Type="http://schemas.openxmlformats.org/officeDocument/2006/relationships/hyperlink" Target="consultantplus://offline/ref=9A3CFDB539787D118CB01C10783E8CBE946EC4F3F8938FE29A41E301F77FE24E7B71E1F675EAA8F97DE9AE4447F79D77CF9B7B6793136DE8tFp7K" TargetMode="External"/><Relationship Id="rId15" Type="http://schemas.openxmlformats.org/officeDocument/2006/relationships/hyperlink" Target="consultantplus://offline/ref=9A3CFDB539787D118CB01C10783E8CBE946EC4F3F8938FE29A41E301F77FE24E7B71E1F675EAA8F97DE9AE4447F79D77CF9B7B6793136DE8tFp7K" TargetMode="External"/><Relationship Id="rId16" Type="http://schemas.openxmlformats.org/officeDocument/2006/relationships/hyperlink" Target="consultantplus://offline/ref=9A3CFDB539787D118CB01C10783E8CBE946EC4F3F8938FE29A41E301F77FE24E7B71E1F675EAAAFA79E9AE4447F79D77CF9B7B6793136DE8tFp7K" TargetMode="External"/><Relationship Id="rId17" Type="http://schemas.openxmlformats.org/officeDocument/2006/relationships/hyperlink" Target="consultantplus://offline/ref=9A3CFDB539787D118CB01C10783E8CBE946EC4F3F8938FE29A41E301F77FE24E7B71E1F675EAA8F97DE9AE4447F79D77CF9B7B6793136DE8tFp7K" TargetMode="External"/><Relationship Id="rId18" Type="http://schemas.openxmlformats.org/officeDocument/2006/relationships/hyperlink" Target="03.09.2018)&#x0a;{&#1050;&#1086;&#1085;&#1089;&#1091;&#1083;&#1100;&#1090;&#1072;&#1085;&#1090;&#1055;&#1083;&#1102;&#1089;}" TargetMode="External"/><Relationship Id="rId19" Type="http://schemas.openxmlformats.org/officeDocument/2006/relationships/hyperlink" Target="03.09.2018)&#x0a;{&#1050;&#1086;&#1085;&#1089;&#1091;&#1083;&#1100;&#1090;&#1072;&#1085;&#1090;&#1055;&#1083;&#1102;&#1089;}" TargetMode="External"/><Relationship Id="rId20" Type="http://schemas.openxmlformats.org/officeDocument/2006/relationships/hyperlink" Target="consultantplus://offline/ref=9A3CFDB539787D118CB01C10783E8CBE946EC4F3F8938FE29A41E301F77FE24E7B71E1F675EAA8F97DE9AE4447F79D77CF9B7B6793136DE8tFp7K" TargetMode="External"/><Relationship Id="rId21" Type="http://schemas.openxmlformats.org/officeDocument/2006/relationships/hyperlink" Target="03.09.2018)&#x0a;{&#1050;&#1086;&#1085;&#1089;&#1091;&#1083;&#1100;&#1090;&#1072;&#1085;&#1090;&#1055;&#1083;&#1102;&#1089;}" TargetMode="External"/><Relationship Id="rId22" Type="http://schemas.openxmlformats.org/officeDocument/2006/relationships/hyperlink" Target="consultantplus://offline/ref=9A3CFDB539787D118CB01C10783E8CBE946EC4F3F8938FE29A41E301F77FE24E7B71E1F675EAA9FE7BE9AE4447F79D77CF9B7B6793136DE8tFp7K" TargetMode="External"/><Relationship Id="rId23" Type="http://schemas.openxmlformats.org/officeDocument/2006/relationships/hyperlink" Target="consultantplus://offline/ref=9A3CFDB539787D118CB01C10783E8CBE946EC4F3F8938FE29A41E301F77FE24E7B71E1F675EAA8FA77E9AE4447F79D77CF9B7B6793136DE8tFp7K" TargetMode="External"/><Relationship Id="rId24" Type="http://schemas.openxmlformats.org/officeDocument/2006/relationships/hyperlink" Target="consultantplus://offline/ref=9A3CFDB539787D118CB01C10783E8CBE946EC4F3F8938FE29A41E301F77FE24E7B71E1F675EAA9FE7BE9AE4447F79D77CF9B7B6793136DE8tFp7K" TargetMode="External"/><Relationship Id="rId25" Type="http://schemas.openxmlformats.org/officeDocument/2006/relationships/hyperlink" Target="consultantplus://offline/ref=9A3CFDB539787D118CB01C10783E8CBE946EC4F3F8938FE29A41E301F77FE24E7B71E1F675EAAAFD7FE9AE4447F79D77CF9B7B6793136DE8tFp7K" TargetMode="External"/><Relationship Id="rId26" Type="http://schemas.openxmlformats.org/officeDocument/2006/relationships/hyperlink" Target="consultantplus://offline/ref=9A3CFDB539787D118CB01C10783E8CBE946EC4F3F8938FE29A41E301F77FE24E7B71E1F675EAA9F679E9AE4447F79D77CF9B7B6793136DE8tFp7K" TargetMode="External"/><Relationship Id="rId27" Type="http://schemas.openxmlformats.org/officeDocument/2006/relationships/hyperlink" Target="consultantplus://offline/ref=9A3CFDB539787D118CB01C10783E8CBE946EC4F3F8938FE29A41E301F77FE24E7B71E1F675EAA9F679E9AE4447F79D77CF9B7B6793136DE8tFp7K" TargetMode="External"/><Relationship Id="rId28" Type="http://schemas.openxmlformats.org/officeDocument/2006/relationships/hyperlink" Target="consultantplus://offline/ref=9A3CFDB539787D118CB01C10783E8CBE946EC4F3F8938FE29A41E301F77FE24E7B71E1F675EAA9F679E9AE4447F79D77CF9B7B6793136DE8tFp7K" TargetMode="External"/><Relationship Id="rId29" Type="http://schemas.openxmlformats.org/officeDocument/2006/relationships/hyperlink" Target="consultantplus://offline/ref=9A3CFDB539787D118CB01C10783E8CBE946EC4F3F8938FE29A41E301F77FE24E7B71E1F675EAAAFD7FE9AE4447F79D77CF9B7B6793136DE8tFp7K" TargetMode="External"/><Relationship Id="rId30" Type="http://schemas.openxmlformats.org/officeDocument/2006/relationships/hyperlink" Target="consultantplus://offline/ref=9A3CFDB539787D118CB01C10783E8CBE946EC4F3F8938FE29A41E301F77FE24E7B71E1F675EAA9FE7BE9AE4447F79D77CF9B7B6793136DE8tFp7K" TargetMode="External"/><Relationship Id="rId31" Type="http://schemas.openxmlformats.org/officeDocument/2006/relationships/hyperlink" Target="consultantplus://offline/ref=9A3CFDB539787D118CB01C10783E8CBE946EC4F3F8938FE29A41E301F77FE24E7B71E1F675EAAAFD7FE9AE4447F79D77CF9B7B6793136DE8tFp7K" TargetMode="External"/><Relationship Id="rId32" Type="http://schemas.openxmlformats.org/officeDocument/2006/relationships/hyperlink" Target="consultantplus://offline/ref=9A3CFDB539787D118CB01C10783E8CBE946EC4F3F8938FE29A41E301F77FE24E7B71E1F675EAAAFA79E9AE4447F79D77CF9B7B6793136DE8tFp7K" TargetMode="External"/><Relationship Id="rId33" Type="http://schemas.openxmlformats.org/officeDocument/2006/relationships/hyperlink" Target="consultantplus://offline/ref=9A3CFDB539787D118CB01C10783E8CBE946EC4F3F8938FE29A41E301F77FE24E7B71E1F675EAAAFA79E9AE4447F79D77CF9B7B6793136DE8tFp7K" TargetMode="External"/><Relationship Id="rId34" Type="http://schemas.openxmlformats.org/officeDocument/2006/relationships/hyperlink" Target="consultantplus://offline/ref=9A3CFDB539787D118CB01C10783E8CBE946EC4F3F8938FE29A41E301F77FE24E7B71E1F675EAAAFA79E9AE4447F79D77CF9B7B6793136DE8tFp7K" TargetMode="External"/><Relationship Id="rId35" Type="http://schemas.openxmlformats.org/officeDocument/2006/relationships/hyperlink" Target="consultantplus://offline/ref=9A3CFDB539787D118CB01C10783E8CBE946EC4F3F8938FE29A41E301F77FE24E7B71E1F675EAABFF77E9AE4447F79D77CF9B7B6793136DE8tFp7K" TargetMode="External"/><Relationship Id="rId36" Type="http://schemas.openxmlformats.org/officeDocument/2006/relationships/hyperlink" Target="consultantplus://offline/ref=9A3CFDB539787D118CB01C10783E8CBE946EC4F3F8938FE29A41E301F77FE24E7B71E1F675EAA9FD76E9AE4447F79D77CF9B7B6793136DE8tFp7K" TargetMode="External"/><Relationship Id="rId37" Type="http://schemas.openxmlformats.org/officeDocument/2006/relationships/hyperlink" Target="03.09.2018)&#x0a;{&#1050;&#1086;&#1085;&#1089;&#1091;&#1083;&#1100;&#1090;&#1072;&#1085;&#1090;&#1055;&#1083;&#1102;&#1089;}" TargetMode="External"/><Relationship Id="rId38" Type="http://schemas.openxmlformats.org/officeDocument/2006/relationships/hyperlink" Target="03.09.2018)&#x0a;{&#1050;&#1086;&#1085;&#1089;&#1091;&#1083;&#1100;&#1090;&#1072;&#1085;&#1090;&#1055;&#1083;&#1102;&#1089;}" TargetMode="External"/><Relationship Id="rId39" Type="http://schemas.openxmlformats.org/officeDocument/2006/relationships/hyperlink" Target="01.01.2019)&#x0a;{&#1050;&#1086;&#1085;&#1089;&#1091;&#1083;&#1100;&#1090;&#1072;&#1085;&#1090;&#1055;&#1083;&#1102;&#1089;}" TargetMode="External"/><Relationship Id="rId40" Type="http://schemas.openxmlformats.org/officeDocument/2006/relationships/hyperlink" Target="01.01.2019)&#x0a;{&#1050;&#1086;&#1085;&#1089;&#1091;&#1083;&#1100;&#1090;&#1072;&#1085;&#1090;&#1055;&#1083;&#1102;&#1089;}" TargetMode="External"/><Relationship Id="rId41" Type="http://schemas.openxmlformats.org/officeDocument/2006/relationships/hyperlink" Target="03.09.2018)&#x0a;{&#1050;&#1086;&#1085;&#1089;&#1091;&#1083;&#1100;&#1090;&#1072;&#1085;&#1090;&#1055;&#1083;&#1102;&#1089;}" TargetMode="External"/><Relationship Id="rId42" Type="http://schemas.openxmlformats.org/officeDocument/2006/relationships/hyperlink" Target="03.09.2018)&#x0a;{&#1050;&#1086;&#1085;&#1089;&#1091;&#1083;&#1100;&#1090;&#1072;&#1085;&#1090;&#1055;&#1083;&#1102;&#1089;}" TargetMode="External"/><Relationship Id="rId43" Type="http://schemas.openxmlformats.org/officeDocument/2006/relationships/hyperlink" Target="consultantplus://offline/ref=9A3CFDB539787D118CB01C10783E8CBE9469CCF9FA938FE29A41E301F77FE24E7B71E1F474E1FCAF3AB7F71603BC9075D1877B67t8p4K" TargetMode="External"/><Relationship Id="rId44" Type="http://schemas.openxmlformats.org/officeDocument/2006/relationships/hyperlink" Target="&#1092;&#1077;&#1076;&#x0a;{&#1050;&#1086;&#1085;&#1089;&#1091;&#1083;&#1100;&#1090;&#1072;&#1085;&#1090;&#1055;&#1083;&#1102;&#1089;}" TargetMode="External"/><Relationship Id="rId45" Type="http://schemas.openxmlformats.org/officeDocument/2006/relationships/hyperlink" Target="&#x0a;{&#1050;&#1086;&#1085;&#1089;&#1091;&#1083;&#1100;&#1090;&#1072;&#1085;&#1090;&#1055;&#1083;&#1102;&#1089;}" TargetMode="External"/><Relationship Id="rId46" Type="http://schemas.openxmlformats.org/officeDocument/2006/relationships/hyperlink" Target="&#x0a;{&#1050;&#1086;&#1085;&#1089;&#1091;&#1083;&#1100;&#1090;&#1072;&#1085;&#1090;&#1055;&#1083;&#1102;&#1089;}" TargetMode="External"/><Relationship Id="rId47" Type="http://schemas.openxmlformats.org/officeDocument/2006/relationships/header" Target="header1.xml"/><Relationship Id="rId48" Type="http://schemas.openxmlformats.org/officeDocument/2006/relationships/footer" Target="footer1.xml"/><Relationship Id="rId49" Type="http://schemas.openxmlformats.org/officeDocument/2006/relationships/fontTable" Target="fontTable.xml"/><Relationship Id="rId50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onsultant.ru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://www.consultant.ru/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LibreOffice/6.1.3.2$Windows_X86_64 LibreOffice_project/86daf60bf00efa86ad547e59e09d6bb77c699acb</Application>
  <Pages>9</Pages>
  <Words>3995</Words>
  <Characters>28168</Characters>
  <CharactersWithSpaces>32030</CharactersWithSpaces>
  <Paragraphs>140</Paragraphs>
  <Company>КонсультантПлюс Версия 4018.00.18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2019-01-30T13:41:00Z</dcterms:created>
  <dc:creator/>
  <dc:description/>
  <dc:language>ru-RU</dc:language>
  <cp:lastModifiedBy/>
  <cp:revision>0</cp:revision>
  <dc:subject/>
  <dc:title>"Обзор проблемных вопросов, возникающих при представлении, анализе и проверке достоверности сведений о доходах, расходах, об имуществе и обязательствах имущественного характера"(30.03.2018)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4018.00.18</vt:lpwstr>
  </property>
</Properties>
</file>