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5664" w:firstLine="708"/>
        <w:jc w:val="center"/>
        <w:rPr>
          <w:color w:val="000000"/>
        </w:rPr>
      </w:pPr>
      <w:r>
        <w:rPr>
          <w:rFonts w:eastAsia="Times New Roman"/>
          <w:color w:val="000000"/>
        </w:rPr>
        <w:t xml:space="preserve"> </w:t>
      </w:r>
    </w:p>
    <w:p>
      <w:pPr>
        <w:pStyle w:val="Normal"/>
        <w:autoSpaceDE w:val="false"/>
        <w:jc w:val="center"/>
        <w:rPr>
          <w:b/>
          <w:b/>
          <w:color w:val="000000"/>
          <w:szCs w:val="28"/>
          <w:lang w:eastAsia="ru-RU"/>
        </w:rPr>
      </w:pPr>
      <w:r>
        <w:rPr>
          <w:b/>
          <w:color w:val="000000"/>
          <w:szCs w:val="28"/>
        </w:rPr>
        <w:t>А</w:t>
      </w:r>
      <w:r>
        <w:rPr>
          <w:b/>
          <w:color w:val="000000"/>
          <w:szCs w:val="28"/>
          <w:lang w:eastAsia="ru-RU"/>
        </w:rPr>
        <w:t xml:space="preserve">нализ развития конкуренции в  </w:t>
      </w:r>
    </w:p>
    <w:p>
      <w:pPr>
        <w:pStyle w:val="Normal"/>
        <w:autoSpaceDE w:val="false"/>
        <w:jc w:val="center"/>
        <w:rPr>
          <w:b/>
          <w:b/>
          <w:color w:val="000000"/>
          <w:szCs w:val="28"/>
          <w:lang w:eastAsia="ru-RU"/>
        </w:rPr>
      </w:pPr>
      <w:r>
        <w:rPr>
          <w:b/>
          <w:color w:val="000000"/>
          <w:szCs w:val="28"/>
          <w:lang w:eastAsia="ru-RU"/>
        </w:rPr>
        <w:t>Шарангском муниципальном районе</w:t>
      </w:r>
    </w:p>
    <w:p>
      <w:pPr>
        <w:pStyle w:val="Normal"/>
        <w:autoSpaceDE w:val="false"/>
        <w:rPr>
          <w:b/>
          <w:b/>
          <w:color w:val="000000"/>
          <w:szCs w:val="28"/>
          <w:lang w:eastAsia="ru-RU"/>
        </w:rPr>
      </w:pPr>
      <w:r>
        <w:rPr>
          <w:b/>
          <w:color w:val="000000"/>
          <w:szCs w:val="28"/>
          <w:lang w:eastAsia="ru-RU"/>
        </w:rPr>
      </w:r>
    </w:p>
    <w:p>
      <w:pPr>
        <w:pStyle w:val="Normal"/>
        <w:spacing w:before="120" w:after="0"/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>Администрацией Шарангского муниципального района  совместно с министерством экономики  Нижегородской области заключено Соглашение о внедрении стандарта развития конкуренции на территории Нижегородской области №134 от 18 февраля  2016 года.</w:t>
      </w:r>
    </w:p>
    <w:p>
      <w:pPr>
        <w:pStyle w:val="Normal"/>
        <w:spacing w:before="120" w:after="0"/>
        <w:ind w:firstLine="709"/>
        <w:jc w:val="both"/>
        <w:rPr/>
      </w:pPr>
      <w:r>
        <w:rPr>
          <w:color w:val="000000"/>
          <w:szCs w:val="28"/>
        </w:rPr>
        <w:t xml:space="preserve">Обязанности по осуществлению </w:t>
      </w:r>
      <w:r>
        <w:rPr>
          <w:bCs/>
          <w:color w:val="000000"/>
          <w:szCs w:val="28"/>
        </w:rPr>
        <w:t>взаимодействия с  Правительством  Нижегородской области по вопросам развития конкуренции</w:t>
      </w:r>
      <w:r>
        <w:rPr>
          <w:color w:val="000000"/>
          <w:szCs w:val="28"/>
        </w:rPr>
        <w:t xml:space="preserve"> возложены на </w:t>
      </w:r>
      <w:r>
        <w:rPr>
          <w:bCs/>
          <w:color w:val="000000"/>
          <w:szCs w:val="28"/>
        </w:rPr>
        <w:t xml:space="preserve">отдел экономики и имущественных отношений администрации  </w:t>
      </w:r>
      <w:r>
        <w:rPr>
          <w:color w:val="000000"/>
          <w:szCs w:val="28"/>
        </w:rPr>
        <w:t xml:space="preserve">Шарангского муниципального  района.  По мере необходимости вопросы, </w:t>
      </w:r>
      <w:r>
        <w:rPr>
          <w:bCs/>
          <w:color w:val="000000"/>
          <w:szCs w:val="28"/>
        </w:rPr>
        <w:t>связанные с развитием конкуренции, решается совместно с управлением финансов, организационно – правовым отделом администрации Шарангского муниципального района,  АНО «Шарангский центр развития  бизнеса» и общественным консультативным советом при администрации  Шарангского муниципального района.</w:t>
      </w:r>
    </w:p>
    <w:p>
      <w:pPr>
        <w:pStyle w:val="Normal"/>
        <w:spacing w:before="120" w:after="0"/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>Основными задачами по реализации стандарта развития конкуренции в районе являются:</w:t>
      </w:r>
    </w:p>
    <w:p>
      <w:pPr>
        <w:pStyle w:val="Normal"/>
        <w:spacing w:before="120" w:after="0"/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>- мониторинг и актуализация перечня приоритетных и социально – значимых рынков;</w:t>
      </w:r>
    </w:p>
    <w:p>
      <w:pPr>
        <w:pStyle w:val="Normal"/>
        <w:spacing w:before="120" w:after="0"/>
        <w:ind w:firstLine="709"/>
        <w:jc w:val="both"/>
        <w:rPr/>
      </w:pPr>
      <w:r>
        <w:rPr>
          <w:color w:val="000000"/>
          <w:szCs w:val="28"/>
        </w:rPr>
        <w:t>- снижение  и (или) устранение избыточного административного регулирования и  административных , правовых, финансовых  барьеров для хозяйствующих субъектов всех видов;</w:t>
      </w:r>
    </w:p>
    <w:p>
      <w:pPr>
        <w:pStyle w:val="Normal"/>
        <w:spacing w:before="120" w:after="0"/>
        <w:ind w:firstLine="709"/>
        <w:jc w:val="both"/>
        <w:rPr/>
      </w:pPr>
      <w:r>
        <w:rPr>
          <w:color w:val="000000"/>
          <w:szCs w:val="28"/>
        </w:rPr>
        <w:t>- развитие конкуренции  при проведении процедур муниципальных закупок (конкурс, аукцион);</w:t>
      </w:r>
    </w:p>
    <w:p>
      <w:pPr>
        <w:pStyle w:val="Normal"/>
        <w:spacing w:before="120" w:after="0"/>
        <w:ind w:firstLine="709"/>
        <w:jc w:val="both"/>
        <w:rPr/>
      </w:pPr>
      <w:r>
        <w:rPr>
          <w:color w:val="000000"/>
          <w:szCs w:val="28"/>
        </w:rPr>
        <w:t>- повышение уровня информированности субъектов предпринимательской деятельности и потребителей товаров и услуг о состоянии конкурентной среды и открытости деятельности органов  местного самоуправления района;</w:t>
      </w:r>
    </w:p>
    <w:p>
      <w:pPr>
        <w:pStyle w:val="Normal"/>
        <w:spacing w:before="120" w:after="0"/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>- совершенствование процессов управления объектами муниципальной собственности, ограничение влияния муниципальных предприятий на конкуренцию и др.</w:t>
      </w:r>
    </w:p>
    <w:p>
      <w:pPr>
        <w:pStyle w:val="Normal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</w:r>
    </w:p>
    <w:p>
      <w:pPr>
        <w:pStyle w:val="Normal"/>
        <w:jc w:val="both"/>
        <w:rPr/>
      </w:pPr>
      <w:r>
        <w:rPr>
          <w:rFonts w:eastAsia="Times New Roman"/>
          <w:color w:val="000000"/>
          <w:szCs w:val="28"/>
        </w:rPr>
        <w:t xml:space="preserve">  </w:t>
      </w:r>
      <w:r>
        <w:rPr>
          <w:color w:val="000000"/>
          <w:szCs w:val="28"/>
        </w:rPr>
        <w:t>В Шарангском  муниципальном районе  в перечень социально-значимых рынков входят:</w:t>
      </w:r>
    </w:p>
    <w:p>
      <w:pPr>
        <w:pStyle w:val="Normal"/>
        <w:jc w:val="both"/>
        <w:rPr>
          <w:color w:val="000000"/>
          <w:szCs w:val="28"/>
        </w:rPr>
      </w:pPr>
      <w:r>
        <w:rPr>
          <w:color w:val="000000"/>
          <w:szCs w:val="28"/>
        </w:rPr>
        <w:t>- услуги детского отдыха и оздоровления,</w:t>
      </w:r>
    </w:p>
    <w:p>
      <w:pPr>
        <w:pStyle w:val="Normal"/>
        <w:jc w:val="both"/>
        <w:rPr>
          <w:color w:val="000000"/>
          <w:szCs w:val="28"/>
        </w:rPr>
      </w:pPr>
      <w:r>
        <w:rPr>
          <w:color w:val="000000"/>
          <w:szCs w:val="28"/>
        </w:rPr>
        <w:t>- дополнительного образования детей,</w:t>
      </w:r>
    </w:p>
    <w:p>
      <w:pPr>
        <w:pStyle w:val="Normal"/>
        <w:jc w:val="both"/>
        <w:rPr>
          <w:color w:val="000000"/>
          <w:szCs w:val="28"/>
        </w:rPr>
      </w:pPr>
      <w:r>
        <w:rPr>
          <w:color w:val="000000"/>
          <w:szCs w:val="28"/>
        </w:rPr>
        <w:t>- психолого-педагогического сопровождения детей,</w:t>
      </w:r>
    </w:p>
    <w:p>
      <w:pPr>
        <w:pStyle w:val="Normal"/>
        <w:jc w:val="both"/>
        <w:rPr>
          <w:color w:val="000000"/>
          <w:szCs w:val="28"/>
        </w:rPr>
      </w:pPr>
      <w:r>
        <w:rPr>
          <w:color w:val="000000"/>
          <w:szCs w:val="28"/>
        </w:rPr>
        <w:t>- услуги в сфере культуры,</w:t>
      </w:r>
    </w:p>
    <w:p>
      <w:pPr>
        <w:pStyle w:val="Normal"/>
        <w:jc w:val="both"/>
        <w:rPr>
          <w:color w:val="000000"/>
          <w:szCs w:val="28"/>
        </w:rPr>
      </w:pPr>
      <w:r>
        <w:rPr>
          <w:color w:val="000000"/>
          <w:szCs w:val="28"/>
        </w:rPr>
        <w:t>- услуги по техническому обслуживанию автотранспорта,</w:t>
      </w:r>
    </w:p>
    <w:p>
      <w:pPr>
        <w:pStyle w:val="Normal"/>
        <w:jc w:val="both"/>
        <w:rPr>
          <w:color w:val="000000"/>
          <w:szCs w:val="28"/>
        </w:rPr>
      </w:pPr>
      <w:r>
        <w:rPr>
          <w:color w:val="000000"/>
          <w:szCs w:val="28"/>
        </w:rPr>
        <w:t>- розничной торговли,</w:t>
      </w:r>
    </w:p>
    <w:p>
      <w:pPr>
        <w:pStyle w:val="Normal"/>
        <w:jc w:val="both"/>
        <w:rPr>
          <w:color w:val="000000"/>
          <w:szCs w:val="28"/>
        </w:rPr>
      </w:pPr>
      <w:r>
        <w:rPr>
          <w:color w:val="000000"/>
          <w:szCs w:val="28"/>
        </w:rPr>
        <w:t>- рынок медицинских услуг,</w:t>
      </w:r>
    </w:p>
    <w:p>
      <w:pPr>
        <w:pStyle w:val="Normal"/>
        <w:jc w:val="both"/>
        <w:rPr>
          <w:color w:val="000000"/>
          <w:szCs w:val="28"/>
        </w:rPr>
      </w:pPr>
      <w:r>
        <w:rPr>
          <w:color w:val="000000"/>
          <w:szCs w:val="28"/>
        </w:rPr>
        <w:t>- социального обслуживания населения,</w:t>
      </w:r>
    </w:p>
    <w:p>
      <w:pPr>
        <w:pStyle w:val="Normal"/>
        <w:jc w:val="both"/>
        <w:rPr>
          <w:color w:val="000000"/>
          <w:szCs w:val="28"/>
        </w:rPr>
      </w:pPr>
      <w:r>
        <w:rPr>
          <w:color w:val="000000"/>
          <w:szCs w:val="28"/>
        </w:rPr>
        <w:t>- услуг ЖКХ.</w:t>
      </w:r>
    </w:p>
    <w:p>
      <w:pPr>
        <w:pStyle w:val="Normal"/>
        <w:ind w:firstLine="567"/>
        <w:jc w:val="both"/>
        <w:rPr>
          <w:szCs w:val="28"/>
        </w:rPr>
      </w:pPr>
      <w:r>
        <w:rPr>
          <w:szCs w:val="28"/>
        </w:rPr>
        <w:t xml:space="preserve">Состояние развития малого и среднего бизнеса в районе можно обозначить как достаточно устойчивое. </w:t>
      </w:r>
    </w:p>
    <w:p>
      <w:pPr>
        <w:pStyle w:val="BodyText2"/>
        <w:tabs>
          <w:tab w:val="left" w:pos="993" w:leader="none"/>
        </w:tabs>
        <w:spacing w:before="60" w:after="60"/>
        <w:ind w:right="38" w:firstLine="851"/>
        <w:rPr/>
      </w:pPr>
      <w:r>
        <w:rPr>
          <w:sz w:val="28"/>
          <w:szCs w:val="28"/>
        </w:rPr>
        <w:t>Отраслевая структура малого и среднего бизнеса района включает практически все виды экономической деятельности.</w:t>
      </w:r>
      <w:r>
        <w:rPr>
          <w:b/>
          <w:color w:val="000000"/>
          <w:sz w:val="28"/>
          <w:szCs w:val="28"/>
        </w:rPr>
        <w:t xml:space="preserve"> </w:t>
      </w:r>
    </w:p>
    <w:p>
      <w:pPr>
        <w:pStyle w:val="BodyText2"/>
        <w:tabs>
          <w:tab w:val="left" w:pos="993" w:leader="none"/>
        </w:tabs>
        <w:ind w:right="38" w:firstLine="851"/>
        <w:rPr/>
      </w:pPr>
      <w:r>
        <w:rPr>
          <w:color w:val="000000"/>
          <w:sz w:val="28"/>
          <w:szCs w:val="28"/>
        </w:rPr>
        <w:t xml:space="preserve">За  2017 года отгружено товаров собственного производства, выполнено работ и услуг </w:t>
      </w:r>
      <w:r>
        <w:rPr>
          <w:sz w:val="28"/>
          <w:szCs w:val="28"/>
        </w:rPr>
        <w:t>по полному кругу организаций  на сумму 734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млн. руб. </w:t>
      </w:r>
      <w:r>
        <w:rPr>
          <w:i/>
          <w:sz w:val="28"/>
          <w:szCs w:val="28"/>
        </w:rPr>
        <w:t xml:space="preserve">(107% </w:t>
      </w:r>
      <w:r>
        <w:rPr>
          <w:i/>
          <w:color w:val="000000"/>
          <w:sz w:val="28"/>
          <w:szCs w:val="28"/>
        </w:rPr>
        <w:t>к 2016 году</w:t>
      </w:r>
      <w:r>
        <w:rPr>
          <w:i/>
          <w:sz w:val="28"/>
          <w:szCs w:val="28"/>
        </w:rPr>
        <w:t>)</w:t>
      </w:r>
      <w:r>
        <w:rPr>
          <w:color w:val="000000"/>
          <w:sz w:val="28"/>
          <w:szCs w:val="28"/>
        </w:rPr>
        <w:t>, в т.ч. в разрезе отраслей:</w:t>
      </w:r>
    </w:p>
    <w:p>
      <w:pPr>
        <w:pStyle w:val="BodyText2"/>
        <w:tabs>
          <w:tab w:val="left" w:pos="993" w:leader="none"/>
        </w:tabs>
        <w:ind w:right="38" w:firstLine="85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обрабатывающие производства – 41,7% ( 306,1 млн. руб.);</w:t>
      </w:r>
    </w:p>
    <w:p>
      <w:pPr>
        <w:pStyle w:val="BodyText2"/>
        <w:tabs>
          <w:tab w:val="left" w:pos="993" w:leader="none"/>
        </w:tabs>
        <w:ind w:right="38" w:firstLine="85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производство и распределение электроэнергии, газа и воды – 4,5% ( 33,2 млн. руб.);</w:t>
      </w:r>
    </w:p>
    <w:p>
      <w:pPr>
        <w:pStyle w:val="BodyText2"/>
        <w:tabs>
          <w:tab w:val="left" w:pos="993" w:leader="none"/>
        </w:tabs>
        <w:ind w:right="38" w:firstLine="85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сельское хозяйство – 27,7% ( 203,3 млн. руб.);</w:t>
      </w:r>
    </w:p>
    <w:p>
      <w:pPr>
        <w:pStyle w:val="BodyText2"/>
        <w:tabs>
          <w:tab w:val="left" w:pos="993" w:leader="none"/>
        </w:tabs>
        <w:ind w:right="38" w:firstLine="85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-строительство – 11,8% (86,6 млн.руб.)</w:t>
      </w:r>
    </w:p>
    <w:p>
      <w:pPr>
        <w:pStyle w:val="BodyText2"/>
        <w:tabs>
          <w:tab w:val="left" w:pos="993" w:leader="none"/>
        </w:tabs>
        <w:ind w:right="38" w:firstLine="85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прочие – 14,3% ( 104,9 млн. руб.).</w:t>
      </w:r>
    </w:p>
    <w:p>
      <w:pPr>
        <w:pStyle w:val="BodyText2"/>
        <w:tabs>
          <w:tab w:val="left" w:pos="993" w:leader="none"/>
        </w:tabs>
        <w:spacing w:before="60" w:after="60"/>
        <w:ind w:right="38" w:firstLine="85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tbl>
      <w:tblPr>
        <w:tblW w:w="1011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20" w:type="dxa"/>
          <w:left w:w="15" w:type="dxa"/>
          <w:bottom w:w="0" w:type="dxa"/>
          <w:right w:w="20" w:type="dxa"/>
        </w:tblCellMar>
      </w:tblPr>
      <w:tblGrid>
        <w:gridCol w:w="5211"/>
        <w:gridCol w:w="1630"/>
        <w:gridCol w:w="1630"/>
        <w:gridCol w:w="1640"/>
      </w:tblGrid>
      <w:tr>
        <w:trPr>
          <w:trHeight w:val="72" w:hRule="atLeast"/>
          <w:cantSplit w:val="true"/>
        </w:trPr>
        <w:tc>
          <w:tcPr>
            <w:tcW w:w="52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0000FF" w:val="clear"/>
            <w:tcMar>
              <w:left w:w="15" w:type="dxa"/>
            </w:tcMar>
            <w:vAlign w:val="center"/>
          </w:tcPr>
          <w:p>
            <w:pPr>
              <w:pStyle w:val="Normal"/>
              <w:overflowPunct w:val="false"/>
              <w:autoSpaceDE w:val="false"/>
              <w:jc w:val="center"/>
              <w:textAlignment w:val="baseline"/>
              <w:rPr>
                <w:b/>
                <w:b/>
                <w:color w:val="FFFFFF"/>
                <w:sz w:val="22"/>
                <w:szCs w:val="20"/>
              </w:rPr>
            </w:pPr>
            <w:r>
              <w:rPr>
                <w:b/>
                <w:color w:val="FFFFFF"/>
                <w:sz w:val="22"/>
                <w:szCs w:val="20"/>
              </w:rPr>
              <w:t>Организация</w:t>
            </w:r>
          </w:p>
        </w:tc>
        <w:tc>
          <w:tcPr>
            <w:tcW w:w="4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0000FF" w:val="clear"/>
            <w:tcMar>
              <w:top w:w="0" w:type="dxa"/>
              <w:left w:w="-5" w:type="dxa"/>
              <w:right w:w="0" w:type="dxa"/>
            </w:tcMar>
          </w:tcPr>
          <w:p>
            <w:pPr>
              <w:pStyle w:val="Normal"/>
              <w:overflowPunct w:val="false"/>
              <w:autoSpaceDE w:val="false"/>
              <w:jc w:val="center"/>
              <w:textAlignment w:val="baseline"/>
              <w:rPr>
                <w:b/>
                <w:b/>
                <w:color w:val="FFFFFF"/>
                <w:sz w:val="22"/>
                <w:szCs w:val="20"/>
              </w:rPr>
            </w:pPr>
            <w:r>
              <w:rPr>
                <w:b/>
                <w:color w:val="FFFFFF"/>
                <w:sz w:val="22"/>
                <w:szCs w:val="20"/>
              </w:rPr>
              <w:t>Объем отгруженной продукции, млн. руб.</w:t>
            </w:r>
          </w:p>
        </w:tc>
      </w:tr>
      <w:tr>
        <w:trPr>
          <w:trHeight w:val="582" w:hRule="atLeast"/>
          <w:cantSplit w:val="true"/>
        </w:trPr>
        <w:tc>
          <w:tcPr>
            <w:tcW w:w="52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0000FF" w:val="clear"/>
            <w:tcMar>
              <w:left w:w="15" w:type="dxa"/>
            </w:tcMar>
            <w:vAlign w:val="center"/>
          </w:tcPr>
          <w:p>
            <w:pPr>
              <w:pStyle w:val="Normal"/>
              <w:overflowPunct w:val="false"/>
              <w:autoSpaceDE w:val="false"/>
              <w:snapToGrid w:val="false"/>
              <w:textAlignment w:val="baseline"/>
              <w:rPr>
                <w:b/>
                <w:b/>
                <w:color w:val="FFFFFF"/>
                <w:sz w:val="22"/>
                <w:szCs w:val="20"/>
              </w:rPr>
            </w:pPr>
            <w:r>
              <w:rPr>
                <w:b/>
                <w:color w:val="FFFFFF"/>
                <w:sz w:val="22"/>
                <w:szCs w:val="20"/>
              </w:rPr>
            </w:r>
          </w:p>
        </w:tc>
        <w:tc>
          <w:tcPr>
            <w:tcW w:w="163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0000FF" w:val="clear"/>
            <w:tcMar>
              <w:left w:w="15" w:type="dxa"/>
            </w:tcMar>
            <w:vAlign w:val="center"/>
          </w:tcPr>
          <w:p>
            <w:pPr>
              <w:pStyle w:val="Normal"/>
              <w:overflowPunct w:val="false"/>
              <w:autoSpaceDE w:val="false"/>
              <w:jc w:val="center"/>
              <w:textAlignment w:val="baseline"/>
              <w:rPr/>
            </w:pPr>
            <w:r>
              <w:rPr>
                <w:color w:val="FFFFFF"/>
              </w:rPr>
              <w:t xml:space="preserve">Январь-декабрь 2016 </w:t>
            </w:r>
          </w:p>
        </w:tc>
        <w:tc>
          <w:tcPr>
            <w:tcW w:w="163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0000FF" w:val="clear"/>
            <w:tcMar>
              <w:top w:w="0" w:type="dxa"/>
              <w:left w:w="-5" w:type="dxa"/>
              <w:right w:w="0" w:type="dxa"/>
            </w:tcMar>
            <w:vAlign w:val="center"/>
          </w:tcPr>
          <w:p>
            <w:pPr>
              <w:pStyle w:val="Normal"/>
              <w:overflowPunct w:val="false"/>
              <w:autoSpaceDE w:val="false"/>
              <w:jc w:val="center"/>
              <w:textAlignment w:val="baseline"/>
              <w:rPr>
                <w:color w:val="FFFFFF"/>
              </w:rPr>
            </w:pPr>
            <w:r>
              <w:rPr>
                <w:color w:val="FFFFFF"/>
              </w:rPr>
              <w:t>Январь-декабрь 2017</w:t>
            </w:r>
          </w:p>
        </w:tc>
        <w:tc>
          <w:tcPr>
            <w:tcW w:w="16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0000FF" w:val="clear"/>
            <w:tcMar>
              <w:top w:w="0" w:type="dxa"/>
              <w:left w:w="-5" w:type="dxa"/>
              <w:right w:w="0" w:type="dxa"/>
            </w:tcMar>
          </w:tcPr>
          <w:p>
            <w:pPr>
              <w:pStyle w:val="Normal"/>
              <w:overflowPunct w:val="false"/>
              <w:autoSpaceDE w:val="false"/>
              <w:jc w:val="center"/>
              <w:textAlignment w:val="baseline"/>
              <w:rPr/>
            </w:pPr>
            <w:r>
              <w:rPr>
                <w:color w:val="FFFFFF"/>
              </w:rPr>
              <w:t>темп роста в действующих ценах, %</w:t>
            </w:r>
          </w:p>
        </w:tc>
      </w:tr>
      <w:tr>
        <w:trPr>
          <w:trHeight w:val="244" w:hRule="atLeast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5" w:type="dxa"/>
            </w:tcMar>
          </w:tcPr>
          <w:p>
            <w:pPr>
              <w:pStyle w:val="Normal"/>
              <w:rPr/>
            </w:pPr>
            <w:r>
              <w:rPr/>
              <w:t>ОАО «Маслодел»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0" w:type="dxa"/>
              <w:left w:w="-5" w:type="dxa"/>
              <w:right w:w="0" w:type="dxa"/>
            </w:tcMar>
          </w:tcPr>
          <w:p>
            <w:pPr>
              <w:pStyle w:val="Normal"/>
              <w:jc w:val="center"/>
              <w:rPr/>
            </w:pPr>
            <w:r>
              <w:rPr/>
              <w:t>43,489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0" w:type="dxa"/>
              <w:left w:w="-5" w:type="dxa"/>
              <w:right w:w="0" w:type="dxa"/>
            </w:tcMar>
          </w:tcPr>
          <w:p>
            <w:pPr>
              <w:pStyle w:val="Normal"/>
              <w:jc w:val="center"/>
              <w:rPr/>
            </w:pPr>
            <w:r>
              <w:rPr/>
              <w:t>46,693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top w:w="0" w:type="dxa"/>
              <w:left w:w="-5" w:type="dxa"/>
              <w:right w:w="0" w:type="dxa"/>
            </w:tcMar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107,4</w:t>
            </w:r>
          </w:p>
        </w:tc>
      </w:tr>
      <w:tr>
        <w:trPr>
          <w:trHeight w:val="244" w:hRule="atLeast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5" w:type="dxa"/>
            </w:tcMar>
          </w:tcPr>
          <w:p>
            <w:pPr>
              <w:pStyle w:val="Normal"/>
              <w:rPr/>
            </w:pPr>
            <w:r>
              <w:rPr/>
              <w:t>ООО «Партнер»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0" w:type="dxa"/>
              <w:left w:w="-5" w:type="dxa"/>
              <w:right w:w="0" w:type="dxa"/>
            </w:tcMar>
          </w:tcPr>
          <w:p>
            <w:pPr>
              <w:pStyle w:val="Normal"/>
              <w:jc w:val="center"/>
              <w:rPr/>
            </w:pPr>
            <w:r>
              <w:rPr/>
              <w:t>9,597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0" w:type="dxa"/>
              <w:left w:w="-5" w:type="dxa"/>
              <w:right w:w="0" w:type="dxa"/>
            </w:tcMar>
          </w:tcPr>
          <w:p>
            <w:pPr>
              <w:pStyle w:val="Normal"/>
              <w:jc w:val="center"/>
              <w:rPr/>
            </w:pPr>
            <w:r>
              <w:rPr/>
              <w:t>11,97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top w:w="0" w:type="dxa"/>
              <w:left w:w="-5" w:type="dxa"/>
              <w:right w:w="0" w:type="dxa"/>
            </w:tcMar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124,7</w:t>
            </w:r>
          </w:p>
        </w:tc>
      </w:tr>
      <w:tr>
        <w:trPr>
          <w:trHeight w:val="244" w:hRule="atLeast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5" w:type="dxa"/>
            </w:tcMar>
          </w:tcPr>
          <w:p>
            <w:pPr>
              <w:pStyle w:val="Normal"/>
              <w:rPr/>
            </w:pPr>
            <w:r>
              <w:rPr/>
              <w:t>ООО «Кедр»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0" w:type="dxa"/>
              <w:left w:w="-5" w:type="dxa"/>
              <w:right w:w="0" w:type="dxa"/>
            </w:tcMar>
          </w:tcPr>
          <w:p>
            <w:pPr>
              <w:pStyle w:val="Normal"/>
              <w:jc w:val="center"/>
              <w:rPr/>
            </w:pPr>
            <w:r>
              <w:rPr/>
              <w:t>45,385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0" w:type="dxa"/>
              <w:left w:w="-5" w:type="dxa"/>
              <w:right w:w="0" w:type="dxa"/>
            </w:tcMar>
          </w:tcPr>
          <w:p>
            <w:pPr>
              <w:pStyle w:val="Normal"/>
              <w:jc w:val="center"/>
              <w:rPr/>
            </w:pPr>
            <w:r>
              <w:rPr/>
              <w:t>58,86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top w:w="0" w:type="dxa"/>
              <w:left w:w="-5" w:type="dxa"/>
              <w:right w:w="0" w:type="dxa"/>
            </w:tcMar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129,7</w:t>
            </w:r>
          </w:p>
        </w:tc>
      </w:tr>
      <w:tr>
        <w:trPr>
          <w:trHeight w:val="244" w:hRule="atLeast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5" w:type="dxa"/>
            </w:tcMar>
          </w:tcPr>
          <w:p>
            <w:pPr>
              <w:pStyle w:val="Normal"/>
              <w:rPr/>
            </w:pPr>
            <w:r>
              <w:rPr/>
              <w:t>Хлебокомбинат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0" w:type="dxa"/>
              <w:left w:w="-5" w:type="dxa"/>
              <w:right w:w="0" w:type="dxa"/>
            </w:tcMar>
          </w:tcPr>
          <w:p>
            <w:pPr>
              <w:pStyle w:val="Normal"/>
              <w:jc w:val="center"/>
              <w:rPr/>
            </w:pPr>
            <w:r>
              <w:rPr/>
              <w:t>60,328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0" w:type="dxa"/>
              <w:left w:w="-5" w:type="dxa"/>
              <w:right w:w="0" w:type="dxa"/>
            </w:tcMar>
          </w:tcPr>
          <w:p>
            <w:pPr>
              <w:pStyle w:val="Normal"/>
              <w:jc w:val="center"/>
              <w:rPr/>
            </w:pPr>
            <w:r>
              <w:rPr/>
              <w:t>53,755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top w:w="0" w:type="dxa"/>
              <w:left w:w="-5" w:type="dxa"/>
              <w:right w:w="0" w:type="dxa"/>
            </w:tcMar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89,1</w:t>
            </w:r>
          </w:p>
        </w:tc>
      </w:tr>
      <w:tr>
        <w:trPr>
          <w:trHeight w:val="244" w:hRule="atLeast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5" w:type="dxa"/>
            </w:tcMar>
          </w:tcPr>
          <w:p>
            <w:pPr>
              <w:pStyle w:val="Normal"/>
              <w:rPr/>
            </w:pPr>
            <w:r>
              <w:rPr/>
              <w:t>ИП Гоголева  И.Е.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0" w:type="dxa"/>
              <w:left w:w="-5" w:type="dxa"/>
              <w:right w:w="0" w:type="dxa"/>
            </w:tcMar>
          </w:tcPr>
          <w:p>
            <w:pPr>
              <w:pStyle w:val="Normal"/>
              <w:jc w:val="center"/>
              <w:rPr/>
            </w:pPr>
            <w:r>
              <w:rPr/>
              <w:t>71,315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0" w:type="dxa"/>
              <w:left w:w="-5" w:type="dxa"/>
              <w:right w:w="0" w:type="dxa"/>
            </w:tcMar>
          </w:tcPr>
          <w:p>
            <w:pPr>
              <w:pStyle w:val="Normal"/>
              <w:jc w:val="center"/>
              <w:rPr/>
            </w:pPr>
            <w:r>
              <w:rPr/>
              <w:t>67,847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top w:w="0" w:type="dxa"/>
              <w:left w:w="-5" w:type="dxa"/>
              <w:right w:w="0" w:type="dxa"/>
            </w:tcMar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95,1</w:t>
            </w:r>
          </w:p>
        </w:tc>
      </w:tr>
    </w:tbl>
    <w:p>
      <w:pPr>
        <w:pStyle w:val="BodyText2"/>
        <w:tabs>
          <w:tab w:val="left" w:pos="993" w:leader="none"/>
        </w:tabs>
        <w:spacing w:before="60" w:after="60"/>
        <w:ind w:right="38" w:firstLine="851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</w:r>
    </w:p>
    <w:p>
      <w:pPr>
        <w:pStyle w:val="BodyText2"/>
        <w:ind w:right="38" w:firstLine="851"/>
        <w:rPr/>
      </w:pPr>
      <w:r>
        <w:rPr>
          <w:b/>
          <w:sz w:val="28"/>
          <w:szCs w:val="28"/>
        </w:rPr>
        <w:t>Ключевая отрасль экономики</w:t>
      </w:r>
      <w:r>
        <w:rPr>
          <w:sz w:val="28"/>
          <w:szCs w:val="28"/>
        </w:rPr>
        <w:t xml:space="preserve"> района (городского округа) </w:t>
      </w:r>
      <w:r>
        <w:rPr>
          <w:i/>
          <w:sz w:val="28"/>
          <w:szCs w:val="28"/>
        </w:rPr>
        <w:t xml:space="preserve">– </w:t>
      </w:r>
      <w:r>
        <w:rPr>
          <w:i/>
          <w:color w:val="000000"/>
          <w:sz w:val="28"/>
          <w:szCs w:val="28"/>
        </w:rPr>
        <w:t>обрабатывающие производства</w:t>
      </w:r>
      <w:r>
        <w:rPr>
          <w:i/>
          <w:sz w:val="28"/>
          <w:szCs w:val="28"/>
        </w:rPr>
        <w:t xml:space="preserve"> и сельское хозяйство</w:t>
      </w:r>
      <w:r>
        <w:rPr>
          <w:sz w:val="28"/>
          <w:szCs w:val="28"/>
        </w:rPr>
        <w:t xml:space="preserve">, на долю которой приходится: </w:t>
      </w:r>
      <w:r>
        <w:rPr>
          <w:color w:val="000000"/>
          <w:sz w:val="28"/>
          <w:szCs w:val="28"/>
        </w:rPr>
        <w:t>обрабатывающие производства</w:t>
      </w:r>
      <w:r>
        <w:rPr>
          <w:sz w:val="28"/>
          <w:szCs w:val="28"/>
        </w:rPr>
        <w:t xml:space="preserve"> –306,1 млн. руб. или 41,7%, сельское хозяйство – 203,3 млн.руб. или 27,7% от общего объема отгруженной продукции по району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(городскому округу)</w:t>
      </w:r>
      <w:r>
        <w:rPr>
          <w:i/>
          <w:sz w:val="28"/>
          <w:szCs w:val="28"/>
        </w:rPr>
        <w:t xml:space="preserve"> (по полному кругу организаций)</w:t>
      </w:r>
      <w:r>
        <w:rPr>
          <w:sz w:val="28"/>
          <w:szCs w:val="28"/>
        </w:rPr>
        <w:t>.</w:t>
      </w:r>
    </w:p>
    <w:p>
      <w:pPr>
        <w:pStyle w:val="Style21"/>
        <w:spacing w:before="120" w:after="120"/>
        <w:ind w:firstLine="709"/>
        <w:jc w:val="both"/>
        <w:rPr/>
      </w:pPr>
      <w:r>
        <w:rPr>
          <w:b w:val="false"/>
          <w:sz w:val="28"/>
          <w:szCs w:val="28"/>
        </w:rPr>
        <w:t xml:space="preserve">В сельском хозяйстве района насчитывается 8 </w:t>
      </w:r>
      <w:r>
        <w:rPr>
          <w:rFonts w:cs="Times New Roman CYR" w:ascii="Times New Roman CYR" w:hAnsi="Times New Roman CYR"/>
          <w:b w:val="false"/>
          <w:sz w:val="28"/>
          <w:szCs w:val="28"/>
        </w:rPr>
        <w:t>сельхозпредприятий</w:t>
      </w:r>
      <w:r>
        <w:rPr>
          <w:b w:val="false"/>
          <w:sz w:val="28"/>
          <w:szCs w:val="28"/>
        </w:rPr>
        <w:t xml:space="preserve">, </w:t>
      </w:r>
      <w:r>
        <w:rPr>
          <w:b w:val="false"/>
          <w:bCs/>
          <w:sz w:val="28"/>
          <w:szCs w:val="28"/>
        </w:rPr>
        <w:t>на их долю приходится 39,9% сельскохозяйственного производства (241,4 млн.руб.). К</w:t>
      </w:r>
      <w:r>
        <w:rPr>
          <w:rFonts w:cs="Times New Roman CYR" w:ascii="Times New Roman CYR" w:hAnsi="Times New Roman CYR"/>
          <w:b w:val="false"/>
          <w:bCs/>
          <w:sz w:val="28"/>
          <w:szCs w:val="28"/>
        </w:rPr>
        <w:t>роме того, зарегистрировано 20 крестьянских (фермерских) хозяйств, на долю которых приходится 7,8% сельскохозяйственного производства (47,7 млн.руб.), и 5071 личных подсобных хозяйств 52,3% (316,5 млн.руб.) .</w:t>
      </w:r>
      <w:r>
        <w:rPr>
          <w:b w:val="false"/>
          <w:bCs/>
          <w:sz w:val="28"/>
          <w:szCs w:val="28"/>
        </w:rPr>
        <w:t xml:space="preserve"> </w:t>
      </w:r>
    </w:p>
    <w:p>
      <w:pPr>
        <w:pStyle w:val="Normal"/>
        <w:ind w:firstLine="567"/>
        <w:jc w:val="both"/>
        <w:rPr/>
      </w:pPr>
      <w:r>
        <w:rPr>
          <w:b/>
          <w:color w:val="000000"/>
        </w:rPr>
        <w:t>По состоянию на 01.01.2018</w:t>
      </w:r>
      <w:r>
        <w:rPr/>
        <w:t xml:space="preserve"> в районе зарегистрировано 356 субъектов малого предпринимательства (далее - СМП), в т.ч. 92 малых предприятий и 264 предпринимателей без образования юридического лица.</w:t>
      </w:r>
    </w:p>
    <w:p>
      <w:pPr>
        <w:pStyle w:val="Normal"/>
        <w:ind w:firstLine="567"/>
        <w:jc w:val="both"/>
        <w:rPr/>
      </w:pPr>
      <w:r>
        <w:rPr/>
      </w:r>
    </w:p>
    <w:p>
      <w:pPr>
        <w:pStyle w:val="Normal"/>
        <w:ind w:firstLine="709"/>
        <w:jc w:val="both"/>
        <w:rPr/>
      </w:pPr>
      <w:r>
        <w:rPr>
          <w:szCs w:val="28"/>
        </w:rPr>
        <w:t xml:space="preserve">Розничную торговлю в районе (городском округе) осуществляют 55 организаций, из них 4  крупных и средних, 12 малых, а также 39 </w:t>
      </w:r>
      <w:r>
        <w:rPr>
          <w:iCs/>
        </w:rPr>
        <w:t>предпринимателей без образования юридического лица</w:t>
      </w:r>
      <w:r>
        <w:rPr>
          <w:szCs w:val="28"/>
        </w:rPr>
        <w:t>.</w:t>
      </w:r>
    </w:p>
    <w:p>
      <w:pPr>
        <w:pStyle w:val="Normal"/>
        <w:ind w:left="-426" w:firstLine="567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left="142" w:firstLine="567"/>
        <w:jc w:val="both"/>
        <w:rPr/>
      </w:pPr>
      <w:r>
        <w:rPr>
          <w:color w:val="191919"/>
        </w:rPr>
        <w:t>В районе  работает 114 магазинов, из них специализированных продовольственных – 9, специализированных непродовольственных - 61 и универсальных - 44.  Функционируют 1 ярмарка временного характера.</w:t>
      </w:r>
    </w:p>
    <w:p>
      <w:pPr>
        <w:pStyle w:val="Normal"/>
        <w:ind w:firstLine="567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Жилищно-коммунальное хозяйство представлено   в районе тремя предприятиями: МУП ЖКХ, ООО Елена, ООО Гарант.   </w:t>
      </w:r>
    </w:p>
    <w:p>
      <w:pPr>
        <w:pStyle w:val="Normal"/>
        <w:ind w:left="-426" w:firstLine="567"/>
        <w:jc w:val="both"/>
        <w:rPr>
          <w:color w:val="000000"/>
          <w:szCs w:val="28"/>
        </w:rPr>
      </w:pPr>
      <w:r>
        <w:rPr>
          <w:color w:val="000000"/>
          <w:szCs w:val="28"/>
        </w:rPr>
        <w:t>Имеется в районе 5 автозаправочных и газозаправочных станций.</w:t>
      </w:r>
    </w:p>
    <w:p>
      <w:pPr>
        <w:pStyle w:val="Normal"/>
        <w:ind w:left="142" w:firstLine="425"/>
        <w:jc w:val="both"/>
        <w:rPr>
          <w:color w:val="000000"/>
          <w:szCs w:val="28"/>
        </w:rPr>
      </w:pPr>
      <w:r>
        <w:rPr>
          <w:color w:val="000000"/>
          <w:szCs w:val="28"/>
        </w:rPr>
        <w:t>В сфере технического обслуживания автотранспорта в районе работает 3 станции по техническому обслуживанию автомобилей.</w:t>
      </w:r>
    </w:p>
    <w:p>
      <w:pPr>
        <w:pStyle w:val="Normal"/>
        <w:ind w:firstLine="708"/>
        <w:jc w:val="both"/>
        <w:rPr>
          <w:color w:val="000000"/>
          <w:szCs w:val="28"/>
        </w:rPr>
      </w:pPr>
      <w:r>
        <w:rPr>
          <w:color w:val="000000"/>
          <w:szCs w:val="28"/>
        </w:rPr>
        <w:t>В сфере парикмахерских услуг и маникюра открыто 8 салонов и студий.</w:t>
      </w:r>
    </w:p>
    <w:p>
      <w:pPr>
        <w:pStyle w:val="Normal"/>
        <w:ind w:firstLine="567"/>
        <w:jc w:val="both"/>
        <w:rPr>
          <w:color w:val="000000"/>
          <w:szCs w:val="28"/>
        </w:rPr>
      </w:pPr>
      <w:r>
        <w:rPr>
          <w:color w:val="000000"/>
          <w:szCs w:val="28"/>
        </w:rPr>
      </w:r>
    </w:p>
    <w:p>
      <w:pPr>
        <w:pStyle w:val="Normal"/>
        <w:spacing w:before="0" w:after="60"/>
        <w:jc w:val="center"/>
        <w:rPr/>
      </w:pPr>
      <w:r>
        <w:rPr/>
        <w:t>Динамика развития предпринимательства</w:t>
      </w:r>
    </w:p>
    <w:tbl>
      <w:tblPr>
        <w:tblW w:w="1002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3165"/>
        <w:gridCol w:w="992"/>
        <w:gridCol w:w="992"/>
        <w:gridCol w:w="1843"/>
        <w:gridCol w:w="948"/>
        <w:gridCol w:w="1035"/>
        <w:gridCol w:w="1045"/>
      </w:tblGrid>
      <w:tr>
        <w:trPr>
          <w:tblHeader w:val="true"/>
          <w:trHeight w:val="407" w:hRule="atLeast"/>
        </w:trPr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0000FF" w:val="clear"/>
            <w:tcMar>
              <w:left w:w="103" w:type="dxa"/>
            </w:tcMar>
          </w:tcPr>
          <w:p>
            <w:pPr>
              <w:pStyle w:val="Normal"/>
              <w:widowControl w:val="false"/>
              <w:snapToGrid w:val="false"/>
              <w:ind w:firstLine="567"/>
              <w:rPr>
                <w:i/>
                <w:i/>
                <w:color w:val="FFFFFF"/>
                <w:sz w:val="22"/>
              </w:rPr>
            </w:pPr>
            <w:r>
              <w:rPr>
                <w:i/>
                <w:color w:val="FFFFFF"/>
                <w:sz w:val="22"/>
              </w:rPr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0000FF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b/>
                <w:b/>
                <w:color w:val="FFFFFF"/>
                <w:sz w:val="22"/>
              </w:rPr>
            </w:pPr>
            <w:r>
              <w:rPr>
                <w:b/>
                <w:color w:val="FFFFFF"/>
                <w:sz w:val="22"/>
              </w:rPr>
              <w:t>2012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0000FF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b/>
                <w:b/>
                <w:color w:val="FFFFFF"/>
                <w:sz w:val="22"/>
              </w:rPr>
            </w:pPr>
            <w:r>
              <w:rPr>
                <w:b/>
                <w:color w:val="FFFFFF"/>
                <w:sz w:val="22"/>
                <w:lang w:val="en-US"/>
              </w:rPr>
              <w:t>201</w:t>
            </w:r>
            <w:r>
              <w:rPr>
                <w:b/>
                <w:color w:val="FFFFFF"/>
                <w:sz w:val="22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0000FF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b/>
                <w:b/>
                <w:color w:val="FFFFFF"/>
                <w:sz w:val="22"/>
              </w:rPr>
            </w:pPr>
            <w:r>
              <w:rPr>
                <w:b/>
                <w:color w:val="FFFFFF"/>
                <w:sz w:val="22"/>
              </w:rPr>
              <w:t>2014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0000FF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b/>
                <w:b/>
                <w:color w:val="FFFFFF"/>
                <w:sz w:val="22"/>
              </w:rPr>
            </w:pPr>
            <w:r>
              <w:rPr>
                <w:b/>
                <w:color w:val="FFFFFF"/>
                <w:sz w:val="22"/>
              </w:rPr>
              <w:t>2015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0000FF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b/>
                <w:b/>
                <w:color w:val="FFFFFF"/>
                <w:sz w:val="22"/>
              </w:rPr>
            </w:pPr>
            <w:r>
              <w:rPr>
                <w:b/>
                <w:color w:val="FFFFFF"/>
                <w:sz w:val="22"/>
              </w:rPr>
              <w:t>2016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0000FF" w:val="clear"/>
            <w:tcMar>
              <w:left w:w="103" w:type="dxa"/>
            </w:tcMar>
          </w:tcPr>
          <w:p>
            <w:pPr>
              <w:pStyle w:val="Normal"/>
              <w:jc w:val="center"/>
              <w:rPr>
                <w:b/>
                <w:b/>
                <w:color w:val="FFFFFF"/>
                <w:sz w:val="22"/>
              </w:rPr>
            </w:pPr>
            <w:r>
              <w:rPr>
                <w:b/>
                <w:color w:val="FFFFFF"/>
                <w:sz w:val="22"/>
              </w:rPr>
              <w:t>2017</w:t>
            </w:r>
          </w:p>
        </w:tc>
      </w:tr>
      <w:tr>
        <w:trPr>
          <w:trHeight w:val="501" w:hRule="atLeast"/>
          <w:cantSplit w:val="true"/>
        </w:trPr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jc w:val="both"/>
              <w:rPr>
                <w:iCs/>
              </w:rPr>
            </w:pPr>
            <w:r>
              <w:rPr>
                <w:iCs/>
              </w:rPr>
              <w:t>Количество СМП, в том числе: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8"/>
              <w:spacing w:before="0" w:after="120"/>
              <w:ind w:left="-57" w:hanging="0"/>
              <w:jc w:val="center"/>
              <w:rPr>
                <w:sz w:val="20"/>
                <w:szCs w:val="20"/>
                <w:lang w:val="ru-RU" w:eastAsia="ru-RU"/>
              </w:rPr>
            </w:pPr>
            <w:r>
              <w:rPr>
                <w:sz w:val="20"/>
                <w:szCs w:val="20"/>
                <w:lang w:val="ru-RU" w:eastAsia="ru-RU"/>
              </w:rPr>
              <w:t>354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Style28"/>
              <w:spacing w:before="0" w:after="120"/>
              <w:ind w:left="-57" w:hanging="0"/>
              <w:jc w:val="center"/>
              <w:rPr>
                <w:sz w:val="20"/>
                <w:szCs w:val="20"/>
                <w:lang w:val="ru-RU" w:eastAsia="ru-RU"/>
              </w:rPr>
            </w:pPr>
            <w:r>
              <w:rPr>
                <w:sz w:val="20"/>
                <w:szCs w:val="20"/>
                <w:lang w:val="ru-RU" w:eastAsia="ru-RU"/>
              </w:rPr>
              <w:t>355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before="0" w:after="120"/>
              <w:ind w:left="-57" w:hanging="0"/>
              <w:jc w:val="center"/>
              <w:rPr>
                <w:i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359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before="0" w:after="120"/>
              <w:ind w:left="-57" w:hanging="0"/>
              <w:jc w:val="center"/>
              <w:rPr>
                <w:i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359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before="0" w:after="120"/>
              <w:ind w:left="-57" w:hanging="0"/>
              <w:jc w:val="center"/>
              <w:rPr>
                <w:i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352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pacing w:before="0" w:after="120"/>
              <w:ind w:left="-57" w:hanging="0"/>
              <w:jc w:val="center"/>
              <w:rPr>
                <w:i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356</w:t>
            </w:r>
          </w:p>
        </w:tc>
      </w:tr>
      <w:tr>
        <w:trPr>
          <w:trHeight w:val="423" w:hRule="atLeast"/>
          <w:cantSplit w:val="true"/>
        </w:trPr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tabs>
                <w:tab w:val="left" w:pos="246" w:leader="none"/>
              </w:tabs>
              <w:jc w:val="both"/>
              <w:rPr>
                <w:iCs/>
              </w:rPr>
            </w:pPr>
            <w:r>
              <w:rPr>
                <w:iCs/>
              </w:rPr>
              <w:t>-</w:t>
              <w:tab/>
              <w:t>малые предприятия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8"/>
              <w:spacing w:before="0" w:after="120"/>
              <w:ind w:left="-57" w:hanging="0"/>
              <w:jc w:val="center"/>
              <w:rPr>
                <w:sz w:val="20"/>
                <w:szCs w:val="20"/>
                <w:lang w:val="ru-RU" w:eastAsia="ru-RU"/>
              </w:rPr>
            </w:pPr>
            <w:r>
              <w:rPr>
                <w:sz w:val="20"/>
                <w:szCs w:val="20"/>
                <w:lang w:val="ru-RU" w:eastAsia="ru-RU"/>
              </w:rPr>
              <w:t>95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Style28"/>
              <w:spacing w:before="0" w:after="120"/>
              <w:ind w:left="-57" w:hanging="0"/>
              <w:jc w:val="center"/>
              <w:rPr>
                <w:sz w:val="20"/>
                <w:szCs w:val="20"/>
                <w:lang w:val="ru-RU" w:eastAsia="ru-RU"/>
              </w:rPr>
            </w:pPr>
            <w:r>
              <w:rPr>
                <w:sz w:val="20"/>
                <w:szCs w:val="20"/>
                <w:lang w:val="ru-RU" w:eastAsia="ru-RU"/>
              </w:rPr>
              <w:t>95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before="0" w:after="120"/>
              <w:ind w:left="-57" w:hanging="0"/>
              <w:jc w:val="center"/>
              <w:rPr>
                <w:i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95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before="0" w:after="120"/>
              <w:ind w:left="-57" w:hanging="0"/>
              <w:jc w:val="center"/>
              <w:rPr>
                <w:i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95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before="0" w:after="120"/>
              <w:ind w:left="-57" w:hanging="0"/>
              <w:jc w:val="center"/>
              <w:rPr>
                <w:i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88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pacing w:before="0" w:after="120"/>
              <w:ind w:left="-57" w:hanging="0"/>
              <w:jc w:val="center"/>
              <w:rPr>
                <w:i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92</w:t>
            </w:r>
          </w:p>
        </w:tc>
      </w:tr>
      <w:tr>
        <w:trPr>
          <w:trHeight w:val="523" w:hRule="atLeast"/>
          <w:cantSplit w:val="true"/>
        </w:trPr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tabs>
                <w:tab w:val="left" w:pos="246" w:leader="none"/>
              </w:tabs>
              <w:jc w:val="both"/>
              <w:rPr>
                <w:iCs/>
              </w:rPr>
            </w:pPr>
            <w:r>
              <w:rPr>
                <w:iCs/>
              </w:rPr>
              <w:t>-</w:t>
              <w:tab/>
              <w:t xml:space="preserve">предприниматели без образования юридического лица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8"/>
              <w:spacing w:before="0" w:after="120"/>
              <w:ind w:left="-57" w:hanging="0"/>
              <w:jc w:val="center"/>
              <w:rPr>
                <w:sz w:val="20"/>
                <w:szCs w:val="20"/>
                <w:lang w:val="ru-RU" w:eastAsia="ru-RU"/>
              </w:rPr>
            </w:pPr>
            <w:r>
              <w:rPr>
                <w:sz w:val="20"/>
                <w:szCs w:val="20"/>
                <w:lang w:val="ru-RU" w:eastAsia="ru-RU"/>
              </w:rPr>
              <w:t>259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8"/>
              <w:spacing w:before="0" w:after="120"/>
              <w:ind w:left="0" w:hanging="0"/>
              <w:jc w:val="center"/>
              <w:rPr>
                <w:i/>
                <w:i/>
                <w:sz w:val="20"/>
                <w:szCs w:val="20"/>
                <w:lang w:val="ru-RU" w:eastAsia="ru-RU"/>
              </w:rPr>
            </w:pPr>
            <w:r>
              <w:rPr>
                <w:i/>
                <w:sz w:val="20"/>
                <w:szCs w:val="20"/>
                <w:lang w:val="ru-RU" w:eastAsia="ru-RU"/>
              </w:rPr>
              <w:t>260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before="0" w:after="120"/>
              <w:ind w:left="-57" w:hanging="0"/>
              <w:jc w:val="center"/>
              <w:rPr>
                <w:i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264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before="0" w:after="120"/>
              <w:ind w:left="-57" w:hanging="0"/>
              <w:jc w:val="center"/>
              <w:rPr>
                <w:i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264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before="0" w:after="120"/>
              <w:ind w:left="-57" w:hanging="0"/>
              <w:jc w:val="center"/>
              <w:rPr>
                <w:i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294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pacing w:before="0" w:after="120"/>
              <w:ind w:left="-57" w:hanging="0"/>
              <w:jc w:val="center"/>
              <w:rPr>
                <w:i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264</w:t>
            </w:r>
          </w:p>
        </w:tc>
      </w:tr>
      <w:tr>
        <w:trPr>
          <w:trHeight w:val="848" w:hRule="atLeast"/>
          <w:cantSplit w:val="true"/>
        </w:trPr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jc w:val="both"/>
              <w:rPr>
                <w:iCs/>
              </w:rPr>
            </w:pPr>
            <w:r>
              <w:rPr>
                <w:iCs/>
              </w:rPr>
              <w:t>Доля занятых в малом предпринимательстве от числа занятых в  экономике по всем видам деятельности (%)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8"/>
              <w:spacing w:before="0" w:after="120"/>
              <w:ind w:left="-57" w:hanging="0"/>
              <w:jc w:val="center"/>
              <w:rPr>
                <w:sz w:val="20"/>
                <w:szCs w:val="20"/>
                <w:lang w:val="ru-RU" w:eastAsia="ru-RU"/>
              </w:rPr>
            </w:pPr>
            <w:r>
              <w:rPr>
                <w:sz w:val="20"/>
                <w:szCs w:val="20"/>
                <w:lang w:val="ru-RU" w:eastAsia="ru-RU"/>
              </w:rPr>
              <w:t>41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8"/>
              <w:spacing w:before="0" w:after="120"/>
              <w:ind w:left="0" w:hanging="0"/>
              <w:jc w:val="center"/>
              <w:rPr>
                <w:i/>
                <w:i/>
                <w:sz w:val="20"/>
                <w:szCs w:val="20"/>
                <w:lang w:val="ru-RU" w:eastAsia="ru-RU"/>
              </w:rPr>
            </w:pPr>
            <w:r>
              <w:rPr>
                <w:i/>
                <w:sz w:val="20"/>
                <w:szCs w:val="20"/>
                <w:lang w:val="ru-RU" w:eastAsia="ru-RU"/>
              </w:rPr>
              <w:t>41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before="0" w:after="120"/>
              <w:ind w:left="-57" w:hanging="0"/>
              <w:jc w:val="center"/>
              <w:rPr>
                <w:i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37,5(СПК Поздеево перешло в крупные и средние предприятия)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before="0" w:after="120"/>
              <w:ind w:left="-57" w:hanging="0"/>
              <w:jc w:val="center"/>
              <w:rPr>
                <w:i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37,5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before="0" w:after="120"/>
              <w:ind w:left="-57" w:hanging="0"/>
              <w:jc w:val="center"/>
              <w:rPr>
                <w:i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40,5 (Хлебокомбинат перешел в малые предприятия)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pacing w:before="0" w:after="120"/>
              <w:ind w:left="-57" w:hanging="0"/>
              <w:jc w:val="center"/>
              <w:rPr>
                <w:i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40,5</w:t>
            </w:r>
          </w:p>
        </w:tc>
      </w:tr>
      <w:tr>
        <w:trPr>
          <w:trHeight w:val="848" w:hRule="atLeast"/>
          <w:cantSplit w:val="true"/>
        </w:trPr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widowControl w:val="false"/>
              <w:jc w:val="both"/>
              <w:rPr>
                <w:iCs/>
              </w:rPr>
            </w:pPr>
            <w:r>
              <w:rPr>
                <w:iCs/>
              </w:rPr>
              <w:t>Доля малого предпринимательства в общем объёме отгруженных товаров района (%)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8"/>
              <w:spacing w:before="0" w:after="120"/>
              <w:ind w:left="-57" w:hanging="0"/>
              <w:jc w:val="center"/>
              <w:rPr>
                <w:sz w:val="20"/>
                <w:szCs w:val="20"/>
                <w:lang w:val="ru-RU" w:eastAsia="ru-RU"/>
              </w:rPr>
            </w:pPr>
            <w:r>
              <w:rPr>
                <w:sz w:val="20"/>
                <w:szCs w:val="20"/>
                <w:lang w:val="ru-RU" w:eastAsia="ru-RU"/>
              </w:rPr>
              <w:t>62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8"/>
              <w:spacing w:before="0" w:after="120"/>
              <w:ind w:left="0" w:hanging="0"/>
              <w:jc w:val="center"/>
              <w:rPr>
                <w:i/>
                <w:i/>
                <w:sz w:val="20"/>
                <w:szCs w:val="20"/>
                <w:lang w:val="ru-RU" w:eastAsia="ru-RU"/>
              </w:rPr>
            </w:pPr>
            <w:r>
              <w:rPr>
                <w:i/>
                <w:sz w:val="20"/>
                <w:szCs w:val="20"/>
                <w:lang w:val="ru-RU" w:eastAsia="ru-RU"/>
              </w:rPr>
              <w:t>64,2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ind w:left="-57" w:hanging="0"/>
              <w:rPr>
                <w:i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58,7 (СПК Поздеево перешло в крупные и средние предприятия)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ind w:left="-57" w:hanging="0"/>
              <w:rPr>
                <w:i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58,7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ind w:left="-57" w:hanging="0"/>
              <w:rPr>
                <w:i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64 (Хлебокомбинат перешел в малые предприятия)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8"/>
              <w:spacing w:before="0" w:after="120"/>
              <w:ind w:left="0" w:hanging="0"/>
              <w:jc w:val="center"/>
              <w:rPr>
                <w:i/>
                <w:i/>
                <w:sz w:val="20"/>
                <w:szCs w:val="20"/>
                <w:lang w:val="ru-RU" w:eastAsia="ru-RU"/>
              </w:rPr>
            </w:pPr>
            <w:r>
              <w:rPr>
                <w:i/>
                <w:sz w:val="20"/>
                <w:szCs w:val="20"/>
                <w:lang w:val="ru-RU" w:eastAsia="ru-RU"/>
              </w:rPr>
              <w:t>88 (ООО Общепит, ООО АПК Поздеево перешли в малые)</w:t>
            </w:r>
          </w:p>
        </w:tc>
      </w:tr>
    </w:tbl>
    <w:p>
      <w:pPr>
        <w:pStyle w:val="Normal"/>
        <w:ind w:left="-426" w:firstLine="567"/>
        <w:jc w:val="both"/>
        <w:rPr>
          <w:rFonts w:eastAsia="Times New Roman"/>
          <w:szCs w:val="28"/>
        </w:rPr>
      </w:pPr>
      <w:r>
        <w:rPr>
          <w:rFonts w:eastAsia="Times New Roman"/>
          <w:szCs w:val="28"/>
        </w:rPr>
        <w:t xml:space="preserve"> </w:t>
      </w:r>
    </w:p>
    <w:p>
      <w:pPr>
        <w:pStyle w:val="Normal"/>
        <w:ind w:firstLine="567"/>
        <w:jc w:val="both"/>
        <w:rPr/>
      </w:pPr>
      <w:r>
        <w:rPr>
          <w:szCs w:val="28"/>
        </w:rPr>
        <w:t>Наиболее крупными источниками налоговых поступлений в местный бюджет среди субъектов малого предпринимательства в промышленности являются: Общества «Кедр», «Партнер»,  индивидуальные предприниматели Синцов Валентин Валентинович, Ермолин Сергей Иванович, Лежнин Владимир Степанович; в сфере торговли: Шарангское райпо, общества Общепит,  «Реал»; в сельском хозяйстве общества «Возрождение», «АПК «Поздеево», «Новый век», СПК «Преображение», ООО «Союз».</w:t>
      </w:r>
    </w:p>
    <w:p>
      <w:pPr>
        <w:pStyle w:val="Normal"/>
        <w:jc w:val="both"/>
        <w:rPr/>
      </w:pPr>
      <w:r>
        <w:rPr>
          <w:b/>
          <w:szCs w:val="28"/>
        </w:rPr>
        <w:t>Всего за 9 месяцев 2017 года</w:t>
      </w:r>
      <w:r>
        <w:rPr>
          <w:szCs w:val="28"/>
        </w:rPr>
        <w:t xml:space="preserve"> объем инвестиций в основной капитал за счет всех источников финансирования </w:t>
      </w:r>
      <w:r>
        <w:rPr>
          <w:b/>
          <w:szCs w:val="28"/>
        </w:rPr>
        <w:t>по полному кругу организаций</w:t>
      </w:r>
      <w:r>
        <w:rPr>
          <w:szCs w:val="28"/>
        </w:rPr>
        <w:t xml:space="preserve"> составил 172,186 млн. руб., в т.ч. в разрезе отраслей :</w:t>
      </w:r>
    </w:p>
    <w:p>
      <w:pPr>
        <w:pStyle w:val="21"/>
        <w:tabs>
          <w:tab w:val="left" w:pos="993" w:leader="none"/>
        </w:tabs>
        <w:spacing w:before="60" w:after="60"/>
        <w:ind w:right="38" w:firstLine="85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обрабатывающие производства – 20,3 % ( 34,94 млн. руб.);</w:t>
      </w:r>
    </w:p>
    <w:p>
      <w:pPr>
        <w:pStyle w:val="21"/>
        <w:tabs>
          <w:tab w:val="left" w:pos="993" w:leader="none"/>
        </w:tabs>
        <w:spacing w:before="60" w:after="60"/>
        <w:ind w:right="38" w:firstLine="85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сельское хозяйство – 40,8 % ( 70,22 млн. руб.);</w:t>
      </w:r>
    </w:p>
    <w:p>
      <w:pPr>
        <w:pStyle w:val="21"/>
        <w:tabs>
          <w:tab w:val="left" w:pos="993" w:leader="none"/>
        </w:tabs>
        <w:spacing w:before="60" w:after="60"/>
        <w:ind w:right="38" w:firstLine="85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строительство – 9,3% (16,1 млн.руб.)</w:t>
      </w:r>
    </w:p>
    <w:p>
      <w:pPr>
        <w:pStyle w:val="21"/>
        <w:tabs>
          <w:tab w:val="left" w:pos="993" w:leader="none"/>
        </w:tabs>
        <w:spacing w:before="60" w:after="60"/>
        <w:ind w:right="38" w:firstLine="85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торговля – 8,3% (14,278 млн.руб)</w:t>
      </w:r>
    </w:p>
    <w:p>
      <w:pPr>
        <w:pStyle w:val="21"/>
        <w:tabs>
          <w:tab w:val="left" w:pos="993" w:leader="none"/>
        </w:tabs>
        <w:spacing w:before="60" w:after="60"/>
        <w:ind w:right="38" w:firstLine="85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прочие – 21,3% ( 36,648 млн. руб.).</w:t>
      </w:r>
    </w:p>
    <w:p>
      <w:pPr>
        <w:pStyle w:val="Normal"/>
        <w:jc w:val="both"/>
        <w:rPr/>
      </w:pPr>
      <w:r>
        <w:rPr>
          <w:rFonts w:eastAsia="Times New Roman"/>
          <w:szCs w:val="26"/>
        </w:rPr>
        <w:t xml:space="preserve">  </w:t>
      </w:r>
      <w:r>
        <w:rPr/>
        <w:t xml:space="preserve">Объем инвестиций по </w:t>
      </w:r>
      <w:r>
        <w:rPr>
          <w:bCs/>
        </w:rPr>
        <w:t xml:space="preserve">субъектам малого предпринимательства – </w:t>
      </w:r>
      <w:r>
        <w:rPr/>
        <w:t>140,52 млн. руб.</w:t>
      </w:r>
    </w:p>
    <w:p>
      <w:pPr>
        <w:pStyle w:val="Normal"/>
        <w:ind w:firstLine="851"/>
        <w:jc w:val="both"/>
        <w:rPr/>
      </w:pPr>
      <w:r>
        <w:rPr>
          <w:szCs w:val="26"/>
        </w:rPr>
        <w:t xml:space="preserve">Наибольшую долю в общем объеме инвестиций занимают инвестиции по виду деятельности «Сельское хозяйство» (приобретение спецтехники, оборудования) </w:t>
      </w:r>
      <w:r>
        <w:rPr>
          <w:i/>
          <w:szCs w:val="26"/>
        </w:rPr>
        <w:t xml:space="preserve">. </w:t>
      </w:r>
    </w:p>
    <w:p>
      <w:pPr>
        <w:pStyle w:val="Normal"/>
        <w:ind w:firstLine="851"/>
        <w:jc w:val="both"/>
        <w:rPr>
          <w:i/>
          <w:i/>
          <w:szCs w:val="26"/>
        </w:rPr>
      </w:pPr>
      <w:r>
        <w:rPr>
          <w:i/>
          <w:szCs w:val="26"/>
        </w:rPr>
      </w:r>
    </w:p>
    <w:p>
      <w:pPr>
        <w:pStyle w:val="Normal"/>
        <w:jc w:val="both"/>
        <w:rPr>
          <w:b/>
          <w:b/>
          <w:color w:val="000000"/>
        </w:rPr>
      </w:pPr>
      <w:r>
        <w:rPr>
          <w:rFonts w:eastAsia="Times New Roman"/>
          <w:b/>
        </w:rPr>
        <w:t xml:space="preserve">      </w:t>
      </w:r>
      <w:r>
        <w:rPr>
          <w:b/>
        </w:rPr>
        <w:t>За 2017 год</w:t>
      </w:r>
      <w:r>
        <w:rPr/>
        <w:t xml:space="preserve"> среднемесячная заработная плата работающих </w:t>
      </w:r>
      <w:r>
        <w:rPr>
          <w:b/>
        </w:rPr>
        <w:t xml:space="preserve">по полному </w:t>
      </w:r>
      <w:r>
        <w:rPr/>
        <w:t xml:space="preserve"> </w:t>
      </w:r>
      <w:r>
        <w:rPr>
          <w:color w:val="000000"/>
        </w:rPr>
        <w:t xml:space="preserve"> </w:t>
      </w:r>
      <w:r>
        <w:rPr>
          <w:b/>
        </w:rPr>
        <w:t>кругу</w:t>
      </w:r>
      <w:r>
        <w:rPr/>
        <w:t xml:space="preserve"> </w:t>
      </w:r>
      <w:r>
        <w:rPr>
          <w:b/>
        </w:rPr>
        <w:t xml:space="preserve">организаций </w:t>
      </w:r>
      <w:r>
        <w:rPr/>
        <w:t xml:space="preserve">составила 19695,7руб. (106%), </w:t>
      </w:r>
      <w:r>
        <w:rPr>
          <w:b/>
        </w:rPr>
        <w:t>по</w:t>
      </w:r>
      <w:r>
        <w:rPr/>
        <w:t xml:space="preserve">. </w:t>
      </w:r>
    </w:p>
    <w:p>
      <w:pPr>
        <w:pStyle w:val="Normal"/>
        <w:tabs>
          <w:tab w:val="left" w:pos="9923" w:leader="none"/>
        </w:tabs>
        <w:ind w:right="38" w:firstLine="708"/>
        <w:jc w:val="center"/>
        <w:rPr>
          <w:b/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</w:r>
    </w:p>
    <w:p>
      <w:pPr>
        <w:pStyle w:val="Normal"/>
        <w:spacing w:lineRule="auto" w:line="276" w:before="0" w:after="120"/>
        <w:ind w:firstLine="720"/>
        <w:jc w:val="both"/>
        <w:rPr>
          <w:i/>
          <w:i/>
        </w:rPr>
      </w:pPr>
      <w:r>
        <w:rPr/>
        <w:t>В 2012 году в районе была разработана и утверждена «Программа развития производительных сил Шарангского муниципального района на 2013-2020 годы» (утверждена постановлением администрации Шарангского муниципального района №130 от 15.11.2012 г.)</w:t>
      </w:r>
      <w:r>
        <w:rPr>
          <w:i/>
        </w:rPr>
        <w:t>.</w:t>
      </w:r>
    </w:p>
    <w:p>
      <w:pPr>
        <w:pStyle w:val="Normal"/>
        <w:widowControl w:val="false"/>
        <w:ind w:right="38" w:firstLine="851"/>
        <w:jc w:val="both"/>
        <w:rPr>
          <w:bCs/>
          <w:color w:val="000000"/>
        </w:rPr>
      </w:pPr>
      <w:r>
        <w:rPr>
          <w:bCs/>
          <w:color w:val="000000"/>
        </w:rPr>
        <w:t>В рамках ПРПС</w:t>
      </w:r>
      <w:r>
        <w:rPr>
          <w:b/>
          <w:bCs/>
          <w:color w:val="000000"/>
        </w:rPr>
        <w:t xml:space="preserve"> за 2016-2018 годы</w:t>
      </w:r>
      <w:r>
        <w:rPr>
          <w:bCs/>
          <w:color w:val="000000"/>
        </w:rPr>
        <w:t xml:space="preserve"> запланировано к реализации 38 проектов (мероприятий), привлечение 221,4 млн. руб. инвестиций, что позволит увеличить объём отгруженной продукции на 414,33 млн. руб., налоговые и неналоговые поступления в консолидированный бюджет области – на 58,1 млн. руб., создать 127 новых рабочих мест.</w:t>
      </w:r>
    </w:p>
    <w:p>
      <w:pPr>
        <w:pStyle w:val="Normal"/>
        <w:widowControl w:val="false"/>
        <w:ind w:right="38" w:firstLine="851"/>
        <w:jc w:val="both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widowControl w:val="false"/>
        <w:ind w:right="38" w:firstLine="851"/>
        <w:jc w:val="both"/>
        <w:rPr/>
      </w:pPr>
      <w:r>
        <w:rPr>
          <w:b/>
        </w:rPr>
        <w:t>По итогам 2016 года</w:t>
      </w:r>
      <w:r>
        <w:rPr/>
        <w:t xml:space="preserve"> в рамках ПРПС реализовывалось 38 проекта (мероприятия), вложено инвестиций – 65,9 млн. руб., </w:t>
      </w:r>
      <w:r>
        <w:rPr>
          <w:bCs/>
          <w:color w:val="000000"/>
        </w:rPr>
        <w:t xml:space="preserve">что позволило увеличить объём отгруженной продукции на 136,01 млн. руб., налоговые и неналоговые поступления в консолидированный бюджет области – на 18,29 млн. руб., создать 44 новых рабочих мест. </w:t>
      </w:r>
    </w:p>
    <w:p>
      <w:pPr>
        <w:pStyle w:val="Normal"/>
        <w:widowControl w:val="false"/>
        <w:ind w:right="38" w:firstLine="851"/>
        <w:jc w:val="both"/>
        <w:rPr>
          <w:b/>
          <w:b/>
          <w:sz w:val="18"/>
          <w:szCs w:val="26"/>
        </w:rPr>
      </w:pPr>
      <w:r>
        <w:rPr>
          <w:b/>
          <w:bCs/>
          <w:color w:val="000000"/>
        </w:rPr>
        <w:t xml:space="preserve">За </w:t>
      </w:r>
      <w:r>
        <w:rPr>
          <w:b/>
          <w:szCs w:val="26"/>
        </w:rPr>
        <w:t>счет субъектов малого предпринимательства</w:t>
      </w:r>
      <w:r>
        <w:rPr>
          <w:szCs w:val="26"/>
        </w:rPr>
        <w:t>, реализующих проекты в рамках ПРПС, было вложено 64,3 млн. руб. инвестиций, прирост отгруженной продукции составил 136,01 млн. руб., налоговых поступлений – 16,27 млн. руб., создано 43 новых рабочих мест.</w:t>
      </w:r>
    </w:p>
    <w:p>
      <w:pPr>
        <w:pStyle w:val="Normal"/>
        <w:spacing w:before="0" w:after="120"/>
        <w:ind w:firstLine="709"/>
        <w:jc w:val="both"/>
        <w:rPr>
          <w:rFonts w:eastAsia="Times New Roman"/>
          <w:color w:val="000000"/>
          <w:szCs w:val="28"/>
        </w:rPr>
      </w:pPr>
      <w:r>
        <w:rPr>
          <w:rFonts w:eastAsia="Times New Roman"/>
          <w:color w:val="000000"/>
          <w:szCs w:val="28"/>
        </w:rPr>
        <w:t xml:space="preserve">В целях исполнения Указа Президента России от 7 мая 2012 года № 601 </w:t>
        <w:br/>
        <w:t xml:space="preserve">«Об основных направлениях совершенствования системы государственного управления» на территории Нижегородской области в  2014 году в районе  создан многофункциональный центр предоставления государственных и муниципальных услуг, деятельность  которого направлена на повышение качества и доступности предоставляемых государственных и муниципальных услуг, открытости информации о деятельности органов власти.  </w:t>
      </w:r>
    </w:p>
    <w:p>
      <w:pPr>
        <w:pStyle w:val="Normal"/>
        <w:ind w:firstLine="708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С целью развития конкуренции, в соответствии с </w:t>
      </w:r>
      <w:hyperlink r:id="rId2">
        <w:r>
          <w:rPr>
            <w:rStyle w:val="Style20"/>
            <w:color w:val="000000"/>
            <w:szCs w:val="28"/>
          </w:rPr>
          <w:t>Законом</w:t>
        </w:r>
      </w:hyperlink>
      <w:r>
        <w:rPr>
          <w:color w:val="000000"/>
          <w:szCs w:val="28"/>
        </w:rPr>
        <w:t xml:space="preserve"> Нижегородской области от 03.09.2014 № 109-З «Об оценке регулирующего воздействия проектов муниципальных нормативных правовых актов, экспертизе муниципальных нормативных правовых актов в Нижегородской области» и постановлением Правительства Нижегородской области от 16.10.2014 № 703 «Об утверждении Требований к порядку проведения оценки регулирующего воздействия проектов муниципальных нормативных правовых актов и порядку проведения экспертизы муниципальных нормативных правовых актов в Нижегородской области»,   утвержден   </w:t>
      </w:r>
      <w:hyperlink w:anchor="Par36">
        <w:r>
          <w:rPr>
            <w:rStyle w:val="Style20"/>
            <w:color w:val="000000"/>
            <w:szCs w:val="28"/>
          </w:rPr>
          <w:t>Порядок</w:t>
        </w:r>
      </w:hyperlink>
      <w:r>
        <w:rPr>
          <w:color w:val="000000"/>
          <w:szCs w:val="28"/>
        </w:rPr>
        <w:t xml:space="preserve"> по проведению оценки регулирующего воздействия проектов муниципальных нормативных правовых актов, экспертизе муниципальных нормативных правовых актов администрации </w:t>
      </w:r>
      <w:r>
        <w:rPr>
          <w:color w:val="000000"/>
        </w:rPr>
        <w:t>Шарангского муниципального района</w:t>
      </w:r>
      <w:r>
        <w:rPr>
          <w:color w:val="000000"/>
          <w:szCs w:val="28"/>
        </w:rPr>
        <w:t xml:space="preserve"> Нижегородской области.  </w:t>
      </w:r>
    </w:p>
    <w:p>
      <w:pPr>
        <w:pStyle w:val="Normal"/>
        <w:autoSpaceDE w:val="false"/>
        <w:ind w:firstLine="540"/>
        <w:jc w:val="both"/>
        <w:rPr/>
      </w:pPr>
      <w:r>
        <w:rPr>
          <w:color w:val="000000"/>
          <w:szCs w:val="28"/>
        </w:rPr>
        <w:t>Уполномоченным органом администрации Шарангского муниципального района Нижегородской области, ответственным за внедрение процедуры оценки регулирующего воздействия проектов муниципальных нормативных правовых актов Нижегородской области и экспертизы действующих нормативных правовых актов администрации Шарангского</w:t>
      </w:r>
      <w:r>
        <w:rPr>
          <w:color w:val="000000"/>
        </w:rPr>
        <w:t xml:space="preserve"> муниципального района</w:t>
      </w:r>
      <w:r>
        <w:rPr>
          <w:color w:val="000000"/>
          <w:szCs w:val="28"/>
        </w:rPr>
        <w:t>, затрагивающих предпринимательскую и инвестиционную деятельность на территории</w:t>
      </w:r>
      <w:r>
        <w:rPr>
          <w:color w:val="000000"/>
        </w:rPr>
        <w:t xml:space="preserve"> района  ,</w:t>
      </w:r>
      <w:r>
        <w:rPr>
          <w:color w:val="000000"/>
          <w:szCs w:val="28"/>
        </w:rPr>
        <w:t xml:space="preserve"> а также выполняющим функции по контролю названных процедур  определен отдел экономики и имущественных отношений администрации Шарангского муниципального района.</w:t>
      </w:r>
    </w:p>
    <w:p>
      <w:pPr>
        <w:pStyle w:val="Normal"/>
        <w:ind w:firstLine="720"/>
        <w:jc w:val="both"/>
        <w:rPr>
          <w:color w:val="000000"/>
        </w:rPr>
      </w:pPr>
      <w:r>
        <w:rPr>
          <w:color w:val="000000"/>
        </w:rPr>
        <w:t>Для дальнейшего развития конкуренции на 2017-2020 годы разработан ведомственный план по реализации мероприятий («дорожной карты») по содействию развития конкуренции (утвержден Постановление  администрации Шарангского муниципального района  № 683 от 01.12.2016 года).</w:t>
      </w:r>
    </w:p>
    <w:p>
      <w:pPr>
        <w:pStyle w:val="Normal"/>
        <w:jc w:val="both"/>
        <w:rPr>
          <w:color w:val="000000"/>
          <w:szCs w:val="28"/>
        </w:rPr>
      </w:pPr>
      <w:r>
        <w:rPr>
          <w:color w:val="000000"/>
          <w:szCs w:val="28"/>
        </w:rPr>
      </w:r>
    </w:p>
    <w:p>
      <w:pPr>
        <w:pStyle w:val="Normal"/>
        <w:autoSpaceDE w:val="false"/>
        <w:rPr>
          <w:rFonts w:eastAsia="Times New Roman"/>
          <w:b/>
          <w:b/>
          <w:color w:val="000000"/>
          <w:szCs w:val="28"/>
          <w:lang w:eastAsia="ru-RU"/>
        </w:rPr>
      </w:pPr>
      <w:r>
        <w:rPr>
          <w:rFonts w:eastAsia="Times New Roman"/>
          <w:b/>
          <w:color w:val="000000"/>
          <w:szCs w:val="28"/>
          <w:lang w:eastAsia="ru-RU"/>
        </w:rPr>
        <w:t xml:space="preserve">            </w:t>
      </w:r>
    </w:p>
    <w:sectPr>
      <w:type w:val="nextPage"/>
      <w:pgSz w:w="11906" w:h="16838"/>
      <w:pgMar w:left="1418" w:right="707" w:header="0" w:top="1134" w:footer="0" w:bottom="1134" w:gutter="0"/>
      <w:pgNumType w:fmt="decimal"/>
      <w:formProt w:val="false"/>
      <w:textDirection w:val="lrTb"/>
      <w:docGrid w:type="default" w:linePitch="381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libri">
    <w:charset w:val="cc"/>
    <w:family w:val="swiss"/>
    <w:pitch w:val="variable"/>
  </w:font>
  <w:font w:name="Times New Roman CYR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Calibri" w:cs="Times New Roman"/>
      <w:color w:val="auto"/>
      <w:sz w:val="28"/>
      <w:szCs w:val="22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Style15">
    <w:name w:val="Текст сноски Знак"/>
    <w:qFormat/>
    <w:rPr>
      <w:rFonts w:eastAsia="Times New Roman"/>
    </w:rPr>
  </w:style>
  <w:style w:type="character" w:styleId="Style16">
    <w:name w:val="Символ сноски"/>
    <w:qFormat/>
    <w:rPr>
      <w:vertAlign w:val="superscript"/>
    </w:rPr>
  </w:style>
  <w:style w:type="character" w:styleId="Style17">
    <w:name w:val="Основной текст Знак"/>
    <w:basedOn w:val="Style14"/>
    <w:qFormat/>
    <w:rPr>
      <w:rFonts w:ascii="Times New Roman" w:hAnsi="Times New Roman" w:eastAsia="Times New Roman" w:cs="Times New Roman"/>
      <w:sz w:val="24"/>
    </w:rPr>
  </w:style>
  <w:style w:type="character" w:styleId="Style18">
    <w:name w:val="Название Знак"/>
    <w:basedOn w:val="Style14"/>
    <w:qFormat/>
    <w:rPr>
      <w:rFonts w:ascii="Times New Roman" w:hAnsi="Times New Roman" w:eastAsia="Times New Roman" w:cs="Times New Roman"/>
      <w:b/>
      <w:sz w:val="24"/>
    </w:rPr>
  </w:style>
  <w:style w:type="character" w:styleId="Style19">
    <w:name w:val="Основной текст с отступом Знак"/>
    <w:basedOn w:val="Style14"/>
    <w:qFormat/>
    <w:rPr>
      <w:rFonts w:ascii="Times New Roman" w:hAnsi="Times New Roman" w:cs="Times New Roman"/>
      <w:sz w:val="28"/>
      <w:szCs w:val="22"/>
    </w:rPr>
  </w:style>
  <w:style w:type="character" w:styleId="1">
    <w:name w:val="Основной текст с отступом Знак1"/>
    <w:qFormat/>
    <w:rPr>
      <w:rFonts w:ascii="Times New Roman" w:hAnsi="Times New Roman" w:eastAsia="Times New Roman" w:cs="Times New Roman"/>
      <w:sz w:val="24"/>
      <w:szCs w:val="24"/>
      <w:lang w:val="ru-RU"/>
    </w:rPr>
  </w:style>
  <w:style w:type="character" w:styleId="Style20">
    <w:name w:val="Интернет-ссылка"/>
    <w:rPr>
      <w:color w:val="000080"/>
      <w:u w:val="single"/>
      <w:lang w:val="zxx" w:eastAsia="zxx" w:bidi="zxx"/>
    </w:rPr>
  </w:style>
  <w:style w:type="paragraph" w:styleId="Style21">
    <w:name w:val="Заголовок"/>
    <w:basedOn w:val="Normal"/>
    <w:next w:val="Style22"/>
    <w:qFormat/>
    <w:pPr>
      <w:jc w:val="center"/>
    </w:pPr>
    <w:rPr>
      <w:rFonts w:eastAsia="Times New Roman"/>
      <w:b/>
      <w:sz w:val="24"/>
      <w:szCs w:val="20"/>
    </w:rPr>
  </w:style>
  <w:style w:type="paragraph" w:styleId="Style22">
    <w:name w:val="Body Text"/>
    <w:basedOn w:val="Normal"/>
    <w:pPr>
      <w:jc w:val="both"/>
    </w:pPr>
    <w:rPr>
      <w:rFonts w:eastAsia="Times New Roman"/>
      <w:sz w:val="24"/>
      <w:szCs w:val="20"/>
    </w:rPr>
  </w:style>
  <w:style w:type="paragraph" w:styleId="Style23">
    <w:name w:val="List"/>
    <w:basedOn w:val="Style22"/>
    <w:pPr/>
    <w:rPr>
      <w:rFonts w:cs="Mangal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cs="Mangal"/>
    </w:rPr>
  </w:style>
  <w:style w:type="paragraph" w:styleId="Style26">
    <w:name w:val="Footnote Text"/>
    <w:basedOn w:val="Normal"/>
    <w:pPr/>
    <w:rPr>
      <w:rFonts w:ascii="Calibri" w:hAnsi="Calibri" w:eastAsia="Times New Roman" w:cs="Calibri"/>
      <w:sz w:val="20"/>
      <w:szCs w:val="20"/>
      <w:lang w:val="ru-RU"/>
    </w:rPr>
  </w:style>
  <w:style w:type="paragraph" w:styleId="Style27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BodyText2">
    <w:name w:val="Body Text 2"/>
    <w:basedOn w:val="Normal"/>
    <w:qFormat/>
    <w:pPr>
      <w:widowControl w:val="false"/>
      <w:ind w:firstLine="720"/>
      <w:jc w:val="both"/>
    </w:pPr>
    <w:rPr>
      <w:rFonts w:eastAsia="Times New Roman"/>
      <w:sz w:val="24"/>
      <w:szCs w:val="20"/>
    </w:rPr>
  </w:style>
  <w:style w:type="paragraph" w:styleId="Style28">
    <w:name w:val="Body Text Indent"/>
    <w:basedOn w:val="Normal"/>
    <w:pPr>
      <w:spacing w:before="0" w:after="120"/>
      <w:ind w:left="283" w:hanging="0"/>
    </w:pPr>
    <w:rPr>
      <w:rFonts w:eastAsia="Times New Roman"/>
      <w:sz w:val="24"/>
      <w:szCs w:val="24"/>
      <w:lang w:val="ru-RU"/>
    </w:rPr>
  </w:style>
  <w:style w:type="paragraph" w:styleId="21">
    <w:name w:val="Основной текст 21"/>
    <w:basedOn w:val="Normal"/>
    <w:qFormat/>
    <w:pPr>
      <w:widowControl w:val="false"/>
      <w:ind w:firstLine="720"/>
      <w:jc w:val="both"/>
    </w:pPr>
    <w:rPr>
      <w:rFonts w:eastAsia="Times New Roman"/>
      <w:sz w:val="24"/>
      <w:szCs w:val="20"/>
    </w:rPr>
  </w:style>
  <w:style w:type="paragraph" w:styleId="Style29">
    <w:name w:val="Содержимое таблицы"/>
    <w:basedOn w:val="Normal"/>
    <w:qFormat/>
    <w:pPr>
      <w:suppressLineNumbers/>
    </w:pPr>
    <w:rPr/>
  </w:style>
  <w:style w:type="paragraph" w:styleId="Style30">
    <w:name w:val="Заголовок таблицы"/>
    <w:basedOn w:val="Style29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consultantplus://offline/ref=1ACD0DDDA99935416380B770A48925977997C9A11774B53706DD72A5CA359323o1n6I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Application>LibreOffice/5.4.3.2$Windows_x86 LibreOffice_project/92a7159f7e4af62137622921e809f8546db437e5</Application>
  <Pages>4</Pages>
  <Words>1213</Words>
  <Characters>8493</Characters>
  <CharactersWithSpaces>9689</CharactersWithSpaces>
  <Paragraphs>125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2018-01-29T11:44:00Z</dcterms:created>
  <dc:creator>Ольга Анатольевна</dc:creator>
  <dc:description/>
  <dc:language>ru-RU</dc:language>
  <cp:lastModifiedBy>Ekaterina</cp:lastModifiedBy>
  <cp:lastPrinted>2016-12-13T09:52:00Z</cp:lastPrinted>
  <dcterms:modified xsi:type="dcterms:W3CDTF">2018-02-02T10:26:00Z</dcterms:modified>
  <cp:revision>4</cp:revision>
  <dc:subject/>
  <dc:title/>
</cp:coreProperties>
</file>