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rPr>
          <w:rFonts w:ascii="Times New Roman" w:hAnsi="Times New Roman" w:cs="Times New Roman"/>
          <w:color w:val="000000"/>
        </w:rPr>
      </w:pPr>
      <w:r>
        <w:rPr>
          <w:rFonts w:eastAsia="Calibri" w:cs="Calibri"/>
          <w:color w:val="000000"/>
        </w:rPr>
        <w:t xml:space="preserve">                                       </w:t>
      </w:r>
      <w:r>
        <w:rPr>
          <w:rFonts w:cs="Times New Roman" w:ascii="Times New Roman" w:hAnsi="Times New Roman"/>
          <w:lang w:val="ru-RU" w:eastAsia="ru-RU"/>
        </w:rPr>
        <w:drawing>
          <wp:inline distT="0" distB="0" distL="0" distR="0">
            <wp:extent cx="635000" cy="60960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91" t="-403" r="-291" b="-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 w:ascii="Times New Roman" w:hAnsi="Times New Roman"/>
          <w:lang w:val="ru-RU" w:eastAsia="ru-RU"/>
        </w:rPr>
        <w:t xml:space="preserve">                                           </w:t>
      </w:r>
      <w:r>
        <w:rPr>
          <w:rFonts w:cs="Times New Roman" w:ascii="Times New Roman" w:hAnsi="Times New Roman"/>
          <w:lang w:val="ru-RU" w:eastAsia="ru-RU"/>
        </w:rPr>
        <w:t>проект</w:t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 w:cs="Times New Roman"/>
          <w:b/>
          <w:b/>
          <w:color w:val="000000"/>
          <w:kern w:val="2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 w:cs="Times New Roman"/>
          <w:color w:val="000000"/>
        </w:rPr>
      </w:pPr>
      <w:r>
        <w:rPr>
          <w:rFonts w:cs="Times New Roman" w:ascii="Times New Roman" w:hAnsi="Times New Roman"/>
          <w:b/>
          <w:color w:val="000000"/>
          <w:kern w:val="2"/>
          <w:sz w:val="28"/>
          <w:szCs w:val="28"/>
        </w:rPr>
        <w:t>БОЛЬШЕРУДКИНСКОГО СЕЛЬСОВЕТА</w:t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 w:cs="Times New Roman"/>
          <w:color w:val="000000"/>
        </w:rPr>
      </w:pPr>
      <w:r>
        <w:rPr>
          <w:rFonts w:cs="Times New Roman" w:ascii="Times New Roman" w:hAnsi="Times New Roman"/>
          <w:b/>
          <w:color w:val="000000"/>
          <w:kern w:val="2"/>
          <w:sz w:val="28"/>
          <w:szCs w:val="28"/>
        </w:rPr>
        <w:t>ШАРАНГСКОГО МУНИЦИПАЛЬНОГО РАЙОНА</w:t>
      </w:r>
    </w:p>
    <w:p>
      <w:pPr>
        <w:pStyle w:val="Heading1"/>
        <w:numPr>
          <w:ilvl w:val="0"/>
          <w:numId w:val="1"/>
        </w:numPr>
        <w:rPr>
          <w:color w:val="000000"/>
        </w:rPr>
      </w:pPr>
      <w:r>
        <w:rPr>
          <w:color w:val="000000"/>
          <w:sz w:val="28"/>
          <w:szCs w:val="28"/>
        </w:rPr>
        <w:t>НИЖЕГОРОДСКОЙ ОБЛАСТИ</w:t>
      </w:r>
    </w:p>
    <w:p>
      <w:pPr>
        <w:pStyle w:val="Heading1"/>
        <w:numPr>
          <w:ilvl w:val="0"/>
          <w:numId w:val="1"/>
        </w:numPr>
        <w:spacing w:lineRule="auto" w:line="240" w:before="0" w:after="0"/>
        <w:rPr>
          <w:color w:val="000000"/>
          <w:spacing w:val="60"/>
          <w:sz w:val="28"/>
          <w:szCs w:val="28"/>
        </w:rPr>
      </w:pPr>
      <w:r>
        <w:rPr>
          <w:color w:val="000000"/>
          <w:spacing w:val="60"/>
          <w:sz w:val="28"/>
          <w:szCs w:val="28"/>
        </w:rPr>
      </w:r>
    </w:p>
    <w:p>
      <w:pPr>
        <w:pStyle w:val="Heading1"/>
        <w:numPr>
          <w:ilvl w:val="0"/>
          <w:numId w:val="1"/>
        </w:numPr>
        <w:spacing w:lineRule="auto" w:line="240" w:before="0" w:after="0"/>
        <w:ind w:left="142" w:hanging="142"/>
        <w:rPr>
          <w:color w:val="000000"/>
        </w:rPr>
      </w:pPr>
      <w:r>
        <w:rPr>
          <w:color w:val="000000"/>
          <w:spacing w:val="60"/>
          <w:sz w:val="28"/>
          <w:szCs w:val="28"/>
        </w:rPr>
        <w:t>ПОСТАНОВЛЕНИЕ</w:t>
      </w:r>
    </w:p>
    <w:p>
      <w:pPr>
        <w:pStyle w:val="Normal"/>
        <w:tabs>
          <w:tab w:val="clear" w:pos="720"/>
          <w:tab w:val="left" w:pos="8789" w:leader="none"/>
        </w:tabs>
        <w:spacing w:before="0" w:after="0"/>
        <w:rPr>
          <w:rFonts w:ascii="Times New Roman" w:hAnsi="Times New Roman" w:cs="Times New Roman"/>
          <w:color w:val="000000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от __________</w:t>
        <w:tab/>
        <w:t>№ ___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tabs>
          <w:tab w:val="clear" w:pos="720"/>
          <w:tab w:val="left" w:pos="7797" w:leader="none"/>
          <w:tab w:val="left" w:pos="8222" w:leader="none"/>
        </w:tabs>
        <w:spacing w:lineRule="auto" w:line="240" w:before="0" w:after="0"/>
        <w:ind w:left="1418" w:right="1983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Об утверждении формы проверочного листа, применяемого при осуществлении муниципального  контроля на автомобильном транспорте, городском наземном электрическом транспорте и в дорожном хозяйстве вне границ населенных пунктов в границах Большерудкинского сельсовета Шарангского муниципального района Нижегородской области</w:t>
      </w:r>
    </w:p>
    <w:p>
      <w:pPr>
        <w:pStyle w:val="Normal"/>
        <w:spacing w:lineRule="exact" w:line="240" w:before="0"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autoSpaceDE w:val="false"/>
        <w:spacing w:lineRule="auto" w:line="240" w:before="0" w:after="0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</w:t>
      </w:r>
      <w:r>
        <w:rPr>
          <w:rFonts w:cs="Times New Roman" w:ascii="Times New Roman" w:hAnsi="Times New Roman"/>
          <w:sz w:val="26"/>
          <w:szCs w:val="26"/>
        </w:rPr>
        <w:t>Федеральным законом от 31.07.2020 № 248-ФЗ «О государственном контроле (надзоре) и муниципальном контроле в Российской Федерации»,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постановлением Правительства Российской Федерации от 13.02.2017 № 177 «Об утверждении общих требований к разработке и утверждению проверочных листов (списков контрольных вопросов)», администрация Большерудкинского сельсовета Шарангского муниципального района Нижегородской области </w:t>
      </w:r>
      <w:r>
        <w:rPr>
          <w:rFonts w:cs="Times New Roman" w:ascii="Times New Roman" w:hAnsi="Times New Roman"/>
          <w:b/>
          <w:color w:val="000000"/>
          <w:sz w:val="26"/>
          <w:szCs w:val="26"/>
        </w:rPr>
        <w:t>постановляет:</w:t>
      </w:r>
    </w:p>
    <w:p>
      <w:pPr>
        <w:pStyle w:val="Normal"/>
        <w:widowControl w:val="false"/>
        <w:shd w:fill="FFFFFF" w:val="clear"/>
        <w:suppressAutoHyphens w:val="true"/>
        <w:spacing w:lineRule="auto" w:line="240" w:before="0" w:after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 xml:space="preserve">1. Утвердить прилагаемую форму проверочного листа, применяемого при осуществлении муниципального контроля </w:t>
      </w:r>
      <w:r>
        <w:rPr>
          <w:rFonts w:cs="Times New Roman" w:ascii="Times New Roman" w:hAnsi="Times New Roman"/>
          <w:sz w:val="26"/>
          <w:szCs w:val="26"/>
        </w:rPr>
        <w:t>на автомобильном транспорте, городском наземном электрическом транспорте и в дорожном хозяйстве вне границ населенных пунктов в границах Большерудкинского сельсовета Шарангского муниципального района Нижегородской области</w:t>
      </w:r>
      <w:r>
        <w:rPr>
          <w:rFonts w:cs="Times New Roman" w:ascii="Times New Roman" w:hAnsi="Times New Roman"/>
          <w:color w:val="000000"/>
          <w:sz w:val="26"/>
          <w:szCs w:val="26"/>
        </w:rPr>
        <w:t>.</w:t>
      </w:r>
    </w:p>
    <w:p>
      <w:pPr>
        <w:pStyle w:val="Normal"/>
        <w:widowControl w:val="false"/>
        <w:shd w:fill="FFFFFF" w:val="clear"/>
        <w:suppressAutoHyphens w:val="true"/>
        <w:spacing w:lineRule="auto" w:line="240" w:before="0" w:after="0"/>
        <w:ind w:firstLine="709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 xml:space="preserve">2. Должностным лицам администрации Большерудкинского сельсовета Шарангского муниципального района Нижегородской области использовать утвержденную пунктом 1 настоящего постановления форму проверочного листа, при проведении муниципального контроля.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2. Обнародовать настоящее постановление в порядке, установленном Уставом Большерудкинского сельсовета Шарангского муниципального района Нижегородской области.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3. Настоящее постановление вступает в силу со дня его официального обнародования.</w:t>
      </w:r>
    </w:p>
    <w:p>
      <w:pPr>
        <w:pStyle w:val="Normal"/>
        <w:autoSpaceDE w:val="false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4. Контроль за исполнением настоящего постановления оставляю за собой.</w:t>
      </w:r>
    </w:p>
    <w:p>
      <w:pPr>
        <w:pStyle w:val="Normal"/>
        <w:spacing w:lineRule="auto" w:line="240" w:before="0" w:after="0"/>
        <w:rPr>
          <w:rFonts w:eastAsia="Calibri" w:cs="Calibri"/>
          <w:bCs/>
          <w:sz w:val="26"/>
          <w:szCs w:val="26"/>
        </w:rPr>
      </w:pPr>
      <w:r>
        <w:rPr>
          <w:rFonts w:eastAsia="Calibri" w:cs="Calibri"/>
          <w:bCs/>
          <w:sz w:val="26"/>
          <w:szCs w:val="26"/>
        </w:rPr>
        <w:t xml:space="preserve">       </w:t>
      </w:r>
    </w:p>
    <w:p>
      <w:pPr>
        <w:sectPr>
          <w:type w:val="nextPage"/>
          <w:pgSz w:w="11906" w:h="16838"/>
          <w:pgMar w:left="1134" w:right="567" w:gutter="0" w:header="0" w:top="1134" w:footer="0" w:bottom="1134"/>
          <w:pgNumType w:start="1" w:fmt="decimal"/>
          <w:formProt w:val="false"/>
          <w:titlePg/>
          <w:textDirection w:val="lrTb"/>
          <w:docGrid w:type="default" w:linePitch="381" w:charSpace="0"/>
        </w:sectPr>
        <w:pStyle w:val="Normal"/>
        <w:spacing w:lineRule="auto" w:line="240" w:before="0" w:after="0"/>
        <w:rPr>
          <w:rFonts w:ascii="Times New Roman" w:hAnsi="Times New Roman" w:cs="Times New Roman"/>
          <w:bCs/>
          <w:sz w:val="26"/>
          <w:szCs w:val="26"/>
        </w:rPr>
      </w:pPr>
      <w:r>
        <w:rPr>
          <w:rFonts w:eastAsia="Calibri" w:cs="Calibri"/>
          <w:bCs/>
          <w:sz w:val="26"/>
          <w:szCs w:val="26"/>
        </w:rPr>
        <w:t xml:space="preserve">      </w:t>
      </w:r>
      <w:r>
        <w:rPr>
          <w:rFonts w:cs="Times New Roman" w:ascii="Times New Roman" w:hAnsi="Times New Roman"/>
          <w:bCs/>
          <w:sz w:val="26"/>
          <w:szCs w:val="26"/>
        </w:rPr>
        <w:t>Глава администрации                                 Г.Г. Качмашева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УТВЕРЖДЕНА</w:t>
      </w:r>
    </w:p>
    <w:p>
      <w:pPr>
        <w:pStyle w:val="Normal"/>
        <w:widowControl w:val="false"/>
        <w:autoSpaceDE w:val="false"/>
        <w:spacing w:lineRule="auto" w:line="240" w:before="0" w:after="0"/>
        <w:ind w:left="5670" w:hanging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постановлением администрации</w:t>
      </w:r>
    </w:p>
    <w:p>
      <w:pPr>
        <w:pStyle w:val="Normal"/>
        <w:widowControl w:val="false"/>
        <w:autoSpaceDE w:val="false"/>
        <w:spacing w:lineRule="auto" w:line="240" w:before="0" w:after="0"/>
        <w:ind w:left="5387" w:firstLine="283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Большерудкинского сельсовета          Шарангского муниципального района</w:t>
      </w:r>
    </w:p>
    <w:p>
      <w:pPr>
        <w:pStyle w:val="Normal"/>
        <w:widowControl w:val="false"/>
        <w:autoSpaceDE w:val="false"/>
        <w:spacing w:lineRule="auto" w:line="240" w:before="0" w:after="0"/>
        <w:ind w:left="5670" w:hanging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Нижегородской области</w:t>
      </w:r>
    </w:p>
    <w:p>
      <w:pPr>
        <w:pStyle w:val="Normal"/>
        <w:widowControl w:val="false"/>
        <w:autoSpaceDE w:val="false"/>
        <w:spacing w:lineRule="auto" w:line="240" w:before="0" w:after="0"/>
        <w:ind w:left="5670" w:hanging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от   № </w:t>
      </w:r>
    </w:p>
    <w:p>
      <w:pPr>
        <w:pStyle w:val="ConsPlusNormal"/>
        <w:tabs>
          <w:tab w:val="clear" w:pos="720"/>
          <w:tab w:val="left" w:pos="4485" w:leader="none"/>
          <w:tab w:val="center" w:pos="5102" w:leader="none"/>
        </w:tabs>
        <w:jc w:val="right"/>
        <w:rPr>
          <w:rFonts w:ascii="Times New Roman" w:hAnsi="Times New Roman" w:cs="Times New Roman"/>
          <w:b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</w:r>
    </w:p>
    <w:p>
      <w:pPr>
        <w:pStyle w:val="ConsPlusNormal"/>
        <w:tabs>
          <w:tab w:val="clear" w:pos="720"/>
          <w:tab w:val="left" w:pos="4485" w:leader="none"/>
          <w:tab w:val="center" w:pos="5102" w:leader="none"/>
        </w:tabs>
        <w:rPr>
          <w:b/>
          <w:b/>
          <w:sz w:val="26"/>
          <w:szCs w:val="26"/>
        </w:rPr>
      </w:pPr>
      <w:r>
        <w:rPr>
          <w:b/>
          <w:sz w:val="26"/>
          <w:szCs w:val="26"/>
        </w:rPr>
        <w:tab/>
        <w:t xml:space="preserve">Форма </w:t>
      </w:r>
    </w:p>
    <w:p>
      <w:pPr>
        <w:pStyle w:val="ConsPlusNormal"/>
        <w:jc w:val="center"/>
        <w:rPr>
          <w:b/>
          <w:b/>
          <w:sz w:val="26"/>
          <w:szCs w:val="26"/>
        </w:rPr>
      </w:pPr>
      <w:r>
        <w:rPr>
          <w:b/>
          <w:sz w:val="26"/>
          <w:szCs w:val="26"/>
        </w:rPr>
        <w:t>проверочного листа</w:t>
      </w:r>
      <w:r>
        <w:rPr>
          <w:b/>
          <w:color w:val="000000"/>
          <w:sz w:val="26"/>
          <w:szCs w:val="26"/>
        </w:rPr>
        <w:t xml:space="preserve">, применяемого при осуществлении муниципального контроля </w:t>
      </w:r>
      <w:r>
        <w:rPr>
          <w:b/>
          <w:sz w:val="26"/>
          <w:szCs w:val="26"/>
        </w:rPr>
        <w:t>на автомобильном транспорте, городском наземном электрическом транспорте и в дорожном хозяйстве вне границ населенных пунктов в границах Большерудкинского сельсовета Шарангского муниципального района Нижегородской области</w:t>
      </w:r>
    </w:p>
    <w:p>
      <w:pPr>
        <w:pStyle w:val="ConsPlusNormal"/>
        <w:ind w:firstLine="540"/>
        <w:jc w:val="both"/>
        <w:rPr>
          <w:b/>
          <w:b/>
          <w:sz w:val="26"/>
          <w:szCs w:val="26"/>
        </w:rPr>
      </w:pPr>
      <w:r>
        <w:rPr>
          <w:b/>
          <w:sz w:val="26"/>
          <w:szCs w:val="26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1. Вид муниципального контроля: муниципальный контроль</w:t>
      </w:r>
      <w:r>
        <w:rPr>
          <w:sz w:val="26"/>
          <w:szCs w:val="26"/>
        </w:rPr>
        <w:t xml:space="preserve"> </w:t>
      </w:r>
      <w:r>
        <w:rPr>
          <w:rFonts w:cs="Times New Roman" w:ascii="Times New Roman" w:hAnsi="Times New Roman"/>
          <w:sz w:val="26"/>
          <w:szCs w:val="26"/>
        </w:rPr>
        <w:t>на автомобильном транспорте, городском наземном электрическом транспорте и в дорожном хозяйстве вне границ населенных пунктов в границах Большерудкинского сельсовета Шарангского муниципального района Нижегородской области</w:t>
      </w:r>
    </w:p>
    <w:p>
      <w:pPr>
        <w:pStyle w:val="ConsPlusNormal"/>
        <w:spacing w:before="240" w:after="0"/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>2. Наименование органа муниципального контроля: администрация Большерудкинского сельсовета Шарангского муниципального района Нижегородской области.</w:t>
      </w:r>
    </w:p>
    <w:p>
      <w:pPr>
        <w:pStyle w:val="ConsPlusNormal"/>
        <w:spacing w:before="240" w:after="0"/>
        <w:ind w:firstLine="540"/>
        <w:jc w:val="both"/>
        <w:rPr/>
      </w:pPr>
      <w:r>
        <w:rPr>
          <w:sz w:val="26"/>
          <w:szCs w:val="26"/>
        </w:rPr>
        <w:t>3. Распоряжение о проведении плановой проверки: от__________№___</w:t>
      </w:r>
    </w:p>
    <w:p>
      <w:pPr>
        <w:pStyle w:val="ConsPlusNormal"/>
        <w:spacing w:before="240" w:after="0"/>
        <w:ind w:firstLine="540"/>
        <w:jc w:val="both"/>
        <w:rPr/>
      </w:pPr>
      <w:r>
        <w:rPr>
          <w:sz w:val="26"/>
          <w:szCs w:val="26"/>
        </w:rPr>
        <w:t>4. Учетный номер проверки и дата присвоения учетного номера проверки в едином реестре проверок:_________________________________________________</w:t>
      </w:r>
    </w:p>
    <w:p>
      <w:pPr>
        <w:pStyle w:val="ConsPlusNormal"/>
        <w:spacing w:before="240" w:after="0"/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>5. Должность, фамилия, имя, отчество должностного(ых) лица(лиц) проводящего(их) плановую проверку:________________________________________</w:t>
      </w:r>
    </w:p>
    <w:p>
      <w:pPr>
        <w:pStyle w:val="ConsPlusNormal"/>
        <w:spacing w:before="240" w:after="0"/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>6.Наименование юридического лица, фамилия, имя, отчество (при наличии) индивидуального предпринимателя:_________________________________________</w:t>
      </w:r>
    </w:p>
    <w:p>
      <w:pPr>
        <w:pStyle w:val="ConsPlusNormal"/>
        <w:spacing w:before="240" w:after="0"/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>7. Место проведения плановой проверки с заполнением проверочного листа и (или) указание на используемые юридическим лицом, индивидуальным предпринимателем производственные объекты:_______________________________</w:t>
      </w:r>
    </w:p>
    <w:p>
      <w:pPr>
        <w:pStyle w:val="ConsPlusNormal"/>
        <w:spacing w:before="240" w:after="0"/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>8. Указание на ограничение предмета плановой проверки обязательными требованиями, требованиями, установленными муниципальными правовыми актами, изложенными в форме проверочного листа, если это предусмотрено порядком организации и проведения вида муниципального контроля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ConsPlusNormal"/>
        <w:spacing w:before="240" w:after="0"/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>9. Перечень вопросов, отражающих содержание обязательных требований и (или) требований, установленных муниципальными правовыми актами, ответы на которые однозначно свидетельствуют о соблюдении или несоблюдении юридическим лицом, индивидуальным предпринимателем обязательных требований и (или) требований, установленных муниципальными правовыми актами, составляющих предмет проверки:</w:t>
      </w:r>
    </w:p>
    <w:p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10268" w:type="dxa"/>
        <w:jc w:val="left"/>
        <w:tblInd w:w="-6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80"/>
        <w:gridCol w:w="3611"/>
        <w:gridCol w:w="2621"/>
        <w:gridCol w:w="905"/>
        <w:gridCol w:w="1134"/>
        <w:gridCol w:w="1417"/>
      </w:tblGrid>
      <w:tr>
        <w:trPr/>
        <w:tc>
          <w:tcPr>
            <w:tcW w:w="5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№</w:t>
            </w:r>
          </w:p>
          <w:p>
            <w:pPr>
              <w:pStyle w:val="ConsPlusNormal"/>
              <w:jc w:val="center"/>
              <w:rPr/>
            </w:pPr>
            <w:r>
              <w:rPr/>
              <w:t>п/п</w:t>
            </w:r>
          </w:p>
        </w:tc>
        <w:tc>
          <w:tcPr>
            <w:tcW w:w="36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Контрольный вопрос</w:t>
            </w:r>
          </w:p>
        </w:tc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Реквизиты нормативного правового акта (подзаконного правового акта) содержащие обязательны требования</w:t>
            </w:r>
          </w:p>
        </w:tc>
        <w:tc>
          <w:tcPr>
            <w:tcW w:w="34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jc w:val="center"/>
              <w:rPr/>
            </w:pPr>
            <w:r>
              <w:rPr/>
              <w:t>Варианты ответа</w:t>
            </w:r>
          </w:p>
        </w:tc>
      </w:tr>
      <w:tr>
        <w:trPr/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Нет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Не относится</w:t>
            </w:r>
          </w:p>
        </w:tc>
      </w:tr>
      <w:tr>
        <w:trPr>
          <w:trHeight w:val="322" w:hRule="atLeast"/>
        </w:trPr>
        <w:tc>
          <w:tcPr>
            <w:tcW w:w="5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1</w:t>
            </w:r>
          </w:p>
        </w:tc>
        <w:tc>
          <w:tcPr>
            <w:tcW w:w="36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Осуществление контроля за соблюдением требований технических условий по размещению объектов, предназначенных для осуществления дорожной деятельности, объектов дорожного сервиса, и других объектов в полосе отвода и придорожной полосе автомобильных дорог</w:t>
            </w:r>
          </w:p>
        </w:tc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Статья 25 Федерального закона от 08.11.2007 №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 (далее Федеральный закон от 08.11.2007 N 257-ФЗ)</w:t>
            </w:r>
          </w:p>
        </w:tc>
        <w:tc>
          <w:tcPr>
            <w:tcW w:w="9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2</w:t>
            </w:r>
          </w:p>
        </w:tc>
        <w:tc>
          <w:tcPr>
            <w:tcW w:w="36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Соблюдение требований пользователями автомобильных дорог, лицами, осуществляющими деятельность в пределах полос отвода и придорожных полос, правил использования полос отвода и придорожных полос, а так же обязанностей при использовании автомобильных дорог в части недопущения повреждения автомобильных дорог и элементов</w:t>
            </w:r>
          </w:p>
        </w:tc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Статья 29 Федерального закона от 08.11.2007 № 257-ФЗ</w:t>
            </w:r>
          </w:p>
        </w:tc>
        <w:tc>
          <w:tcPr>
            <w:tcW w:w="9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3</w:t>
            </w:r>
          </w:p>
        </w:tc>
        <w:tc>
          <w:tcPr>
            <w:tcW w:w="36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Соответствует ли размещение объектов дорожного сервиса в границах полосы отвода автомобильной дороги документации по планировке территории и требованиям технических регламентов?</w:t>
            </w:r>
          </w:p>
        </w:tc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Часть 1 статьи 22 Федерального закона от 08.11.2007 № 257-ФЗ</w:t>
            </w:r>
          </w:p>
        </w:tc>
        <w:tc>
          <w:tcPr>
            <w:tcW w:w="9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09" w:hRule="atLeast"/>
        </w:trPr>
        <w:tc>
          <w:tcPr>
            <w:tcW w:w="5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4</w:t>
            </w:r>
          </w:p>
        </w:tc>
        <w:tc>
          <w:tcPr>
            <w:tcW w:w="36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Произведено ли оборудование подъездов и съездов</w:t>
            </w:r>
          </w:p>
          <w:p>
            <w:pPr>
              <w:pStyle w:val="ConsPlusNormal"/>
              <w:jc w:val="center"/>
              <w:rPr/>
            </w:pPr>
            <w:r>
              <w:rPr/>
              <w:t>при примыкании к автомобильной дороге муниципального значения переходно-скоростными полосами и обустройство таким образом, чтобы обеспечить безопасность дорожного движения?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Статья 22 Федерального закона от 08.11.2007 № 257-ФЗ</w:t>
            </w:r>
          </w:p>
        </w:tc>
        <w:tc>
          <w:tcPr>
            <w:tcW w:w="9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322" w:hRule="atLeast"/>
        </w:trPr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</w:r>
          </w:p>
        </w:tc>
        <w:tc>
          <w:tcPr>
            <w:tcW w:w="36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6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9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</w:tbl>
    <w:p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ConsPlusNormal"/>
        <w:spacing w:before="240" w:after="0"/>
        <w:ind w:firstLine="540"/>
        <w:jc w:val="both"/>
        <w:rPr/>
      </w:pPr>
      <w:r>
        <w:rPr/>
        <w:t>(пояснения и дополнения по контрольным вопросам)</w:t>
      </w:r>
    </w:p>
    <w:p>
      <w:pPr>
        <w:pStyle w:val="ConsPlusNormal"/>
        <w:ind w:firstLine="540"/>
        <w:jc w:val="both"/>
        <w:rPr/>
      </w:pPr>
      <w:r>
        <w:rPr/>
      </w:r>
    </w:p>
    <w:p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 __________________</w:t>
      </w:r>
    </w:p>
    <w:p>
      <w:pPr>
        <w:pStyle w:val="ConsPlusNormal"/>
        <w:spacing w:before="240" w:after="0"/>
        <w:ind w:firstLine="540"/>
        <w:jc w:val="both"/>
        <w:rPr/>
      </w:pPr>
      <w:r>
        <w:rPr/>
        <w:t>(должность и ФИО должностного лица, проводящего (подпись) плановую проверку и заполнившего проверочный лист)</w:t>
      </w:r>
    </w:p>
    <w:p>
      <w:pPr>
        <w:pStyle w:val="ConsPlusNormal"/>
        <w:spacing w:before="240" w:after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 __________________</w:t>
      </w:r>
    </w:p>
    <w:p>
      <w:pPr>
        <w:pStyle w:val="ConsPlusNormal"/>
        <w:spacing w:before="240" w:after="0"/>
        <w:ind w:firstLine="540"/>
        <w:jc w:val="both"/>
        <w:rPr/>
      </w:pPr>
      <w:r>
        <w:rPr/>
        <w:t>(должность и ФИО должностного лица юридического лица, (подпись), ФИО индивидуального предпринимателя присутствовавшего при заполнении проверочного листа)</w:t>
      </w:r>
    </w:p>
    <w:p>
      <w:pPr>
        <w:pStyle w:val="ConsPlusNormal"/>
        <w:ind w:firstLine="540"/>
        <w:jc w:val="both"/>
        <w:rPr/>
      </w:pPr>
      <w:r>
        <w:rPr/>
      </w:r>
    </w:p>
    <w:sectPr>
      <w:headerReference w:type="default" r:id="rId3"/>
      <w:headerReference w:type="first" r:id="rId4"/>
      <w:footerReference w:type="default" r:id="rId5"/>
      <w:footerReference w:type="first" r:id="rId6"/>
      <w:type w:val="nextPage"/>
      <w:pgSz w:w="11906" w:h="16838"/>
      <w:pgMar w:left="1134" w:right="567" w:gutter="0" w:header="0" w:top="1134" w:footer="737" w:bottom="793"/>
      <w:pgNumType w:fmt="decimal"/>
      <w:formProt w:val="false"/>
      <w:titlePg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Courier New">
    <w:charset w:val="cc"/>
    <w:family w:val="modern"/>
    <w:pitch w:val="default"/>
  </w:font>
  <w:font w:name="Arial"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spacing w:before="0" w:after="20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nsPlusNormal"/>
      <w:rPr>
        <w:sz w:val="2"/>
        <w:szCs w:val="2"/>
      </w:rPr>
    </w:pPr>
    <w:r>
      <w:rPr>
        <w:sz w:val="2"/>
        <w:szCs w:val="2"/>
      </w:rPr>
    </w:r>
  </w:p>
  <w:p>
    <w:pPr>
      <w:pStyle w:val="Normal"/>
      <w:spacing w:before="0" w:after="200"/>
      <w:rPr>
        <w:sz w:val="2"/>
        <w:szCs w:val="2"/>
      </w:rPr>
    </w:pPr>
    <w:r>
      <w:rPr>
        <w:sz w:val="2"/>
        <w:szCs w:val="2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spacing w:before="0" w:after="200"/>
      <w:rPr>
        <w:rFonts w:eastAsia="Calibri" w:cs="Calibri"/>
      </w:rPr>
    </w:pPr>
    <w:r>
      <w:rPr>
        <w:rFonts w:eastAsia="Calibri" w:cs="Calibri"/>
      </w:rPr>
      <w:t xml:space="preserve"> 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0"/>
      <w:suppressLineNumbers/>
      <w:spacing w:before="0" w:after="20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character" w:styleId="WW8Num1z0">
    <w:name w:val="WW8Num1z0"/>
    <w:qFormat/>
    <w:rPr>
      <w:rFonts w:cs="Times New Roman"/>
    </w:rPr>
  </w:style>
  <w:style w:type="character" w:styleId="WW8Num2z0">
    <w:name w:val="WW8Num2z0"/>
    <w:qFormat/>
    <w:rPr>
      <w:rFonts w:cs="Times New Roman"/>
    </w:rPr>
  </w:style>
  <w:style w:type="character" w:styleId="Style14">
    <w:name w:val="Основной шрифт абзаца"/>
    <w:qFormat/>
    <w:rPr/>
  </w:style>
  <w:style w:type="character" w:styleId="Style15">
    <w:name w:val="Верхний колонтитул Знак"/>
    <w:basedOn w:val="Style14"/>
    <w:qFormat/>
    <w:rPr>
      <w:rFonts w:cs="Times New Roman"/>
    </w:rPr>
  </w:style>
  <w:style w:type="character" w:styleId="Style16">
    <w:name w:val="Нижний колонтитул Знак"/>
    <w:basedOn w:val="Style14"/>
    <w:qFormat/>
    <w:rPr>
      <w:rFonts w:cs="Times New Roman"/>
    </w:rPr>
  </w:style>
  <w:style w:type="character" w:styleId="Style17">
    <w:name w:val="Номер страницы"/>
    <w:basedOn w:val="Style14"/>
    <w:rPr>
      <w:rFonts w:cs="Times New Roman"/>
    </w:rPr>
  </w:style>
  <w:style w:type="character" w:styleId="Style18">
    <w:name w:val="Текст выноски Знак"/>
    <w:basedOn w:val="Style14"/>
    <w:qFormat/>
    <w:rPr>
      <w:rFonts w:ascii="Tahoma" w:hAnsi="Tahoma" w:cs="Tahoma"/>
      <w:sz w:val="16"/>
      <w:szCs w:val="16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0">
    <w:name w:val="Body Text"/>
    <w:basedOn w:val="Normal"/>
    <w:pPr>
      <w:spacing w:lineRule="auto" w:line="276" w:before="0" w:after="140"/>
    </w:pPr>
    <w:rPr/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4"/>
      <w:szCs w:val="24"/>
      <w:lang w:val="ru-RU" w:bidi="ar-SA" w:eastAsia="zh-CN"/>
    </w:rPr>
  </w:style>
  <w:style w:type="paragraph" w:styleId="ConsPlusCell">
    <w:name w:val="ConsPlusCell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DocList">
    <w:name w:val="ConsPlusDocList"/>
    <w:qFormat/>
    <w:pPr>
      <w:widowControl w:val="false"/>
      <w:autoSpaceDE w:val="false"/>
      <w:bidi w:val="0"/>
    </w:pPr>
    <w:rPr>
      <w:rFonts w:ascii="Tahoma" w:hAnsi="Tahoma" w:eastAsia="Times New Roman" w:cs="Tahoma"/>
      <w:color w:val="auto"/>
      <w:sz w:val="18"/>
      <w:szCs w:val="18"/>
      <w:lang w:val="ru-RU" w:bidi="ar-SA" w:eastAsia="zh-CN"/>
    </w:rPr>
  </w:style>
  <w:style w:type="paragraph" w:styleId="ConsPlusTitlePage">
    <w:name w:val="ConsPlusTitlePage"/>
    <w:qFormat/>
    <w:pPr>
      <w:widowControl w:val="false"/>
      <w:autoSpaceDE w:val="false"/>
      <w:bidi w:val="0"/>
    </w:pPr>
    <w:rPr>
      <w:rFonts w:ascii="Tahoma" w:hAnsi="Tahoma" w:eastAsia="Times New Roman" w:cs="Tahoma"/>
      <w:color w:val="auto"/>
      <w:sz w:val="24"/>
      <w:szCs w:val="24"/>
      <w:lang w:val="ru-RU" w:bidi="ar-SA" w:eastAsia="zh-CN"/>
    </w:rPr>
  </w:style>
  <w:style w:type="paragraph" w:styleId="ConsPlusJurTerm">
    <w:name w:val="ConsPlusJurTerm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TextList">
    <w:name w:val="ConsPlusTextList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TextList1">
    <w:name w:val="ConsPlusTextList1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4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7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Heading1">
    <w:name w:val="Heading 1"/>
    <w:basedOn w:val="Normal"/>
    <w:qFormat/>
    <w:pPr>
      <w:keepNext w:val="true"/>
      <w:numPr>
        <w:ilvl w:val="0"/>
        <w:numId w:val="2"/>
      </w:numPr>
      <w:tabs>
        <w:tab w:val="clear" w:pos="720"/>
      </w:tabs>
      <w:suppressAutoHyphens w:val="true"/>
      <w:spacing w:lineRule="auto" w:line="216" w:before="40" w:after="0"/>
      <w:jc w:val="center"/>
      <w:outlineLvl w:val="0"/>
    </w:pPr>
    <w:rPr>
      <w:rFonts w:ascii="Times New Roman" w:hAnsi="Times New Roman" w:cs="Times New Roman"/>
      <w:b/>
      <w:color w:val="00000A"/>
      <w:kern w:val="2"/>
      <w:sz w:val="32"/>
      <w:szCs w:val="20"/>
      <w:lang w:eastAsia="zh-CN"/>
    </w:rPr>
  </w:style>
  <w:style w:type="paragraph" w:styleId="Heading2">
    <w:name w:val="Heading 2"/>
    <w:basedOn w:val="Normal"/>
    <w:qFormat/>
    <w:pPr>
      <w:keepNext w:val="true"/>
      <w:numPr>
        <w:ilvl w:val="0"/>
        <w:numId w:val="2"/>
      </w:numPr>
      <w:tabs>
        <w:tab w:val="clear" w:pos="720"/>
      </w:tabs>
      <w:suppressAutoHyphens w:val="true"/>
      <w:spacing w:lineRule="auto" w:line="240" w:before="0" w:after="0"/>
      <w:jc w:val="center"/>
      <w:outlineLvl w:val="1"/>
    </w:pPr>
    <w:rPr>
      <w:rFonts w:ascii="Arial" w:hAnsi="Arial" w:cs="Arial"/>
      <w:color w:val="00000A"/>
      <w:sz w:val="24"/>
      <w:szCs w:val="20"/>
      <w:lang w:eastAsia="zh-CN"/>
    </w:rPr>
  </w:style>
  <w:style w:type="paragraph" w:styleId="Heading3">
    <w:name w:val="Heading 3"/>
    <w:basedOn w:val="Normal"/>
    <w:qFormat/>
    <w:pPr>
      <w:keepNext w:val="true"/>
      <w:numPr>
        <w:ilvl w:val="0"/>
        <w:numId w:val="2"/>
      </w:numPr>
      <w:tabs>
        <w:tab w:val="clear" w:pos="720"/>
      </w:tabs>
      <w:suppressAutoHyphens w:val="true"/>
      <w:spacing w:lineRule="auto" w:line="240" w:before="40" w:after="40"/>
      <w:jc w:val="center"/>
      <w:outlineLvl w:val="2"/>
    </w:pPr>
    <w:rPr>
      <w:rFonts w:ascii="Arial" w:hAnsi="Arial" w:cs="Arial"/>
      <w:b/>
      <w:bCs/>
      <w:color w:val="00000A"/>
      <w:szCs w:val="20"/>
      <w:lang w:eastAsia="zh-CN"/>
    </w:rPr>
  </w:style>
  <w:style w:type="paragraph" w:styleId="Style28">
    <w:name w:val="Содержимое таблицы"/>
    <w:basedOn w:val="Normal"/>
    <w:qFormat/>
    <w:pPr>
      <w:widowControl w:val="false"/>
      <w:suppressLineNumbers/>
    </w:pPr>
    <w:rPr/>
  </w:style>
  <w:style w:type="paragraph" w:styleId="Style29">
    <w:name w:val="Заголовок таблицы"/>
    <w:basedOn w:val="Style28"/>
    <w:qFormat/>
    <w:pPr>
      <w:suppressLineNumbers/>
      <w:jc w:val="center"/>
    </w:pPr>
    <w:rPr>
      <w:b/>
      <w:bCs/>
    </w:rPr>
  </w:style>
  <w:style w:type="paragraph" w:styleId="Style30">
    <w:name w:val="Верхний колонтитул слева"/>
    <w:basedOn w:val="Style25"/>
    <w:qFormat/>
    <w:pPr>
      <w:suppressLineNumbers/>
      <w:tabs>
        <w:tab w:val="clear" w:pos="4677"/>
        <w:tab w:val="clear" w:pos="9355"/>
        <w:tab w:val="center" w:pos="5102" w:leader="none"/>
        <w:tab w:val="right" w:pos="10205" w:leader="none"/>
      </w:tabs>
    </w:pPr>
    <w:rPr/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LibreOffice/7.2.2.2$Windows_X86_64 LibreOffice_project/02b2acce88a210515b4a5bb2e46cbfb63fe97d56</Application>
  <AppVersion>15.0000</AppVersion>
  <Pages>4</Pages>
  <Words>684</Words>
  <Characters>6454</Characters>
  <CharactersWithSpaces>7225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2021-11-29T16:24:00Z</dcterms:created>
  <dc:creator>Анна Федоровна</dc:creator>
  <dc:description/>
  <cp:keywords> </cp:keywords>
  <dc:language>ru-RU</dc:language>
  <cp:lastModifiedBy>Admin</cp:lastModifiedBy>
  <cp:lastPrinted>2021-10-21T15:31:00Z</cp:lastPrinted>
  <dcterms:modified xsi:type="dcterms:W3CDTF">2021-11-29T16:24:00Z</dcterms:modified>
  <cp:revision>2</cp:revision>
  <dc:subject/>
  <dc:title>Постановление Администрации муниципального образования "Сенгилеевский район" от 26.03.2021 N 163-п"ОБ УТВЕРЖДЕНИИ ФОРМЫ ПРОВЕРОЧНОГО ЛИСТА ПРИ ОСУЩЕСТВЛЕНИИ МУНИЦИПАЛЬНОГО КОНТРОЛЯ ЗА СОХРАННОСТЬЮ АВТОМОБИЛЬНЫХ ДОРОГ МЕСТНОГО ЗНАЧЕНИЯ В ГРАНИЦАХ НАСЕЛЕННЫ</dc:title>
</cp:coreProperties>
</file>