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72" w:after="0"/>
        <w:ind w:left="1985" w:right="1677" w:hanging="0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                          </w:t>
      </w:r>
      <w:r>
        <w:rPr>
          <w:rFonts w:cs="Times New Roman" w:ascii="Times New Roman" w:hAnsi="Times New Roman"/>
          <w:b/>
          <w:sz w:val="28"/>
          <w:szCs w:val="28"/>
        </w:rPr>
        <w:t xml:space="preserve">АДМИНИСТРАЦИЯ                                 </w:t>
      </w:r>
    </w:p>
    <w:p>
      <w:pPr>
        <w:pStyle w:val="Normal"/>
        <w:spacing w:lineRule="auto" w:line="240" w:before="72" w:after="0"/>
        <w:ind w:left="0" w:right="1677" w:hanging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                      </w:t>
      </w:r>
      <w:r>
        <w:rPr>
          <w:rFonts w:cs="Times New Roman" w:ascii="Times New Roman" w:hAnsi="Times New Roman"/>
          <w:b/>
          <w:sz w:val="28"/>
          <w:szCs w:val="28"/>
        </w:rPr>
        <w:t>ШАРАНГСКОГО  МУНИЦИПАЛЬНОГО  РАЙОНА</w:t>
      </w:r>
    </w:p>
    <w:p>
      <w:pPr>
        <w:pStyle w:val="Normal"/>
        <w:spacing w:lineRule="auto" w:line="240" w:before="72" w:after="0"/>
        <w:ind w:left="1985" w:right="1677" w:hanging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НИЖЕГОРОДСКОЙ  ОБЛАСТИ</w:t>
      </w:r>
    </w:p>
    <w:p>
      <w:pPr>
        <w:pStyle w:val="Normal"/>
        <w:spacing w:lineRule="auto" w:line="240" w:before="72" w:after="0"/>
        <w:ind w:left="1985" w:right="1677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ПОСТАНОВЛЕНИЕ</w:t>
      </w:r>
    </w:p>
    <w:p>
      <w:pPr>
        <w:pStyle w:val="Normal"/>
        <w:tabs>
          <w:tab w:val="clear" w:pos="708"/>
          <w:tab w:val="left" w:pos="4621" w:leader="none"/>
          <w:tab w:val="center" w:pos="5186" w:leader="none"/>
        </w:tabs>
        <w:spacing w:before="72" w:after="200"/>
        <w:ind w:left="1985" w:right="1677" w:hanging="0"/>
        <w:jc w:val="both"/>
        <w:rPr/>
      </w:pPr>
      <w:r>
        <w:rPr>
          <w:b/>
          <w:sz w:val="24"/>
        </w:rPr>
        <w:tab/>
      </w:r>
      <w:r>
        <w:rPr>
          <w:rFonts w:cs="Times New Roman" w:ascii="Times New Roman" w:hAnsi="Times New Roman"/>
          <w:b/>
          <w:sz w:val="28"/>
          <w:szCs w:val="28"/>
        </w:rPr>
        <w:t>Проект</w:t>
        <w:tab/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.2021                                                                                                                       № 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right="5924" w:hanging="0"/>
        <w:jc w:val="both"/>
        <w:outlineLvl w:val="1"/>
        <w:rPr/>
      </w:pPr>
      <w:r>
        <w:rPr>
          <w:rFonts w:cs="Times New Roman" w:ascii="Times New Roman" w:hAnsi="Times New Roman"/>
          <w:sz w:val="28"/>
          <w:szCs w:val="28"/>
        </w:rPr>
        <w:t>Об утверждении Программы профилактики рисков причинения вреда (ущерба) охраняемым</w:t>
      </w:r>
      <w:r>
        <w:rPr>
          <w:rFonts w:cs="Times New Roman" w:ascii="Times New Roman" w:hAnsi="Times New Roman"/>
          <w:color w:val="010101"/>
          <w:sz w:val="28"/>
          <w:szCs w:val="28"/>
        </w:rPr>
        <w:t xml:space="preserve"> законом ценностям в сфере муниципального земельного контроля на территории </w:t>
      </w:r>
      <w:r>
        <w:rPr>
          <w:rFonts w:cs="Times New Roman" w:ascii="Times New Roman" w:hAnsi="Times New Roman"/>
          <w:color w:val="000000"/>
          <w:sz w:val="28"/>
          <w:szCs w:val="28"/>
        </w:rPr>
        <w:t>Шарангского</w:t>
      </w:r>
      <w:r>
        <w:rPr>
          <w:rFonts w:cs="Times New Roman" w:ascii="Times New Roman" w:hAnsi="Times New Roman"/>
          <w:color w:val="010101"/>
          <w:sz w:val="28"/>
          <w:szCs w:val="28"/>
        </w:rPr>
        <w:t xml:space="preserve"> муниципального района Нижегородской области на 2022 год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outlineLvl w:val="1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 w:ascii="Times New Roman" w:hAnsi="Times New Roman"/>
          <w:color w:val="010101"/>
          <w:sz w:val="24"/>
          <w:szCs w:val="24"/>
        </w:rPr>
      </w:r>
    </w:p>
    <w:p>
      <w:pPr>
        <w:pStyle w:val="ConsPlusNormal"/>
        <w:ind w:left="0" w:right="0" w:firstLine="540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/>
          <w:color w:val="010101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соответствии с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Федеральным законом от 31.07.2020 № 248-ФЗ «О государственном контроле (надзоре) и муниципальном контроле в Российской Федерации»</w:t>
      </w:r>
      <w:r>
        <w:rPr>
          <w:rFonts w:cs="Times New Roman" w:ascii="Times New Roman" w:hAnsi="Times New Roman"/>
          <w:color w:val="000000"/>
          <w:sz w:val="28"/>
          <w:szCs w:val="28"/>
        </w:rPr>
        <w:t>, Положением о муниципальном земельном контроле на территории Шарангского муниципального района Нижегородской области, утвержденным решением Земского собрания Шарангского муниципального района</w:t>
      </w:r>
      <w:r>
        <w:rPr>
          <w:rFonts w:cs="Times New Roman" w:ascii="Times New Roman" w:hAnsi="Times New Roman"/>
          <w:sz w:val="28"/>
          <w:szCs w:val="28"/>
        </w:rPr>
        <w:t xml:space="preserve"> Нижегородской области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от 28.10.2021 № 42, </w:t>
      </w:r>
      <w:r>
        <w:rPr>
          <w:rFonts w:cs="Times New Roman" w:ascii="Times New Roman" w:hAnsi="Times New Roman"/>
          <w:sz w:val="28"/>
          <w:szCs w:val="28"/>
        </w:rPr>
        <w:t xml:space="preserve">администрация Шарангского муниципального района Нижегородской области </w:t>
      </w:r>
      <w:r>
        <w:rPr>
          <w:rFonts w:cs="Times New Roman" w:ascii="Times New Roman" w:hAnsi="Times New Roman"/>
          <w:b/>
          <w:sz w:val="28"/>
          <w:szCs w:val="28"/>
        </w:rPr>
        <w:t>п о с т а н о в л я е т</w:t>
      </w:r>
      <w:r>
        <w:rPr>
          <w:rFonts w:cs="Times New Roman" w:ascii="Times New Roman" w:hAnsi="Times New Roman"/>
          <w:sz w:val="28"/>
          <w:szCs w:val="28"/>
        </w:rPr>
        <w:t>:</w:t>
      </w:r>
    </w:p>
    <w:p>
      <w:pPr>
        <w:pStyle w:val="Style26"/>
        <w:numPr>
          <w:ilvl w:val="0"/>
          <w:numId w:val="0"/>
        </w:numPr>
        <w:shd w:fill="FFFFFF" w:val="clear"/>
        <w:spacing w:lineRule="auto" w:line="240" w:before="0" w:after="0"/>
        <w:ind w:left="0" w:right="0" w:firstLine="709"/>
        <w:contextualSpacing/>
        <w:jc w:val="both"/>
        <w:outlineLvl w:val="1"/>
        <w:rPr/>
      </w:pPr>
      <w:r>
        <w:rPr>
          <w:rFonts w:cs="Times New Roman" w:ascii="Times New Roman" w:hAnsi="Times New Roman"/>
          <w:sz w:val="28"/>
          <w:szCs w:val="28"/>
        </w:rPr>
        <w:t>1. Утвердить прилагаемую Программу профилактики рисков причинения вреда (ущерба) охраняемым</w:t>
      </w:r>
      <w:r>
        <w:rPr>
          <w:rFonts w:cs="Times New Roman" w:ascii="Times New Roman" w:hAnsi="Times New Roman"/>
          <w:color w:val="010101"/>
          <w:sz w:val="28"/>
          <w:szCs w:val="28"/>
        </w:rPr>
        <w:t xml:space="preserve"> законом ценностям в сфере муниципального земельного контроля на территории Шарангского муниципального района Нижегородской области на 2022 год.</w:t>
      </w:r>
    </w:p>
    <w:p>
      <w:pPr>
        <w:pStyle w:val="Style26"/>
        <w:numPr>
          <w:ilvl w:val="0"/>
          <w:numId w:val="0"/>
        </w:numPr>
        <w:shd w:fill="FFFFFF" w:val="clear"/>
        <w:spacing w:lineRule="auto" w:line="240" w:before="0" w:after="0"/>
        <w:ind w:left="0" w:right="0" w:firstLine="709"/>
        <w:contextualSpacing/>
        <w:jc w:val="both"/>
        <w:outlineLvl w:val="1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2. Опубликовать настоящее постановление в районной газете «Знамя победы» и разместить его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         </w:t>
      </w:r>
      <w:r>
        <w:rPr>
          <w:rFonts w:cs="Times New Roman" w:ascii="Times New Roman" w:hAnsi="Times New Roman"/>
          <w:sz w:val="28"/>
          <w:szCs w:val="28"/>
        </w:rPr>
        <w:t>3. Настоящее постановление вступает в силу с 1 января 2022 года.</w:t>
      </w:r>
    </w:p>
    <w:p>
      <w:pPr>
        <w:pStyle w:val="Normal"/>
        <w:tabs>
          <w:tab w:val="clear" w:pos="708"/>
          <w:tab w:val="left" w:pos="1166" w:leader="none"/>
        </w:tabs>
        <w:ind w:left="284" w:right="-24" w:hanging="284"/>
        <w:jc w:val="both"/>
        <w:rPr/>
      </w:pPr>
      <w:r>
        <w:rPr>
          <w:rFonts w:eastAsia="Calibri" w:cs="Calibri"/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4. </w:t>
      </w:r>
      <w:r>
        <w:rPr>
          <w:rFonts w:cs="Times New Roman" w:ascii="Times New Roman" w:hAnsi="Times New Roman"/>
          <w:sz w:val="28"/>
          <w:szCs w:val="28"/>
        </w:rPr>
        <w:t>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Новосёлову</w:t>
      </w:r>
      <w:r>
        <w:rPr>
          <w:rFonts w:cs="Times New Roman" w:ascii="Times New Roman" w:hAnsi="Times New Roman"/>
          <w:spacing w:val="-3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Т.В.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sectPr>
          <w:type w:val="nextPage"/>
          <w:pgSz w:w="11906" w:h="16838"/>
          <w:pgMar w:left="1276" w:right="566" w:gutter="0" w:header="0" w:top="1276" w:footer="0" w:bottom="539"/>
          <w:pgNumType w:fmt="decimal"/>
          <w:formProt w:val="false"/>
          <w:textDirection w:val="lrTb"/>
          <w:docGrid w:type="default" w:linePitch="360" w:charSpace="0"/>
        </w:sect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 местного  самоуправления                                                          Д.О. Ожиганов</w:t>
      </w:r>
    </w:p>
    <w:p>
      <w:pPr>
        <w:pStyle w:val="Normal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УТВЕРЖДЕНА</w:t>
      </w:r>
    </w:p>
    <w:p>
      <w:pPr>
        <w:pStyle w:val="Normal"/>
        <w:autoSpaceDE w:val="false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постановлением администрации</w:t>
      </w:r>
    </w:p>
    <w:p>
      <w:pPr>
        <w:pStyle w:val="Normal"/>
        <w:autoSpaceDE w:val="false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Шарангского муниципального района</w:t>
      </w:r>
    </w:p>
    <w:p>
      <w:pPr>
        <w:pStyle w:val="Normal"/>
        <w:autoSpaceDE w:val="false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Нижегородской области</w:t>
      </w:r>
    </w:p>
    <w:p>
      <w:pPr>
        <w:pStyle w:val="Normal"/>
        <w:autoSpaceDE w:val="false"/>
        <w:spacing w:lineRule="auto" w:line="240" w:before="0" w:after="0"/>
        <w:ind w:left="540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от .11.2021 № 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  <w:t>ПРОГРАММА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  <w:t>профилактики рисков причинения вреда (ущерба) охраняемым законом ценностям в сфере муниципального земельного контроля на территории Шарангского муниципального района Нижегородской области на 2022 год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  <w:t>Раздел 1. Общие положения</w:t>
      </w:r>
    </w:p>
    <w:p>
      <w:pPr>
        <w:pStyle w:val="Normal"/>
        <w:shd w:fill="FFFFFF" w:val="clear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Программа профилактики рисков причинения вреда (ущерба) устанавливает порядок проведения профилактических мероприятий, направленных на предупреждение нарушений обязательных требований и (или) причинения вреда (ущерба) охраняемым законом ценностям, соблюдение которых оценивается при осуществлении муниципального земельного контроля на территории Шарангского муниципального района Нижегородской области.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  <w:t>Раздел 2. Аналитическая часть Программы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2.1. Вид осуществляемого муниципального контроля.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Муниципальный земельный контроль на территории Шарангского муниципального района осуществляется отделом экономики и имущественных отношений администрации Шарангского муниципального района Нижегородской области (далее – Отдел).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2.2. Обзор по виду муниципального контроля.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Муниципальный земельный контроль (далее – муниципальный контроль) – деятельность, направленная на предупреждение, выявление и пресечение нарушений обязательных требований земельного законодательства (далее обязательных требований), осуществляемая в пределах полномочий посредством профилактики нарушений обязательных требований, оценки соблюдения гражданами и организациями обязательных требований, выявления нарушений обязательных требований,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2.3. Муниципальный земельный контроль осуществляется посредством: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принятия предусмотренных законодательством Российской Федерации мер по пресечению и (или) устранению выявленных нарушений, а также систематического наблюдения за исполнением обязательных требований;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организации и проведения мероприятий по профилактике рисков причинения вреда (ущерба) охраняемым законом ценностям;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организации и проведения мероприятий по контролю, осуществляемых без взаимодействия с юридическими лицами, индивидуальными предпринимателями.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2.4. Подконтрольные субъекты: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юридические лица, индивидуальные предприниматели и граждане, при осуществлении ими производственной и иной деятельности по использованию земель.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2.5. Перечень правовых актов и их отдельных частей (положений), содержащих обязательные требования, соблюдение которых оценивается при проведении отделом  мероприятий по муниципальному земельному контролю: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-Земельный кодекс Российской Федерации.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2.6. Анализ и оценка рисков причинения вреда охраняемым законом ценностям.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Мониторинг состояния подконтрольных субъектов в сфере земельного законодательства выявил, что ключевыми и наиболее значимыми рисками являются использование земельных участков лицами, не имеющими предусмотренных законодательством Российской Федерации прав на указанные земельные участки, и использование земельных участков не по целевому назначению.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Проведение профилактических мероприятий, направленных на соблюдение подконтрольными субъектами обязательных требований земельного законодательства, на побуждение подконтрольных субъектов к добросовестности, будет способствовать улучшению в целом ситуации, повышению ответственности подконтрольных субъектов, снижению количества выявляемых нарушений обязательных требований, требований, установленных муниципальными правовыми актами в указанной сфере.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  <w:t>Раздел 3. Цели и задачи Программы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3.1. Цели Программы: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стимулирование добросовестного соблюдения обязательных требований всеми контролируемыми лицами;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3.2. Задачи Программы: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повышение прозрачности осуществляемой отделом контрольной деятельности;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- повышение уровня правовой грамотности подконтрольных субъектов, в том числе путем обеспечения доступности информации об обязательных требованиях законодательства и необходимых мерах по их исполнению.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  <w:t>Раздел 4. План мероприятий по профилактике нарушений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Мероприятия Программы представляют собой комплекс мер, направленных на достижение целей и решение основных задач Программы. Перечень мероприятий Программы на 2022 год, сроки (периодичность) их проведения и ответственные структурные подразделения приведены в Плане мероприятий по профилактике нарушений земельного законодательства на 2022 год (приложение к настоящее Программе).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  <w:t>Раздел 5. Порядок управления Программой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Перечень должностных лиц Отдела, ответственных за организацию и проведение профилактических мероприятий при осуществлении муниципального земельного контроля на территории Шарангского муниципального района Нижегородской области.</w:t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 w:ascii="Times New Roman" w:hAnsi="Times New Roman"/>
          <w:color w:val="010101"/>
          <w:sz w:val="24"/>
          <w:szCs w:val="24"/>
        </w:rPr>
      </w:r>
    </w:p>
    <w:tbl>
      <w:tblPr>
        <w:tblW w:w="10221" w:type="dxa"/>
        <w:jc w:val="left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"/>
        <w:gridCol w:w="4084"/>
        <w:gridCol w:w="2773"/>
        <w:gridCol w:w="2971"/>
      </w:tblGrid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№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п/п</w:t>
            </w:r>
          </w:p>
        </w:tc>
        <w:tc>
          <w:tcPr>
            <w:tcW w:w="4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Должностные лица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Функции</w:t>
            </w:r>
          </w:p>
        </w:tc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Контакты</w:t>
            </w:r>
          </w:p>
        </w:tc>
      </w:tr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1.</w:t>
            </w:r>
          </w:p>
        </w:tc>
        <w:tc>
          <w:tcPr>
            <w:tcW w:w="4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32" w:right="0" w:hanging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Должностные лица отдела экономики и имущественных отношений администрации Шарангского муниципального района Нижегородской области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63" w:right="0" w:hanging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Организация и проведение мероприятий по реализации Программы</w:t>
            </w:r>
          </w:p>
        </w:tc>
        <w:tc>
          <w:tcPr>
            <w:tcW w:w="2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 xml:space="preserve">8(83155)2-11-01,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8(83155)2-19-66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Official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@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adm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.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shr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.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nnov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.ru</w:t>
            </w: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 xml:space="preserve"> </w:t>
            </w:r>
          </w:p>
        </w:tc>
      </w:tr>
    </w:tbl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4"/>
          <w:szCs w:val="24"/>
        </w:rPr>
      </w:pPr>
      <w:r>
        <w:rPr>
          <w:rFonts w:cs="Times New Roman" w:ascii="Times New Roman" w:hAnsi="Times New Roman"/>
          <w:color w:val="010101"/>
          <w:sz w:val="24"/>
          <w:szCs w:val="24"/>
        </w:rPr>
      </w:r>
    </w:p>
    <w:p>
      <w:p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Реализация Программы осуществляется путем исполнения организационных и профилактических мероприятий в соответствии с Планом мероприятий по профилактике нарушений при осуществлении муниципального земельного контроля на территории Шарангского муниципального района Нижегородской области на 2022 год.</w:t>
      </w:r>
    </w:p>
    <w:p>
      <w:pPr>
        <w:sectPr>
          <w:type w:val="nextPage"/>
          <w:pgSz w:w="11906" w:h="16838"/>
          <w:pgMar w:left="1134" w:right="567" w:gutter="0" w:header="0" w:top="57" w:footer="0" w:bottom="851"/>
          <w:pgNumType w:fmt="decimal"/>
          <w:formProt w:val="false"/>
          <w:textDirection w:val="lrTb"/>
          <w:docGrid w:type="default" w:linePitch="360" w:charSpace="0"/>
        </w:sectPr>
        <w:pStyle w:val="Normal"/>
        <w:shd w:fill="FFFFFF" w:val="clear"/>
        <w:spacing w:lineRule="auto" w:line="240" w:before="0" w:after="0"/>
        <w:ind w:left="0" w:right="0" w:firstLine="709"/>
        <w:jc w:val="both"/>
        <w:rPr>
          <w:rFonts w:ascii="Times New Roman" w:hAnsi="Times New Roman" w:cs="Times New Roman"/>
          <w:color w:val="010101"/>
          <w:sz w:val="28"/>
          <w:szCs w:val="28"/>
        </w:rPr>
      </w:pPr>
      <w:r>
        <w:rPr>
          <w:rFonts w:cs="Times New Roman" w:ascii="Times New Roman" w:hAnsi="Times New Roman"/>
          <w:color w:val="010101"/>
          <w:sz w:val="28"/>
          <w:szCs w:val="28"/>
        </w:rPr>
        <w:t>Результаты профилактической работы Отдела включаются в доклад об осуществлении муниципального земельного на территории Шарангского муниципального района Нижегородской области на 2022 год.</w:t>
      </w:r>
    </w:p>
    <w:p>
      <w:pPr>
        <w:pStyle w:val="Normal"/>
        <w:shd w:fill="FFFFFF" w:val="clear"/>
        <w:spacing w:lineRule="auto" w:line="240" w:before="0" w:after="0"/>
        <w:ind w:left="10440" w:right="-550" w:hanging="0"/>
        <w:jc w:val="center"/>
        <w:rPr>
          <w:rFonts w:ascii="Times New Roman" w:hAnsi="Times New Roman" w:cs="Times New Roman"/>
          <w:bCs/>
          <w:iCs/>
          <w:color w:val="010101"/>
          <w:sz w:val="28"/>
          <w:szCs w:val="28"/>
        </w:rPr>
      </w:pPr>
      <w:r>
        <w:rPr>
          <w:rFonts w:cs="Times New Roman" w:ascii="Times New Roman" w:hAnsi="Times New Roman"/>
          <w:bCs/>
          <w:iCs/>
          <w:color w:val="010101"/>
          <w:sz w:val="28"/>
          <w:szCs w:val="28"/>
        </w:rPr>
        <w:t>ПРИЛОЖЕНИЕ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10440" w:right="-550" w:hanging="0"/>
        <w:jc w:val="center"/>
        <w:outlineLvl w:val="1"/>
        <w:rPr/>
      </w:pPr>
      <w:r>
        <w:rPr>
          <w:rFonts w:cs="Times New Roman" w:ascii="Times New Roman" w:hAnsi="Times New Roman"/>
          <w:bCs/>
          <w:iCs/>
          <w:color w:val="010101"/>
          <w:sz w:val="28"/>
          <w:szCs w:val="28"/>
        </w:rPr>
        <w:t xml:space="preserve">к Программе </w:t>
      </w:r>
      <w:r>
        <w:rPr>
          <w:rFonts w:cs="Times New Roman" w:ascii="Times New Roman" w:hAnsi="Times New Roman"/>
          <w:color w:val="010101"/>
          <w:sz w:val="28"/>
          <w:szCs w:val="28"/>
        </w:rPr>
        <w:t>профилактики рисков причинения вреда (ущерба) охраняемым законом ценностям в сфере муниципального земельного контроля на территории Шарангского муниципального района Нижегородской области на 2022 год</w:t>
      </w:r>
    </w:p>
    <w:p>
      <w:pPr>
        <w:pStyle w:val="Normal"/>
        <w:shd w:fill="FFFFFF" w:val="clear"/>
        <w:spacing w:lineRule="auto" w:line="240" w:before="0" w:after="0"/>
        <w:rPr>
          <w:rFonts w:ascii="Times New Roman" w:hAnsi="Times New Roman" w:cs="Times New Roman"/>
          <w:bCs/>
          <w:iCs/>
          <w:color w:val="010101"/>
          <w:sz w:val="28"/>
          <w:szCs w:val="28"/>
        </w:rPr>
      </w:pPr>
      <w:r>
        <w:rPr>
          <w:rFonts w:cs="Times New Roman" w:ascii="Times New Roman" w:hAnsi="Times New Roman"/>
          <w:bCs/>
          <w:iCs/>
          <w:color w:val="010101"/>
          <w:sz w:val="28"/>
          <w:szCs w:val="28"/>
        </w:rPr>
      </w:r>
    </w:p>
    <w:p>
      <w:pPr>
        <w:pStyle w:val="Normal"/>
        <w:shd w:fill="FFFFFF" w:val="clear"/>
        <w:spacing w:lineRule="auto" w:line="240" w:before="0" w:after="0"/>
        <w:rPr>
          <w:rFonts w:ascii="Times New Roman" w:hAnsi="Times New Roman" w:cs="Times New Roman"/>
          <w:bCs/>
          <w:iCs/>
          <w:color w:val="010101"/>
          <w:sz w:val="28"/>
          <w:szCs w:val="28"/>
        </w:rPr>
      </w:pPr>
      <w:r>
        <w:rPr>
          <w:rFonts w:cs="Times New Roman" w:ascii="Times New Roman" w:hAnsi="Times New Roman"/>
          <w:bCs/>
          <w:iCs/>
          <w:color w:val="010101"/>
          <w:sz w:val="28"/>
          <w:szCs w:val="28"/>
        </w:rPr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outlineLvl w:val="1"/>
        <w:rPr>
          <w:rFonts w:ascii="Times New Roman" w:hAnsi="Times New Roman" w:cs="Times New Roman"/>
          <w:bCs/>
          <w:iCs/>
          <w:color w:val="010101"/>
          <w:sz w:val="28"/>
          <w:szCs w:val="28"/>
        </w:rPr>
      </w:pPr>
      <w:r>
        <w:rPr>
          <w:rFonts w:cs="Times New Roman" w:ascii="Times New Roman" w:hAnsi="Times New Roman"/>
          <w:bCs/>
          <w:iCs/>
          <w:color w:val="010101"/>
          <w:sz w:val="28"/>
          <w:szCs w:val="28"/>
        </w:rPr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  <w:t>ПЛАН МЕРОПРИЯТИЙ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  <w:t>по профилактике нарушений земельного законодательства на территории</w:t>
        <w:br/>
        <w:t>Шарангского муниципального района Нижегородской области на 2022 год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40" w:before="0" w:after="0"/>
        <w:ind w:left="0" w:hanging="0"/>
        <w:jc w:val="center"/>
        <w:outlineLvl w:val="1"/>
        <w:rPr>
          <w:rFonts w:ascii="Times New Roman" w:hAnsi="Times New Roman" w:cs="Times New Roman"/>
          <w:b/>
          <w:b/>
          <w:color w:val="010101"/>
          <w:sz w:val="28"/>
          <w:szCs w:val="28"/>
        </w:rPr>
      </w:pPr>
      <w:r>
        <w:rPr>
          <w:rFonts w:cs="Times New Roman" w:ascii="Times New Roman" w:hAnsi="Times New Roman"/>
          <w:b/>
          <w:color w:val="010101"/>
          <w:sz w:val="28"/>
          <w:szCs w:val="28"/>
        </w:rPr>
      </w:r>
    </w:p>
    <w:tbl>
      <w:tblPr>
        <w:tblW w:w="14989" w:type="dxa"/>
        <w:jc w:val="left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"/>
        <w:gridCol w:w="3178"/>
        <w:gridCol w:w="7855"/>
        <w:gridCol w:w="2057"/>
        <w:gridCol w:w="1506"/>
      </w:tblGrid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№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п/п</w:t>
            </w:r>
          </w:p>
        </w:tc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7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Сведения о мероприятии</w:t>
            </w:r>
          </w:p>
        </w:tc>
        <w:tc>
          <w:tcPr>
            <w:tcW w:w="2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Ответственный исполнитель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Cs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color w:val="010101"/>
                <w:sz w:val="28"/>
                <w:szCs w:val="28"/>
              </w:rPr>
              <w:t>Срок исполнения</w:t>
            </w:r>
          </w:p>
        </w:tc>
      </w:tr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1.</w:t>
            </w:r>
          </w:p>
        </w:tc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55" w:right="0" w:hanging="0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Информирование</w:t>
            </w:r>
          </w:p>
        </w:tc>
        <w:tc>
          <w:tcPr>
            <w:tcW w:w="7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Отдел осуществляет информирование контролируемых лиц и иных заинтересованных лиц по вопросам соблюдения обязательных требований.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Информирование осуществляется посредством размещения соответствующих сведений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Отдел размещает и поддерживает в актуальном состоянии в своем разделе на официальном сайте администрации Шарангского муниципального района Нижегородской области в информационно-телекоммуникационной сети «Интернет»: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1) тексты нормативных правовых актов, регулирующих осуществление муниципального земельного контроля;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/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2) программу профилактики рисков причинения вреда</w:t>
            </w:r>
            <w:r>
              <w:rPr>
                <w:rFonts w:cs="Times New Roman" w:ascii="Times New Roman" w:hAnsi="Times New Roman"/>
                <w:bCs/>
                <w:iCs/>
                <w:color w:val="010101"/>
                <w:sz w:val="28"/>
                <w:szCs w:val="28"/>
              </w:rPr>
              <w:t xml:space="preserve"> (ущерба)</w:t>
            </w: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bCs/>
                <w:iCs/>
                <w:color w:val="010101"/>
                <w:sz w:val="28"/>
                <w:szCs w:val="28"/>
              </w:rPr>
              <w:t>охраняемым законом ценностям</w:t>
            </w: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3) сведения о способах получения консультаций по вопросам соблюдения обязательных требований;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4) доклады, содержащие результаты обобщения правоприменительной практики;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5) доклады о муниципальном контроле;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6) иные сведения, предусмотренные нормативными правовыми актами Российской Федерации, нормативными правовыми актами субъекта Российской Федерации, муниципальными правовыми актами</w:t>
            </w:r>
          </w:p>
        </w:tc>
        <w:tc>
          <w:tcPr>
            <w:tcW w:w="2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Должностные лица Отдела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В течение года</w:t>
            </w:r>
          </w:p>
        </w:tc>
      </w:tr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2.</w:t>
            </w:r>
          </w:p>
        </w:tc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55" w:right="0" w:hanging="0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Обобщение правоприменительной практики</w:t>
            </w:r>
          </w:p>
        </w:tc>
        <w:tc>
          <w:tcPr>
            <w:tcW w:w="7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Доклад о правоприменительной практике при осуществлении муниципального контроля готовится ежегодно до 1 марта года, следующего за отчетным, подлежит публичному обсуждению.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Доклад о правоприменительной практике размещается на официальном сайте администрации Шарангского муниципального района Нижегородской области в информационно-телекоммуникационной сети «Интернет», до 1 апреля года, следующего за отчетным годом</w:t>
            </w:r>
          </w:p>
        </w:tc>
        <w:tc>
          <w:tcPr>
            <w:tcW w:w="2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Должностные лица Отдела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1 раз в год</w:t>
            </w:r>
          </w:p>
        </w:tc>
      </w:tr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3.</w:t>
            </w:r>
          </w:p>
        </w:tc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55" w:right="0" w:hanging="0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Объявление предостережения</w:t>
            </w:r>
          </w:p>
        </w:tc>
        <w:tc>
          <w:tcPr>
            <w:tcW w:w="7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При наличии у контрольного органа сведений о готовящихся или возможных нарушениях обязательных требований, а также о непосредственных нарушениях обязательных требований, контрольный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Контролируемое лицо вправе после получения предостережения о недопустимости нарушения обязательных требований подать в Отдел возражение в отношении указанного предостережения в срок не позднее 30 дней со дня получения им предостережения. Возражение в отношении предостережения рассматривается Отделом в течение 30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</w:t>
            </w:r>
          </w:p>
        </w:tc>
        <w:tc>
          <w:tcPr>
            <w:tcW w:w="2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Должностные лица Отдела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В течение года</w:t>
            </w:r>
          </w:p>
        </w:tc>
      </w:tr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4.</w:t>
            </w:r>
          </w:p>
        </w:tc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55" w:right="0" w:hanging="0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Консультирование</w:t>
            </w:r>
          </w:p>
        </w:tc>
        <w:tc>
          <w:tcPr>
            <w:tcW w:w="7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Консультирование осуществляется должностными лицами Отдела по телефону, в письменной форме, на личном приеме либо в ходе проведения профилактического мероприятия, контрольного мероприятия. Время консультирования при личном обращении составляет 10 минут.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Консультирование, осуществляется по следующим вопросам: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- разъяснение положений нормативных правовых актов, содержащих обязательные требования, оценка соблюдения которых осуществляется в рамках муниципального контроля;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- разъяснение положений нормативных правовых актов, регламентирующих порядок осуществления муниципального контроля;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- компетенция уполномоченного органа;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- порядок обжалования действий (бездействия) муниципальных инспекторов.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В случае если в течение календарного года поступило 5 и более однотипных (по одним и тем же вопросам) обращений контролируемых лиц и их представителей по указанным вопросам, консультирование осуществляется посредствам размещения на официальном сайте администрации Шарангского муниципального района Нижегородской  области в информационно-телекоммуникационной сети «Интернет», подписанного уполномоченным должностным лицом Отдела</w:t>
            </w:r>
          </w:p>
        </w:tc>
        <w:tc>
          <w:tcPr>
            <w:tcW w:w="2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Должностные лица Отдела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В течение года</w:t>
            </w:r>
          </w:p>
        </w:tc>
      </w:tr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5.</w:t>
            </w:r>
          </w:p>
        </w:tc>
        <w:tc>
          <w:tcPr>
            <w:tcW w:w="3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55" w:right="0" w:hanging="0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Профилактический визит</w:t>
            </w:r>
          </w:p>
        </w:tc>
        <w:tc>
          <w:tcPr>
            <w:tcW w:w="7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/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О проведении обязательного профилактического визита контролируемое лицо уведомляется органом муниципального контроля не позднее, чем за 5 рабочих дней до дня его проведения в письменной форме на бумажном носителе почтовым отправлением либо в форме электронного документа, подписанного электронной подписью, в порядке, установленном частью 4 статьи 21 Федерального закона от 31.07.2020 № 248-ФЗ «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 государственном контроле (надзоре) и муниципальном контроле в Российской Федерации».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Контролируемое лицо вправе отказаться от проведения обязательного профилактического визита, уведомив об этом муниципального инспектора, направившего уведомление о проведении обязательного профилактического визита в письменной форме на бумажном носителе почтовым отправлением либо в форме электронного документа, подписанного электронной подписью, не позднее, чем за 3 рабочих дня до дня его проведения.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Срок проведения профилактического визита определяется муниципальным инспектором самостоятельно и не может превышать 1 рабочий день.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видео-конференц-связи.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В ходе профилактического визита контролируемое лицо информируется об обязательных требованиях, предъявляемых к его деятельности либо к используемым им объектам контроля.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/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В ходе профилактического визита инспектором может осуществляться консультирование контролируемого лица в порядке, установленном пунктом 4 настоящего Плана, а также статьей 50 Федерального закона от 31.07.2020 № 248-ФЗ «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О государственном контроле (надзоре) и муниципальном контроле в Российской Федерации».</w:t>
            </w:r>
          </w:p>
          <w:p>
            <w:pPr>
              <w:pStyle w:val="Normal"/>
              <w:spacing w:lineRule="auto" w:line="240" w:before="0" w:after="0"/>
              <w:ind w:left="115" w:right="180" w:hanging="0"/>
              <w:jc w:val="both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При профилактическом визите контролируемым лицам не выдаются предписания об устранении нарушений обязательных требований. Разъяснения, полученные контролируемым лицом в ходе профилактического визита, носят рекомендательный характер</w:t>
            </w:r>
          </w:p>
        </w:tc>
        <w:tc>
          <w:tcPr>
            <w:tcW w:w="2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Должностные лица Отдела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1010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10101"/>
                <w:sz w:val="28"/>
                <w:szCs w:val="28"/>
              </w:rPr>
              <w:t>В течение года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ambria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2">
    <w:name w:val="Heading 2"/>
    <w:basedOn w:val="Normal"/>
    <w:next w:val="Style19"/>
    <w:qFormat/>
    <w:pPr>
      <w:numPr>
        <w:ilvl w:val="1"/>
        <w:numId w:val="1"/>
      </w:numPr>
      <w:spacing w:lineRule="auto" w:line="240" w:before="280" w:after="280"/>
      <w:outlineLvl w:val="1"/>
    </w:pPr>
    <w:rPr>
      <w:rFonts w:ascii="Times New Roman" w:hAnsi="Times New Roman" w:cs="Times New Roman"/>
      <w:b/>
      <w:bCs/>
      <w:sz w:val="36"/>
      <w:szCs w:val="36"/>
      <w:lang w:val="ru-RU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eastAsia="Calibri"/>
      <w:color w:val="000000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eastAsia="Times New Roman"/>
      <w:color w:val="000000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eastAsia="Times New Roman"/>
      <w:color w:val="000000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2">
    <w:name w:val="Основной шрифт абзаца"/>
    <w:qFormat/>
    <w:rPr/>
  </w:style>
  <w:style w:type="character" w:styleId="21">
    <w:name w:val="Заголовок 2 Знак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Style13">
    <w:name w:val="Интернет-ссылка"/>
    <w:rPr>
      <w:color w:val="0000FF"/>
      <w:u w:val="single"/>
    </w:rPr>
  </w:style>
  <w:style w:type="character" w:styleId="Style14">
    <w:name w:val="Подзаголовок Знак"/>
    <w:qFormat/>
    <w:rPr>
      <w:rFonts w:ascii="Cambria" w:hAnsi="Cambria" w:eastAsia="Times New Roman" w:cs="Mangal"/>
      <w:sz w:val="24"/>
      <w:szCs w:val="21"/>
      <w:lang w:bidi="hi-IN"/>
    </w:rPr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Верхний колонтитул Знак"/>
    <w:basedOn w:val="Style12"/>
    <w:qFormat/>
    <w:rPr>
      <w:sz w:val="22"/>
      <w:szCs w:val="22"/>
    </w:rPr>
  </w:style>
  <w:style w:type="character" w:styleId="Style17">
    <w:name w:val="Нижний колонтитул Знак"/>
    <w:basedOn w:val="Style12"/>
    <w:qFormat/>
    <w:rPr>
      <w:sz w:val="22"/>
      <w:szCs w:val="22"/>
    </w:rPr>
  </w:style>
  <w:style w:type="character" w:styleId="11">
    <w:name w:val="Заголовок 1 Знак"/>
    <w:basedOn w:val="Style12"/>
    <w:qFormat/>
    <w:rPr>
      <w:rFonts w:ascii="Cambria" w:hAnsi="Cambria" w:eastAsia="Times New Roman" w:cs="Times New Roman"/>
      <w:b/>
      <w:bCs/>
      <w:kern w:val="2"/>
      <w:sz w:val="32"/>
      <w:szCs w:val="32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3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Style24">
    <w:name w:val="Subtitle"/>
    <w:basedOn w:val="Normal"/>
    <w:next w:val="Normal"/>
    <w:qFormat/>
    <w:pPr>
      <w:widowControl w:val="false"/>
      <w:suppressAutoHyphens w:val="true"/>
      <w:autoSpaceDE w:val="false"/>
      <w:spacing w:lineRule="auto" w:line="240" w:before="0" w:after="60"/>
      <w:jc w:val="center"/>
      <w:outlineLvl w:val="1"/>
    </w:pPr>
    <w:rPr>
      <w:rFonts w:ascii="Cambria" w:hAnsi="Cambria" w:cs="Mangal"/>
      <w:sz w:val="24"/>
      <w:szCs w:val="21"/>
      <w:lang w:val="ru-RU" w:bidi="hi-IN"/>
    </w:rPr>
  </w:style>
  <w:style w:type="paragraph" w:styleId="ConsPlusNormal">
    <w:name w:val="ConsPlusNormal"/>
    <w:qFormat/>
    <w:pPr>
      <w:widowControl w:val="false"/>
      <w:suppressAutoHyphens w:val="true"/>
      <w:autoSpaceDE w:val="false"/>
      <w:bidi w:val="0"/>
    </w:pPr>
    <w:rPr>
      <w:rFonts w:ascii="Times New Roman" w:hAnsi="Times New Roman" w:eastAsia="Arial" w:cs="Times New Roman"/>
      <w:color w:val="auto"/>
      <w:sz w:val="24"/>
      <w:szCs w:val="20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autoSpaceDE w:val="false"/>
      <w:bidi w:val="0"/>
    </w:pPr>
    <w:rPr>
      <w:rFonts w:ascii="Calibri" w:hAnsi="Calibri" w:eastAsia="Times New Roman" w:cs="Calibri"/>
      <w:b/>
      <w:color w:val="auto"/>
      <w:sz w:val="22"/>
      <w:szCs w:val="20"/>
      <w:lang w:val="ru-RU" w:eastAsia="zh-CN" w:bidi="ar-SA"/>
    </w:rPr>
  </w:style>
  <w:style w:type="paragraph" w:styleId="Style25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6">
    <w:name w:val="Абзац списка"/>
    <w:basedOn w:val="Normal"/>
    <w:qFormat/>
    <w:pPr>
      <w:spacing w:before="0" w:after="200"/>
      <w:ind w:left="720" w:right="0" w:hanging="0"/>
      <w:contextualSpacing/>
    </w:pPr>
    <w:rPr/>
  </w:style>
  <w:style w:type="paragraph" w:styleId="Style27">
    <w:name w:val="Колонтитул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9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30">
    <w:name w:val="Без интервала"/>
    <w:qFormat/>
    <w:pPr>
      <w:widowControl/>
      <w:suppressAutoHyphens w:val="true"/>
      <w:bidi w:val="0"/>
    </w:pPr>
    <w:rPr>
      <w:rFonts w:ascii="Calibri" w:hAnsi="Calibri" w:eastAsia="Times New Roman" w:cs="Times New Roman"/>
      <w:color w:val="auto"/>
      <w:sz w:val="22"/>
      <w:szCs w:val="22"/>
      <w:lang w:val="ru-RU" w:eastAsia="zh-CN" w:bidi="ar-SA"/>
    </w:rPr>
  </w:style>
  <w:style w:type="paragraph" w:styleId="Style31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1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115</TotalTime>
  <Application>LibreOffice/7.2.2.2$Windows_X86_64 LibreOffice_project/02b2acce88a210515b4a5bb2e46cbfb63fe97d56</Application>
  <AppVersion>15.0000</AppVersion>
  <Pages>6</Pages>
  <Words>1578</Words>
  <Characters>12582</Characters>
  <CharactersWithSpaces>14335</CharactersWithSpaces>
  <Paragraphs>123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2021-11-01T10:52:00Z</dcterms:created>
  <dc:creator>юлия</dc:creator>
  <dc:description/>
  <dc:language>ru-RU</dc:language>
  <cp:lastModifiedBy/>
  <cp:lastPrinted>2021-11-19T16:55:00Z</cp:lastPrinted>
  <dcterms:modified xsi:type="dcterms:W3CDTF">2021-11-22T16:09:26Z</dcterms:modified>
  <cp:revision>94</cp:revision>
  <dc:subject/>
  <dc:title/>
</cp:coreProperties>
</file>