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25080A">
        <w:rPr>
          <w:sz w:val="28"/>
          <w:szCs w:val="28"/>
        </w:rPr>
        <w:t>21</w:t>
      </w:r>
      <w:r>
        <w:rPr>
          <w:sz w:val="28"/>
          <w:szCs w:val="28"/>
        </w:rPr>
        <w:t>.</w:t>
      </w:r>
      <w:r w:rsidR="00335CCB">
        <w:rPr>
          <w:sz w:val="28"/>
          <w:szCs w:val="28"/>
        </w:rPr>
        <w:t>10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25080A">
        <w:rPr>
          <w:sz w:val="28"/>
          <w:szCs w:val="28"/>
        </w:rPr>
        <w:t>406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25080A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 утверждении муниципальной программы «Снос расселенных многоквартирных жилых домов в Шарангском муниципальном районе Нижегородской области, признанных аварийными»</w:t>
      </w:r>
      <w:r w:rsidR="000C7E25">
        <w:rPr>
          <w:b/>
          <w:sz w:val="28"/>
          <w:szCs w:val="28"/>
        </w:rPr>
        <w:t xml:space="preserve"> 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25080A" w:rsidRPr="0025080A" w:rsidRDefault="0025080A" w:rsidP="0025080A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080A">
        <w:rPr>
          <w:rFonts w:ascii="Times New Roman" w:hAnsi="Times New Roman" w:cs="Times New Roman"/>
          <w:sz w:val="28"/>
          <w:szCs w:val="28"/>
        </w:rPr>
        <w:t xml:space="preserve">С целью реализации на территории Шарангского муниципального района подпрограммы 13 «Снос расселенных многоквартирных жилых домов в муниципальных образованиях Нижегородской области, признанных аварийными» государственной программы «Развитие жилищного строительства и государственная поддержка граждан по обеспечению жильем на территории Нижегородской области», утвержденной постановлением Правительства Нижегородской области от 30.04.2014 № 302 администрация Шарангского муниципального района </w:t>
      </w:r>
      <w:r w:rsidRPr="0025080A">
        <w:rPr>
          <w:rFonts w:ascii="Times New Roman" w:hAnsi="Times New Roman" w:cs="Times New Roman"/>
          <w:b/>
          <w:sz w:val="28"/>
          <w:szCs w:val="28"/>
        </w:rPr>
        <w:t>п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5080A">
        <w:rPr>
          <w:rFonts w:ascii="Times New Roman" w:hAnsi="Times New Roman" w:cs="Times New Roman"/>
          <w:b/>
          <w:sz w:val="28"/>
          <w:szCs w:val="28"/>
        </w:rPr>
        <w:t>о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5080A">
        <w:rPr>
          <w:rFonts w:ascii="Times New Roman" w:hAnsi="Times New Roman" w:cs="Times New Roman"/>
          <w:b/>
          <w:sz w:val="28"/>
          <w:szCs w:val="28"/>
        </w:rPr>
        <w:t>с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5080A">
        <w:rPr>
          <w:rFonts w:ascii="Times New Roman" w:hAnsi="Times New Roman" w:cs="Times New Roman"/>
          <w:b/>
          <w:sz w:val="28"/>
          <w:szCs w:val="28"/>
        </w:rPr>
        <w:t>т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5080A">
        <w:rPr>
          <w:rFonts w:ascii="Times New Roman" w:hAnsi="Times New Roman" w:cs="Times New Roman"/>
          <w:b/>
          <w:sz w:val="28"/>
          <w:szCs w:val="28"/>
        </w:rPr>
        <w:t>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5080A">
        <w:rPr>
          <w:rFonts w:ascii="Times New Roman" w:hAnsi="Times New Roman" w:cs="Times New Roman"/>
          <w:b/>
          <w:sz w:val="28"/>
          <w:szCs w:val="28"/>
        </w:rPr>
        <w:t>н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5080A">
        <w:rPr>
          <w:rFonts w:ascii="Times New Roman" w:hAnsi="Times New Roman" w:cs="Times New Roman"/>
          <w:b/>
          <w:sz w:val="28"/>
          <w:szCs w:val="28"/>
        </w:rPr>
        <w:t>о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5080A">
        <w:rPr>
          <w:rFonts w:ascii="Times New Roman" w:hAnsi="Times New Roman" w:cs="Times New Roman"/>
          <w:b/>
          <w:sz w:val="28"/>
          <w:szCs w:val="28"/>
        </w:rPr>
        <w:t>в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5080A">
        <w:rPr>
          <w:rFonts w:ascii="Times New Roman" w:hAnsi="Times New Roman" w:cs="Times New Roman"/>
          <w:b/>
          <w:sz w:val="28"/>
          <w:szCs w:val="28"/>
        </w:rPr>
        <w:t>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5080A">
        <w:rPr>
          <w:rFonts w:ascii="Times New Roman" w:hAnsi="Times New Roman" w:cs="Times New Roman"/>
          <w:b/>
          <w:sz w:val="28"/>
          <w:szCs w:val="28"/>
        </w:rPr>
        <w:t>я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5080A">
        <w:rPr>
          <w:rFonts w:ascii="Times New Roman" w:hAnsi="Times New Roman" w:cs="Times New Roman"/>
          <w:b/>
          <w:sz w:val="28"/>
          <w:szCs w:val="28"/>
        </w:rPr>
        <w:t>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Start w:id="0" w:name="_GoBack"/>
      <w:bookmarkEnd w:id="0"/>
      <w:r w:rsidRPr="0025080A">
        <w:rPr>
          <w:rFonts w:ascii="Times New Roman" w:hAnsi="Times New Roman" w:cs="Times New Roman"/>
          <w:b/>
          <w:sz w:val="28"/>
          <w:szCs w:val="28"/>
        </w:rPr>
        <w:t>т:</w:t>
      </w:r>
    </w:p>
    <w:p w:rsidR="0025080A" w:rsidRPr="0025080A" w:rsidRDefault="0025080A" w:rsidP="0025080A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080A">
        <w:rPr>
          <w:rFonts w:ascii="Times New Roman" w:hAnsi="Times New Roman" w:cs="Times New Roman"/>
          <w:sz w:val="28"/>
          <w:szCs w:val="28"/>
        </w:rPr>
        <w:t>1.Утвердить прилагаемую муниципальную программу «Снос расселенных многоквартирных жилых домов в Шарангском муниципальном районе Нижегородской области, признанных аварийными».</w:t>
      </w:r>
    </w:p>
    <w:p w:rsidR="00B3118B" w:rsidRPr="0025080A" w:rsidRDefault="0025080A" w:rsidP="0025080A">
      <w:pPr>
        <w:pStyle w:val="1"/>
        <w:spacing w:before="0" w:after="0" w:line="360" w:lineRule="auto"/>
        <w:ind w:firstLine="709"/>
        <w:jc w:val="both"/>
        <w:rPr>
          <w:rFonts w:ascii="Times New Roman" w:hAnsi="Times New Roman" w:cs="Times New Roman"/>
        </w:rPr>
      </w:pPr>
      <w:r w:rsidRPr="0025080A">
        <w:rPr>
          <w:rFonts w:ascii="Times New Roman" w:hAnsi="Times New Roman" w:cs="Times New Roman"/>
        </w:rPr>
        <w:t>2. Контроль за исполнением настоящего постановления возложить на заместителя главы администрации Шарангского муниципального района А.В.Медведеву.</w:t>
      </w:r>
    </w:p>
    <w:p w:rsidR="00B3118B" w:rsidRDefault="00B3118B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>Д.О. Ожиганов</w:t>
      </w:r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25080A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С.В. Баженова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25080A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Зав.орг.-прав.отделом</w:t>
      </w:r>
    </w:p>
    <w:p w:rsidR="0025080A" w:rsidRPr="0025080A" w:rsidRDefault="0025080A" w:rsidP="0025080A">
      <w:pPr>
        <w:ind w:left="4479"/>
        <w:jc w:val="center"/>
        <w:rPr>
          <w:bCs/>
          <w:color w:val="000000"/>
          <w:sz w:val="22"/>
          <w:szCs w:val="22"/>
          <w:lang w:eastAsia="ru-RU"/>
        </w:rPr>
      </w:pPr>
      <w:r w:rsidRPr="0025080A">
        <w:rPr>
          <w:bCs/>
          <w:color w:val="000000"/>
          <w:sz w:val="22"/>
          <w:szCs w:val="22"/>
          <w:lang w:eastAsia="ru-RU"/>
        </w:rPr>
        <w:lastRenderedPageBreak/>
        <w:t>Утверждена</w:t>
      </w:r>
    </w:p>
    <w:p w:rsidR="0025080A" w:rsidRPr="0025080A" w:rsidRDefault="0025080A" w:rsidP="0025080A">
      <w:pPr>
        <w:ind w:left="4479"/>
        <w:jc w:val="center"/>
        <w:rPr>
          <w:bCs/>
          <w:color w:val="000000"/>
          <w:sz w:val="22"/>
          <w:szCs w:val="22"/>
          <w:lang w:eastAsia="ru-RU"/>
        </w:rPr>
      </w:pPr>
      <w:r w:rsidRPr="0025080A">
        <w:rPr>
          <w:bCs/>
          <w:color w:val="000000"/>
          <w:sz w:val="22"/>
          <w:szCs w:val="22"/>
          <w:lang w:eastAsia="ru-RU"/>
        </w:rPr>
        <w:t>постановлением администрации</w:t>
      </w:r>
    </w:p>
    <w:p w:rsidR="0025080A" w:rsidRPr="0025080A" w:rsidRDefault="0025080A" w:rsidP="0025080A">
      <w:pPr>
        <w:ind w:left="4479"/>
        <w:jc w:val="center"/>
        <w:rPr>
          <w:bCs/>
          <w:color w:val="000000"/>
          <w:sz w:val="22"/>
          <w:szCs w:val="22"/>
          <w:lang w:eastAsia="ru-RU"/>
        </w:rPr>
      </w:pPr>
      <w:r w:rsidRPr="0025080A">
        <w:rPr>
          <w:bCs/>
          <w:color w:val="000000"/>
          <w:sz w:val="22"/>
          <w:szCs w:val="22"/>
          <w:lang w:eastAsia="ru-RU"/>
        </w:rPr>
        <w:t>Шарангского муниципального района</w:t>
      </w:r>
    </w:p>
    <w:p w:rsidR="0025080A" w:rsidRPr="0025080A" w:rsidRDefault="0025080A" w:rsidP="0025080A">
      <w:pPr>
        <w:ind w:left="4479"/>
        <w:jc w:val="center"/>
        <w:rPr>
          <w:bCs/>
          <w:color w:val="000000"/>
          <w:sz w:val="22"/>
          <w:szCs w:val="22"/>
          <w:lang w:eastAsia="ru-RU"/>
        </w:rPr>
      </w:pPr>
      <w:r w:rsidRPr="0025080A">
        <w:rPr>
          <w:bCs/>
          <w:color w:val="000000"/>
          <w:sz w:val="22"/>
          <w:szCs w:val="22"/>
          <w:lang w:eastAsia="ru-RU"/>
        </w:rPr>
        <w:t xml:space="preserve">от </w:t>
      </w:r>
      <w:r>
        <w:rPr>
          <w:bCs/>
          <w:color w:val="000000"/>
          <w:sz w:val="22"/>
          <w:szCs w:val="22"/>
          <w:lang w:eastAsia="ru-RU"/>
        </w:rPr>
        <w:t xml:space="preserve">21.10.2022 </w:t>
      </w:r>
      <w:r w:rsidRPr="0025080A">
        <w:rPr>
          <w:bCs/>
          <w:color w:val="000000"/>
          <w:sz w:val="22"/>
          <w:szCs w:val="22"/>
          <w:lang w:eastAsia="ru-RU"/>
        </w:rPr>
        <w:t xml:space="preserve">№ </w:t>
      </w:r>
      <w:r>
        <w:rPr>
          <w:bCs/>
          <w:color w:val="000000"/>
          <w:sz w:val="22"/>
          <w:szCs w:val="22"/>
          <w:lang w:eastAsia="ru-RU"/>
        </w:rPr>
        <w:t>406</w:t>
      </w:r>
    </w:p>
    <w:p w:rsidR="0025080A" w:rsidRPr="0025080A" w:rsidRDefault="0025080A" w:rsidP="0025080A">
      <w:pPr>
        <w:jc w:val="center"/>
        <w:rPr>
          <w:bCs/>
          <w:color w:val="000000"/>
          <w:sz w:val="22"/>
          <w:szCs w:val="22"/>
          <w:lang w:eastAsia="ru-RU"/>
        </w:rPr>
      </w:pPr>
    </w:p>
    <w:p w:rsidR="0025080A" w:rsidRPr="0025080A" w:rsidRDefault="0025080A" w:rsidP="0025080A">
      <w:pPr>
        <w:jc w:val="center"/>
        <w:rPr>
          <w:rFonts w:ascii="Arial" w:hAnsi="Arial" w:cs="Arial"/>
          <w:b/>
          <w:bCs/>
          <w:color w:val="000000"/>
          <w:sz w:val="24"/>
          <w:szCs w:val="24"/>
          <w:lang w:eastAsia="ru-RU"/>
        </w:rPr>
      </w:pPr>
      <w:r w:rsidRPr="0025080A">
        <w:rPr>
          <w:b/>
          <w:bCs/>
          <w:color w:val="000000"/>
          <w:sz w:val="24"/>
          <w:szCs w:val="24"/>
          <w:lang w:eastAsia="ru-RU"/>
        </w:rPr>
        <w:t xml:space="preserve">Муниципальная программа </w:t>
      </w:r>
    </w:p>
    <w:p w:rsidR="0025080A" w:rsidRPr="0025080A" w:rsidRDefault="0025080A" w:rsidP="0025080A">
      <w:pPr>
        <w:jc w:val="center"/>
        <w:rPr>
          <w:rFonts w:ascii="Arial" w:hAnsi="Arial" w:cs="Arial"/>
          <w:b/>
          <w:bCs/>
          <w:color w:val="000000"/>
          <w:sz w:val="24"/>
          <w:szCs w:val="24"/>
          <w:lang w:eastAsia="ru-RU"/>
        </w:rPr>
      </w:pPr>
      <w:r w:rsidRPr="0025080A">
        <w:rPr>
          <w:b/>
          <w:bCs/>
          <w:color w:val="000000"/>
          <w:sz w:val="24"/>
          <w:szCs w:val="24"/>
          <w:lang w:eastAsia="ru-RU"/>
        </w:rPr>
        <w:t>«</w:t>
      </w:r>
      <w:r w:rsidRPr="0025080A">
        <w:rPr>
          <w:b/>
          <w:sz w:val="24"/>
          <w:szCs w:val="24"/>
        </w:rPr>
        <w:t>Снос расселенных многоквартирных жилых домов в Шарангском муниципальном районе Нижегородской области, признанных аварийными</w:t>
      </w:r>
      <w:r w:rsidRPr="0025080A">
        <w:rPr>
          <w:b/>
          <w:bCs/>
          <w:color w:val="000000"/>
          <w:sz w:val="24"/>
          <w:szCs w:val="24"/>
          <w:lang w:eastAsia="ru-RU"/>
        </w:rPr>
        <w:t>»</w:t>
      </w:r>
    </w:p>
    <w:p w:rsidR="0025080A" w:rsidRPr="0025080A" w:rsidRDefault="0025080A" w:rsidP="0025080A">
      <w:pPr>
        <w:jc w:val="center"/>
        <w:rPr>
          <w:b/>
          <w:bCs/>
          <w:color w:val="000000"/>
          <w:sz w:val="24"/>
          <w:szCs w:val="24"/>
          <w:lang w:eastAsia="ru-RU"/>
        </w:rPr>
      </w:pPr>
      <w:r w:rsidRPr="0025080A">
        <w:rPr>
          <w:b/>
          <w:bCs/>
          <w:color w:val="000000"/>
          <w:sz w:val="24"/>
          <w:szCs w:val="24"/>
          <w:lang w:eastAsia="ru-RU"/>
        </w:rPr>
        <w:t>(далее – Программа)</w:t>
      </w:r>
    </w:p>
    <w:p w:rsidR="0025080A" w:rsidRPr="0025080A" w:rsidRDefault="0025080A" w:rsidP="0025080A">
      <w:pPr>
        <w:jc w:val="center"/>
        <w:rPr>
          <w:color w:val="000000"/>
          <w:sz w:val="24"/>
          <w:szCs w:val="24"/>
        </w:rPr>
      </w:pPr>
    </w:p>
    <w:p w:rsidR="0025080A" w:rsidRPr="0025080A" w:rsidRDefault="0025080A" w:rsidP="0025080A">
      <w:pPr>
        <w:pStyle w:val="ae"/>
        <w:numPr>
          <w:ilvl w:val="0"/>
          <w:numId w:val="3"/>
        </w:numPr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25080A">
        <w:rPr>
          <w:rFonts w:ascii="Times New Roman" w:hAnsi="Times New Roman"/>
          <w:b/>
          <w:color w:val="000000"/>
          <w:sz w:val="24"/>
          <w:szCs w:val="24"/>
        </w:rPr>
        <w:t>Паспорт Программы</w:t>
      </w:r>
    </w:p>
    <w:tbl>
      <w:tblPr>
        <w:tblW w:w="9787" w:type="dxa"/>
        <w:tblInd w:w="67" w:type="dxa"/>
        <w:tblLook w:val="04A0" w:firstRow="1" w:lastRow="0" w:firstColumn="1" w:lastColumn="0" w:noHBand="0" w:noVBand="1"/>
      </w:tblPr>
      <w:tblGrid>
        <w:gridCol w:w="2126"/>
        <w:gridCol w:w="1925"/>
        <w:gridCol w:w="628"/>
        <w:gridCol w:w="762"/>
        <w:gridCol w:w="1412"/>
        <w:gridCol w:w="380"/>
        <w:gridCol w:w="1021"/>
        <w:gridCol w:w="1533"/>
      </w:tblGrid>
      <w:tr w:rsidR="0025080A" w:rsidRPr="0025080A" w:rsidTr="0025080A"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5080A" w:rsidRPr="0025080A" w:rsidRDefault="0025080A">
            <w:pPr>
              <w:jc w:val="both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>Наименование Программы</w:t>
            </w:r>
          </w:p>
          <w:p w:rsidR="0025080A" w:rsidRPr="0025080A" w:rsidRDefault="0025080A">
            <w:pPr>
              <w:jc w:val="both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</w:p>
        </w:tc>
        <w:tc>
          <w:tcPr>
            <w:tcW w:w="766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80A" w:rsidRPr="0025080A" w:rsidRDefault="0025080A">
            <w:pPr>
              <w:spacing w:line="228" w:lineRule="auto"/>
              <w:jc w:val="both"/>
              <w:rPr>
                <w:color w:val="000000"/>
                <w:kern w:val="2"/>
                <w:sz w:val="24"/>
                <w:szCs w:val="24"/>
                <w:lang w:bidi="hi-IN"/>
              </w:rPr>
            </w:pPr>
            <w:r w:rsidRPr="0025080A">
              <w:rPr>
                <w:bCs/>
                <w:color w:val="000000"/>
                <w:kern w:val="2"/>
                <w:sz w:val="24"/>
                <w:szCs w:val="24"/>
                <w:lang w:bidi="hi-IN"/>
              </w:rPr>
              <w:t>Муниципальная программа «</w:t>
            </w:r>
            <w:r w:rsidRPr="0025080A">
              <w:rPr>
                <w:color w:val="000000"/>
                <w:kern w:val="2"/>
                <w:sz w:val="24"/>
                <w:szCs w:val="24"/>
                <w:lang w:bidi="hi-IN"/>
              </w:rPr>
              <w:t>Снос расселенных многоквартирных жилых домов в Шарангском муниципальном районе Нижегородской области, признанных аварийными</w:t>
            </w:r>
            <w:r w:rsidRPr="0025080A">
              <w:rPr>
                <w:bCs/>
                <w:color w:val="000000"/>
                <w:kern w:val="2"/>
                <w:sz w:val="24"/>
                <w:szCs w:val="24"/>
                <w:lang w:bidi="hi-IN"/>
              </w:rPr>
              <w:t>»</w:t>
            </w:r>
          </w:p>
        </w:tc>
      </w:tr>
      <w:tr w:rsidR="0025080A" w:rsidRPr="0025080A" w:rsidTr="0025080A"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jc w:val="both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>Основание для разработки Программы</w:t>
            </w:r>
          </w:p>
        </w:tc>
        <w:tc>
          <w:tcPr>
            <w:tcW w:w="766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80A" w:rsidRPr="0025080A" w:rsidRDefault="0025080A">
            <w:pPr>
              <w:spacing w:line="228" w:lineRule="auto"/>
              <w:jc w:val="both"/>
              <w:rPr>
                <w:color w:val="000000"/>
                <w:kern w:val="2"/>
                <w:sz w:val="24"/>
                <w:szCs w:val="24"/>
                <w:lang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>Государственная программа «Развитие жилищного строительства и государственная поддержка граждан по обеспечению жильем на территории Нижегородской области», утвержденной постановлением Правительства Нижегородской области от 30.04.2014 № 302</w:t>
            </w:r>
          </w:p>
        </w:tc>
      </w:tr>
      <w:tr w:rsidR="0025080A" w:rsidRPr="0025080A" w:rsidTr="0025080A"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spacing w:line="228" w:lineRule="auto"/>
              <w:jc w:val="both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>Муниципальный заказчик Программы</w:t>
            </w:r>
          </w:p>
        </w:tc>
        <w:tc>
          <w:tcPr>
            <w:tcW w:w="766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80A" w:rsidRPr="0025080A" w:rsidRDefault="0025080A">
            <w:pPr>
              <w:jc w:val="both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>Администрация Шарангского муниципального района</w:t>
            </w:r>
          </w:p>
        </w:tc>
      </w:tr>
      <w:tr w:rsidR="0025080A" w:rsidRPr="0025080A" w:rsidTr="0025080A"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jc w:val="both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>Разработчик Программы</w:t>
            </w:r>
          </w:p>
        </w:tc>
        <w:tc>
          <w:tcPr>
            <w:tcW w:w="766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80A" w:rsidRPr="0025080A" w:rsidRDefault="0025080A">
            <w:pPr>
              <w:jc w:val="both"/>
              <w:rPr>
                <w:color w:val="000000"/>
                <w:kern w:val="2"/>
                <w:sz w:val="24"/>
                <w:szCs w:val="24"/>
                <w:lang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bidi="hi-IN"/>
              </w:rPr>
              <w:t xml:space="preserve"> Отдел по управлению муниципальным имуществом администрации Шарангского муниципального района</w:t>
            </w:r>
          </w:p>
        </w:tc>
      </w:tr>
      <w:tr w:rsidR="0025080A" w:rsidRPr="0025080A" w:rsidTr="0025080A"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5080A" w:rsidRPr="0025080A" w:rsidRDefault="0025080A">
            <w:pPr>
              <w:jc w:val="both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>Цель Программы</w:t>
            </w:r>
          </w:p>
          <w:p w:rsidR="0025080A" w:rsidRPr="0025080A" w:rsidRDefault="0025080A">
            <w:pPr>
              <w:jc w:val="both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</w:p>
        </w:tc>
        <w:tc>
          <w:tcPr>
            <w:tcW w:w="766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80A" w:rsidRPr="0025080A" w:rsidRDefault="0025080A">
            <w:pPr>
              <w:spacing w:line="228" w:lineRule="auto"/>
              <w:jc w:val="both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>Создание благоприятных и безопасных условий для проживания, а также повышение качества и условий жизни населения Шарангского муниципального района Нижегородской области</w:t>
            </w:r>
          </w:p>
        </w:tc>
      </w:tr>
      <w:tr w:rsidR="0025080A" w:rsidRPr="0025080A" w:rsidTr="0025080A"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5080A" w:rsidRPr="0025080A" w:rsidRDefault="0025080A">
            <w:pPr>
              <w:jc w:val="both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>Задачи Программы</w:t>
            </w:r>
          </w:p>
          <w:p w:rsidR="0025080A" w:rsidRPr="0025080A" w:rsidRDefault="0025080A">
            <w:pPr>
              <w:jc w:val="both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</w:p>
        </w:tc>
        <w:tc>
          <w:tcPr>
            <w:tcW w:w="766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80A" w:rsidRPr="0025080A" w:rsidRDefault="0025080A">
            <w:pPr>
              <w:spacing w:line="228" w:lineRule="auto"/>
              <w:jc w:val="both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>1. Снос расселенных многоквартирных жилых домов в Шарангском муниципальном районе Нижегородской области, признанных аварийными;</w:t>
            </w:r>
          </w:p>
          <w:p w:rsidR="0025080A" w:rsidRPr="0025080A" w:rsidRDefault="0025080A">
            <w:pPr>
              <w:spacing w:line="228" w:lineRule="auto"/>
              <w:jc w:val="both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>2. Освобождение территорий для строительства жилищных, социальных, коммунальных объектов, а также спортивных площадок и пешеходных пространств</w:t>
            </w:r>
          </w:p>
        </w:tc>
      </w:tr>
      <w:tr w:rsidR="0025080A" w:rsidRPr="0025080A" w:rsidTr="0025080A"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jc w:val="both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>Этапы и сроки реализации Программы</w:t>
            </w:r>
          </w:p>
        </w:tc>
        <w:tc>
          <w:tcPr>
            <w:tcW w:w="766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80A" w:rsidRPr="0025080A" w:rsidRDefault="0025080A">
            <w:pPr>
              <w:jc w:val="both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>2022 - 2024 годы, в том числе:</w:t>
            </w:r>
          </w:p>
          <w:p w:rsidR="0025080A" w:rsidRPr="0025080A" w:rsidRDefault="0025080A">
            <w:pPr>
              <w:jc w:val="both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 xml:space="preserve">Программа реализуется в один этап </w:t>
            </w:r>
          </w:p>
        </w:tc>
      </w:tr>
      <w:tr w:rsidR="0025080A" w:rsidRPr="0025080A" w:rsidTr="0025080A">
        <w:tc>
          <w:tcPr>
            <w:tcW w:w="21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25080A" w:rsidRPr="0025080A" w:rsidRDefault="0025080A">
            <w:pPr>
              <w:jc w:val="both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>Объем и источники финансирования Программы</w:t>
            </w:r>
          </w:p>
          <w:p w:rsidR="0025080A" w:rsidRPr="0025080A" w:rsidRDefault="0025080A">
            <w:pPr>
              <w:jc w:val="both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</w:p>
        </w:tc>
        <w:tc>
          <w:tcPr>
            <w:tcW w:w="766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80A" w:rsidRPr="0025080A" w:rsidRDefault="0025080A">
            <w:pPr>
              <w:jc w:val="right"/>
              <w:rPr>
                <w:color w:val="000000"/>
                <w:kern w:val="2"/>
                <w:sz w:val="24"/>
                <w:szCs w:val="24"/>
                <w:lang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bidi="hi-IN"/>
              </w:rPr>
              <w:t>тысяч рублей</w:t>
            </w:r>
          </w:p>
        </w:tc>
      </w:tr>
      <w:tr w:rsidR="0025080A" w:rsidRPr="0025080A" w:rsidTr="0025080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spacing w:line="228" w:lineRule="auto"/>
              <w:jc w:val="both"/>
              <w:rPr>
                <w:color w:val="000000"/>
                <w:kern w:val="2"/>
                <w:sz w:val="24"/>
                <w:szCs w:val="24"/>
                <w:lang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bidi="hi-IN"/>
              </w:rPr>
              <w:t>Источники финансирования</w:t>
            </w:r>
          </w:p>
        </w:tc>
        <w:tc>
          <w:tcPr>
            <w:tcW w:w="1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bidi="hi-IN"/>
              </w:rPr>
              <w:t>2022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bidi="hi-IN"/>
              </w:rPr>
              <w:t>2023</w:t>
            </w:r>
          </w:p>
        </w:tc>
        <w:tc>
          <w:tcPr>
            <w:tcW w:w="1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bidi="hi-IN"/>
              </w:rPr>
              <w:t>2024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80A" w:rsidRPr="0025080A" w:rsidRDefault="0025080A">
            <w:pPr>
              <w:jc w:val="center"/>
              <w:rPr>
                <w:b/>
                <w:color w:val="000000"/>
                <w:kern w:val="2"/>
                <w:sz w:val="24"/>
                <w:szCs w:val="24"/>
                <w:lang w:bidi="hi-IN"/>
              </w:rPr>
            </w:pPr>
            <w:r w:rsidRPr="0025080A">
              <w:rPr>
                <w:b/>
                <w:color w:val="000000"/>
                <w:kern w:val="2"/>
                <w:sz w:val="24"/>
                <w:szCs w:val="24"/>
                <w:lang w:bidi="hi-IN"/>
              </w:rPr>
              <w:t>Итого</w:t>
            </w:r>
          </w:p>
        </w:tc>
      </w:tr>
      <w:tr w:rsidR="0025080A" w:rsidRPr="0025080A" w:rsidTr="0025080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spacing w:line="228" w:lineRule="auto"/>
              <w:jc w:val="both"/>
              <w:rPr>
                <w:color w:val="000000"/>
                <w:kern w:val="2"/>
                <w:sz w:val="24"/>
                <w:szCs w:val="24"/>
                <w:lang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bidi="hi-IN"/>
              </w:rPr>
              <w:t>Областной бюджет</w:t>
            </w:r>
          </w:p>
        </w:tc>
        <w:tc>
          <w:tcPr>
            <w:tcW w:w="1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80A" w:rsidRPr="0025080A" w:rsidRDefault="0025080A">
            <w:pPr>
              <w:jc w:val="center"/>
              <w:rPr>
                <w:b/>
                <w:color w:val="000000"/>
                <w:kern w:val="2"/>
                <w:sz w:val="24"/>
                <w:szCs w:val="24"/>
                <w:lang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25080A" w:rsidRPr="0025080A" w:rsidTr="0025080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spacing w:line="228" w:lineRule="auto"/>
              <w:jc w:val="both"/>
              <w:rPr>
                <w:color w:val="000000"/>
                <w:kern w:val="2"/>
                <w:sz w:val="24"/>
                <w:szCs w:val="24"/>
                <w:lang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bidi="hi-IN"/>
              </w:rPr>
              <w:t>Местный бюджет</w:t>
            </w:r>
          </w:p>
        </w:tc>
        <w:tc>
          <w:tcPr>
            <w:tcW w:w="1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bidi="hi-IN"/>
              </w:rPr>
              <w:t>79,60</w:t>
            </w:r>
          </w:p>
        </w:tc>
        <w:tc>
          <w:tcPr>
            <w:tcW w:w="1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80A" w:rsidRPr="0025080A" w:rsidRDefault="0025080A">
            <w:pPr>
              <w:jc w:val="center"/>
              <w:rPr>
                <w:b/>
                <w:color w:val="000000"/>
                <w:kern w:val="2"/>
                <w:sz w:val="24"/>
                <w:szCs w:val="24"/>
                <w:lang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bidi="hi-IN"/>
              </w:rPr>
              <w:t>79,60</w:t>
            </w:r>
          </w:p>
        </w:tc>
      </w:tr>
      <w:tr w:rsidR="0025080A" w:rsidRPr="0025080A" w:rsidTr="0025080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25080A" w:rsidRPr="0025080A" w:rsidRDefault="0025080A">
            <w:pPr>
              <w:spacing w:line="228" w:lineRule="auto"/>
              <w:jc w:val="both"/>
              <w:rPr>
                <w:b/>
                <w:color w:val="000000"/>
                <w:kern w:val="2"/>
                <w:sz w:val="24"/>
                <w:szCs w:val="24"/>
                <w:lang w:bidi="hi-IN"/>
              </w:rPr>
            </w:pPr>
            <w:r w:rsidRPr="0025080A">
              <w:rPr>
                <w:b/>
                <w:color w:val="000000"/>
                <w:kern w:val="2"/>
                <w:sz w:val="24"/>
                <w:szCs w:val="24"/>
                <w:lang w:bidi="hi-IN"/>
              </w:rPr>
              <w:t xml:space="preserve">Итого </w:t>
            </w:r>
          </w:p>
        </w:tc>
        <w:tc>
          <w:tcPr>
            <w:tcW w:w="1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25080A" w:rsidRPr="0025080A" w:rsidRDefault="0025080A">
            <w:pPr>
              <w:jc w:val="center"/>
              <w:rPr>
                <w:b/>
                <w:color w:val="000000"/>
                <w:kern w:val="2"/>
                <w:sz w:val="24"/>
                <w:szCs w:val="24"/>
                <w:lang w:bidi="hi-IN"/>
              </w:rPr>
            </w:pPr>
            <w:r w:rsidRPr="0025080A">
              <w:rPr>
                <w:b/>
                <w:color w:val="000000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25080A" w:rsidRPr="0025080A" w:rsidRDefault="0025080A">
            <w:pPr>
              <w:jc w:val="center"/>
              <w:rPr>
                <w:b/>
                <w:color w:val="000000"/>
                <w:kern w:val="2"/>
                <w:sz w:val="24"/>
                <w:szCs w:val="24"/>
                <w:lang w:bidi="hi-IN"/>
              </w:rPr>
            </w:pPr>
            <w:r w:rsidRPr="0025080A">
              <w:rPr>
                <w:b/>
                <w:color w:val="000000"/>
                <w:kern w:val="2"/>
                <w:sz w:val="24"/>
                <w:szCs w:val="24"/>
                <w:lang w:bidi="hi-IN"/>
              </w:rPr>
              <w:t>79,60</w:t>
            </w:r>
          </w:p>
        </w:tc>
        <w:tc>
          <w:tcPr>
            <w:tcW w:w="1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25080A" w:rsidRPr="0025080A" w:rsidRDefault="0025080A">
            <w:pPr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 w:rsidRPr="0025080A">
              <w:rPr>
                <w:b/>
                <w:color w:val="000000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5080A" w:rsidRPr="0025080A" w:rsidRDefault="0025080A">
            <w:pPr>
              <w:jc w:val="center"/>
              <w:rPr>
                <w:b/>
                <w:color w:val="000000"/>
                <w:kern w:val="2"/>
                <w:sz w:val="24"/>
                <w:szCs w:val="24"/>
                <w:lang w:bidi="hi-IN"/>
              </w:rPr>
            </w:pPr>
            <w:r w:rsidRPr="0025080A">
              <w:rPr>
                <w:b/>
                <w:color w:val="000000"/>
                <w:kern w:val="2"/>
                <w:sz w:val="24"/>
                <w:szCs w:val="24"/>
                <w:lang w:bidi="hi-IN"/>
              </w:rPr>
              <w:t>79,60</w:t>
            </w:r>
          </w:p>
        </w:tc>
      </w:tr>
      <w:tr w:rsidR="0025080A" w:rsidRPr="0025080A" w:rsidTr="0025080A">
        <w:tc>
          <w:tcPr>
            <w:tcW w:w="21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080A" w:rsidRPr="0025080A" w:rsidRDefault="0025080A">
            <w:pPr>
              <w:jc w:val="both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>Индикаторы достижения цели и показатели непосредственных результатов Программы</w:t>
            </w:r>
          </w:p>
        </w:tc>
        <w:tc>
          <w:tcPr>
            <w:tcW w:w="76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080A" w:rsidRPr="0025080A" w:rsidRDefault="0025080A">
            <w:pPr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>Доля снесенных домов от общего числа многоквартирных домов, признанных аварийными, %</w:t>
            </w:r>
          </w:p>
        </w:tc>
      </w:tr>
      <w:tr w:rsidR="0025080A" w:rsidRPr="0025080A" w:rsidTr="0025080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080A" w:rsidRPr="0025080A" w:rsidRDefault="0025080A">
            <w:pPr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</w:p>
        </w:tc>
        <w:tc>
          <w:tcPr>
            <w:tcW w:w="2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080A" w:rsidRPr="0025080A" w:rsidRDefault="0025080A">
            <w:pPr>
              <w:jc w:val="center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>2022</w:t>
            </w:r>
          </w:p>
        </w:tc>
        <w:tc>
          <w:tcPr>
            <w:tcW w:w="255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5080A" w:rsidRPr="0025080A" w:rsidRDefault="0025080A">
            <w:pPr>
              <w:jc w:val="center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>2023</w:t>
            </w:r>
          </w:p>
        </w:tc>
        <w:tc>
          <w:tcPr>
            <w:tcW w:w="2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80A" w:rsidRPr="0025080A" w:rsidRDefault="0025080A">
            <w:pPr>
              <w:jc w:val="center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>2024</w:t>
            </w:r>
          </w:p>
        </w:tc>
      </w:tr>
      <w:tr w:rsidR="0025080A" w:rsidRPr="0025080A" w:rsidTr="0025080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080A" w:rsidRPr="0025080A" w:rsidRDefault="0025080A">
            <w:pPr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</w:p>
        </w:tc>
        <w:tc>
          <w:tcPr>
            <w:tcW w:w="2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080A" w:rsidRPr="0025080A" w:rsidRDefault="0025080A">
            <w:pPr>
              <w:jc w:val="center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>0</w:t>
            </w:r>
          </w:p>
        </w:tc>
        <w:tc>
          <w:tcPr>
            <w:tcW w:w="255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5080A" w:rsidRPr="0025080A" w:rsidRDefault="0025080A">
            <w:pPr>
              <w:jc w:val="center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>62</w:t>
            </w:r>
          </w:p>
        </w:tc>
        <w:tc>
          <w:tcPr>
            <w:tcW w:w="2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80A" w:rsidRPr="0025080A" w:rsidRDefault="0025080A">
            <w:pPr>
              <w:jc w:val="center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>0</w:t>
            </w:r>
          </w:p>
        </w:tc>
      </w:tr>
      <w:tr w:rsidR="0025080A" w:rsidRPr="0025080A" w:rsidTr="0025080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080A" w:rsidRPr="0025080A" w:rsidRDefault="0025080A">
            <w:pPr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</w:p>
        </w:tc>
        <w:tc>
          <w:tcPr>
            <w:tcW w:w="76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080A" w:rsidRPr="0025080A" w:rsidRDefault="0025080A">
            <w:pPr>
              <w:jc w:val="center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>Непосредственный результат - количество снесенных расселенных многоквартирных жилых домов, шт.</w:t>
            </w:r>
          </w:p>
        </w:tc>
      </w:tr>
      <w:tr w:rsidR="0025080A" w:rsidRPr="0025080A" w:rsidTr="0025080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080A" w:rsidRPr="0025080A" w:rsidRDefault="0025080A">
            <w:pPr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</w:p>
        </w:tc>
        <w:tc>
          <w:tcPr>
            <w:tcW w:w="2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080A" w:rsidRPr="0025080A" w:rsidRDefault="0025080A">
            <w:pPr>
              <w:jc w:val="center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>2022</w:t>
            </w:r>
          </w:p>
        </w:tc>
        <w:tc>
          <w:tcPr>
            <w:tcW w:w="255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5080A" w:rsidRPr="0025080A" w:rsidRDefault="0025080A">
            <w:pPr>
              <w:jc w:val="center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>2023</w:t>
            </w:r>
          </w:p>
        </w:tc>
        <w:tc>
          <w:tcPr>
            <w:tcW w:w="2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80A" w:rsidRPr="0025080A" w:rsidRDefault="0025080A">
            <w:pPr>
              <w:jc w:val="center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>2024</w:t>
            </w:r>
          </w:p>
        </w:tc>
      </w:tr>
      <w:tr w:rsidR="0025080A" w:rsidRPr="0025080A" w:rsidTr="0025080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080A" w:rsidRPr="0025080A" w:rsidRDefault="0025080A">
            <w:pPr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</w:p>
        </w:tc>
        <w:tc>
          <w:tcPr>
            <w:tcW w:w="2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080A" w:rsidRPr="0025080A" w:rsidRDefault="0025080A">
            <w:pPr>
              <w:jc w:val="center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>0</w:t>
            </w:r>
          </w:p>
        </w:tc>
        <w:tc>
          <w:tcPr>
            <w:tcW w:w="255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5080A" w:rsidRPr="0025080A" w:rsidRDefault="0025080A">
            <w:pPr>
              <w:jc w:val="center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>5</w:t>
            </w:r>
          </w:p>
        </w:tc>
        <w:tc>
          <w:tcPr>
            <w:tcW w:w="2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80A" w:rsidRPr="0025080A" w:rsidRDefault="0025080A">
            <w:pPr>
              <w:jc w:val="center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>0</w:t>
            </w:r>
          </w:p>
        </w:tc>
      </w:tr>
    </w:tbl>
    <w:p w:rsidR="0025080A" w:rsidRPr="0025080A" w:rsidRDefault="0025080A" w:rsidP="0025080A">
      <w:pPr>
        <w:pStyle w:val="ConsPlusNormal"/>
        <w:widowControl/>
        <w:ind w:firstLine="0"/>
        <w:rPr>
          <w:rFonts w:ascii="Times New Roman" w:hAnsi="Times New Roman" w:cs="Times New Roman"/>
          <w:b/>
          <w:sz w:val="24"/>
          <w:szCs w:val="24"/>
        </w:rPr>
      </w:pPr>
    </w:p>
    <w:p w:rsidR="0025080A" w:rsidRDefault="0025080A" w:rsidP="0025080A">
      <w:pPr>
        <w:suppressAutoHyphens w:val="0"/>
        <w:autoSpaceDE w:val="0"/>
        <w:autoSpaceDN w:val="0"/>
        <w:adjustRightInd w:val="0"/>
        <w:jc w:val="center"/>
        <w:outlineLvl w:val="0"/>
        <w:rPr>
          <w:rFonts w:eastAsia="Calibri"/>
          <w:b/>
          <w:bCs/>
          <w:color w:val="auto"/>
          <w:sz w:val="24"/>
          <w:szCs w:val="24"/>
          <w:lang w:eastAsia="en-US"/>
        </w:rPr>
      </w:pP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jc w:val="center"/>
        <w:outlineLvl w:val="0"/>
        <w:rPr>
          <w:rFonts w:eastAsia="Calibri"/>
          <w:b/>
          <w:bCs/>
          <w:color w:val="auto"/>
          <w:sz w:val="24"/>
          <w:szCs w:val="24"/>
          <w:lang w:eastAsia="en-US"/>
        </w:rPr>
      </w:pPr>
      <w:r w:rsidRPr="0025080A">
        <w:rPr>
          <w:rFonts w:eastAsia="Calibri"/>
          <w:b/>
          <w:bCs/>
          <w:color w:val="auto"/>
          <w:sz w:val="24"/>
          <w:szCs w:val="24"/>
          <w:lang w:eastAsia="en-US"/>
        </w:rPr>
        <w:lastRenderedPageBreak/>
        <w:t>2. Текст Программы</w:t>
      </w: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ind w:firstLine="540"/>
        <w:jc w:val="both"/>
        <w:rPr>
          <w:rFonts w:eastAsia="Calibri"/>
          <w:color w:val="auto"/>
          <w:sz w:val="24"/>
          <w:szCs w:val="24"/>
          <w:lang w:eastAsia="en-US"/>
        </w:rPr>
      </w:pP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jc w:val="center"/>
        <w:outlineLvl w:val="1"/>
        <w:rPr>
          <w:rFonts w:eastAsia="Calibri"/>
          <w:b/>
          <w:bCs/>
          <w:color w:val="auto"/>
          <w:sz w:val="24"/>
          <w:szCs w:val="24"/>
          <w:lang w:eastAsia="en-US"/>
        </w:rPr>
      </w:pPr>
      <w:r w:rsidRPr="0025080A">
        <w:rPr>
          <w:rFonts w:eastAsia="Calibri"/>
          <w:b/>
          <w:bCs/>
          <w:color w:val="auto"/>
          <w:sz w:val="24"/>
          <w:szCs w:val="24"/>
          <w:lang w:eastAsia="en-US"/>
        </w:rPr>
        <w:t>2.1. Характеристика текущего состояния</w:t>
      </w: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ind w:firstLine="540"/>
        <w:jc w:val="both"/>
        <w:rPr>
          <w:rFonts w:eastAsia="Calibri"/>
          <w:color w:val="auto"/>
          <w:sz w:val="24"/>
          <w:szCs w:val="24"/>
          <w:lang w:eastAsia="en-US"/>
        </w:rPr>
      </w:pP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Calibri"/>
          <w:color w:val="auto"/>
          <w:sz w:val="24"/>
          <w:szCs w:val="24"/>
          <w:lang w:eastAsia="en-US"/>
        </w:rPr>
      </w:pPr>
      <w:r w:rsidRPr="0025080A">
        <w:rPr>
          <w:rFonts w:eastAsia="Calibri"/>
          <w:color w:val="auto"/>
          <w:sz w:val="24"/>
          <w:szCs w:val="24"/>
          <w:lang w:eastAsia="en-US"/>
        </w:rPr>
        <w:t>В настоящее время одним из приоритетов государственной жилищной политики является обеспечение комфортных и безопасных условий проживания населения и ликвидация аварийного фонда.</w:t>
      </w: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Calibri"/>
          <w:color w:val="auto"/>
          <w:sz w:val="24"/>
          <w:szCs w:val="24"/>
          <w:lang w:eastAsia="en-US"/>
        </w:rPr>
      </w:pPr>
      <w:r w:rsidRPr="0025080A">
        <w:rPr>
          <w:rFonts w:eastAsia="Calibri"/>
          <w:color w:val="auto"/>
          <w:sz w:val="24"/>
          <w:szCs w:val="24"/>
          <w:lang w:eastAsia="en-US"/>
        </w:rPr>
        <w:t xml:space="preserve">На территории Шарангского муниципального района существует необходимость сноса многоквартирных жилых домов, признанных аварийными и расселяемых в рамках государственной региональной адресной программы «Переселение граждан из аварийного жилищного фонда на территории Нижегородской области на 2019-2023 годы», утвержденной постановлением Правительства Нижегородской области от 29.03.2019 № 168. </w:t>
      </w: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Calibri"/>
          <w:color w:val="auto"/>
          <w:sz w:val="24"/>
          <w:szCs w:val="24"/>
          <w:lang w:eastAsia="en-US"/>
        </w:rPr>
      </w:pPr>
      <w:r w:rsidRPr="0025080A">
        <w:rPr>
          <w:rFonts w:eastAsia="Calibri"/>
          <w:color w:val="auto"/>
          <w:sz w:val="24"/>
          <w:szCs w:val="24"/>
          <w:lang w:eastAsia="en-US"/>
        </w:rPr>
        <w:t>В целях оказания содействия органам местного самоуправления и оптимизации сроков проведения работ по сносу аварийных домов, принято решение о целесообразности финансирования мероприятий по сносу расселенных аварийных жилых домов, признанных аварийными, по единой методике.</w:t>
      </w: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Calibri"/>
          <w:color w:val="auto"/>
          <w:sz w:val="24"/>
          <w:szCs w:val="24"/>
          <w:lang w:eastAsia="en-US"/>
        </w:rPr>
      </w:pPr>
      <w:r w:rsidRPr="0025080A">
        <w:rPr>
          <w:rFonts w:eastAsia="Calibri"/>
          <w:color w:val="auto"/>
          <w:sz w:val="24"/>
          <w:szCs w:val="24"/>
          <w:lang w:eastAsia="en-US"/>
        </w:rPr>
        <w:t>Мероприятия по сносу расселенных многоквартирных жилых домов в Шарангском муниципальном районе Нижегородской области, признанных аварийными, направлены на:</w:t>
      </w: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Calibri"/>
          <w:color w:val="auto"/>
          <w:sz w:val="24"/>
          <w:szCs w:val="24"/>
          <w:lang w:eastAsia="en-US"/>
        </w:rPr>
      </w:pPr>
      <w:r w:rsidRPr="0025080A">
        <w:rPr>
          <w:rFonts w:eastAsia="Calibri"/>
          <w:color w:val="auto"/>
          <w:sz w:val="24"/>
          <w:szCs w:val="24"/>
          <w:lang w:eastAsia="en-US"/>
        </w:rPr>
        <w:t>- обеспечение устойчивого развития территорий;</w:t>
      </w: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Calibri"/>
          <w:color w:val="auto"/>
          <w:sz w:val="24"/>
          <w:szCs w:val="24"/>
          <w:lang w:eastAsia="en-US"/>
        </w:rPr>
      </w:pPr>
      <w:r w:rsidRPr="0025080A">
        <w:rPr>
          <w:rFonts w:eastAsia="Calibri"/>
          <w:color w:val="auto"/>
          <w:sz w:val="24"/>
          <w:szCs w:val="24"/>
          <w:lang w:eastAsia="en-US"/>
        </w:rPr>
        <w:t>- создание благоприятной среды жизнедеятельности и общественных пространств.</w:t>
      </w: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Calibri"/>
          <w:color w:val="auto"/>
          <w:sz w:val="24"/>
          <w:szCs w:val="24"/>
          <w:lang w:eastAsia="en-US"/>
        </w:rPr>
      </w:pPr>
      <w:r w:rsidRPr="0025080A">
        <w:rPr>
          <w:rFonts w:eastAsia="Calibri"/>
          <w:color w:val="auto"/>
          <w:sz w:val="24"/>
          <w:szCs w:val="24"/>
          <w:lang w:eastAsia="en-US"/>
        </w:rPr>
        <w:t>В результате сноса высвобождаются земельные участки с возможностью их дальнейшего вовлечения в оборот для развития территорий.</w:t>
      </w: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ind w:firstLine="540"/>
        <w:jc w:val="both"/>
        <w:rPr>
          <w:rFonts w:eastAsia="Calibri"/>
          <w:color w:val="auto"/>
          <w:sz w:val="24"/>
          <w:szCs w:val="24"/>
          <w:lang w:eastAsia="en-US"/>
        </w:rPr>
      </w:pP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jc w:val="center"/>
        <w:outlineLvl w:val="1"/>
        <w:rPr>
          <w:rFonts w:eastAsia="Calibri"/>
          <w:b/>
          <w:bCs/>
          <w:color w:val="auto"/>
          <w:sz w:val="24"/>
          <w:szCs w:val="24"/>
          <w:lang w:eastAsia="en-US"/>
        </w:rPr>
      </w:pPr>
      <w:r w:rsidRPr="0025080A">
        <w:rPr>
          <w:rFonts w:eastAsia="Calibri"/>
          <w:b/>
          <w:bCs/>
          <w:color w:val="auto"/>
          <w:sz w:val="24"/>
          <w:szCs w:val="24"/>
          <w:lang w:eastAsia="en-US"/>
        </w:rPr>
        <w:t>2.2. Цель и задачи Программы</w:t>
      </w: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ind w:firstLine="540"/>
        <w:jc w:val="both"/>
        <w:rPr>
          <w:rFonts w:eastAsia="Calibri"/>
          <w:color w:val="auto"/>
          <w:sz w:val="24"/>
          <w:szCs w:val="24"/>
          <w:lang w:eastAsia="en-US"/>
        </w:rPr>
      </w:pP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Calibri"/>
          <w:color w:val="auto"/>
          <w:sz w:val="24"/>
          <w:szCs w:val="24"/>
          <w:lang w:eastAsia="en-US"/>
        </w:rPr>
      </w:pPr>
      <w:r w:rsidRPr="0025080A">
        <w:rPr>
          <w:rFonts w:eastAsia="Calibri"/>
          <w:color w:val="auto"/>
          <w:sz w:val="24"/>
          <w:szCs w:val="24"/>
          <w:lang w:eastAsia="en-US"/>
        </w:rPr>
        <w:t>Основной целью Программы является создание благоприятных и безопасных условий для проживания, а также повышение качества и условий жизни населения Шарангского муниципального района Нижегородской области.</w:t>
      </w: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Calibri"/>
          <w:color w:val="auto"/>
          <w:sz w:val="24"/>
          <w:szCs w:val="24"/>
          <w:lang w:eastAsia="en-US"/>
        </w:rPr>
      </w:pPr>
      <w:r w:rsidRPr="0025080A">
        <w:rPr>
          <w:rFonts w:eastAsia="Calibri"/>
          <w:color w:val="auto"/>
          <w:sz w:val="24"/>
          <w:szCs w:val="24"/>
          <w:lang w:eastAsia="en-US"/>
        </w:rPr>
        <w:t>Достижение цели Программы будет способствовать решению следующих задач:</w:t>
      </w: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Calibri"/>
          <w:color w:val="auto"/>
          <w:sz w:val="24"/>
          <w:szCs w:val="24"/>
          <w:lang w:eastAsia="en-US"/>
        </w:rPr>
      </w:pPr>
      <w:r w:rsidRPr="0025080A">
        <w:rPr>
          <w:rFonts w:eastAsia="Calibri"/>
          <w:color w:val="auto"/>
          <w:sz w:val="24"/>
          <w:szCs w:val="24"/>
          <w:lang w:eastAsia="en-US"/>
        </w:rPr>
        <w:t>- снос расселенных многоквартирных жилых домов в Шарангском муниципальном районе Нижегородской области, признанных аварийными;</w:t>
      </w: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Calibri"/>
          <w:color w:val="auto"/>
          <w:sz w:val="24"/>
          <w:szCs w:val="24"/>
          <w:lang w:eastAsia="en-US"/>
        </w:rPr>
      </w:pPr>
      <w:r w:rsidRPr="0025080A">
        <w:rPr>
          <w:rFonts w:eastAsia="Calibri"/>
          <w:color w:val="auto"/>
          <w:sz w:val="24"/>
          <w:szCs w:val="24"/>
          <w:lang w:eastAsia="en-US"/>
        </w:rPr>
        <w:t>- освобождение территорий для строительства жилищных, социальных, коммунальных объектов, а также спортивных площадок и пешеходных пространств.</w:t>
      </w: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ind w:firstLine="540"/>
        <w:jc w:val="both"/>
        <w:rPr>
          <w:rFonts w:eastAsia="Calibri"/>
          <w:color w:val="auto"/>
          <w:sz w:val="24"/>
          <w:szCs w:val="24"/>
          <w:lang w:eastAsia="en-US"/>
        </w:rPr>
      </w:pP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ind w:firstLine="540"/>
        <w:jc w:val="center"/>
        <w:rPr>
          <w:rFonts w:eastAsia="Calibri"/>
          <w:b/>
          <w:bCs/>
          <w:color w:val="auto"/>
          <w:sz w:val="24"/>
          <w:szCs w:val="24"/>
          <w:lang w:eastAsia="en-US"/>
        </w:rPr>
      </w:pPr>
      <w:r w:rsidRPr="0025080A">
        <w:rPr>
          <w:rFonts w:eastAsia="Calibri"/>
          <w:b/>
          <w:bCs/>
          <w:color w:val="auto"/>
          <w:sz w:val="24"/>
          <w:szCs w:val="24"/>
          <w:lang w:eastAsia="en-US"/>
        </w:rPr>
        <w:t>2.3. Сроки и этапы реализации Программы</w:t>
      </w: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ind w:firstLine="540"/>
        <w:jc w:val="center"/>
        <w:rPr>
          <w:rFonts w:eastAsia="Calibri"/>
          <w:b/>
          <w:bCs/>
          <w:color w:val="auto"/>
          <w:sz w:val="24"/>
          <w:szCs w:val="24"/>
          <w:lang w:eastAsia="en-US"/>
        </w:rPr>
      </w:pP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ind w:firstLine="540"/>
        <w:jc w:val="both"/>
        <w:rPr>
          <w:rFonts w:eastAsia="Calibri"/>
          <w:bCs/>
          <w:color w:val="auto"/>
          <w:sz w:val="24"/>
          <w:szCs w:val="24"/>
          <w:lang w:eastAsia="en-US"/>
        </w:rPr>
      </w:pPr>
      <w:r w:rsidRPr="0025080A">
        <w:rPr>
          <w:rFonts w:eastAsia="Calibri"/>
          <w:bCs/>
          <w:color w:val="auto"/>
          <w:sz w:val="24"/>
          <w:szCs w:val="24"/>
          <w:lang w:eastAsia="en-US"/>
        </w:rPr>
        <w:t>Программа реализуется с 2022 по 2024 годы.</w:t>
      </w: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ind w:firstLine="540"/>
        <w:jc w:val="both"/>
        <w:rPr>
          <w:rFonts w:eastAsia="Calibri"/>
          <w:bCs/>
          <w:color w:val="auto"/>
          <w:sz w:val="24"/>
          <w:szCs w:val="24"/>
          <w:lang w:eastAsia="en-US"/>
        </w:rPr>
      </w:pPr>
      <w:r w:rsidRPr="0025080A">
        <w:rPr>
          <w:rFonts w:eastAsia="Calibri"/>
          <w:bCs/>
          <w:color w:val="auto"/>
          <w:sz w:val="24"/>
          <w:szCs w:val="24"/>
          <w:lang w:eastAsia="en-US"/>
        </w:rPr>
        <w:t>Программа выполняется в один этап.</w:t>
      </w: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ind w:firstLine="540"/>
        <w:jc w:val="both"/>
        <w:rPr>
          <w:rFonts w:eastAsia="Calibri"/>
          <w:color w:val="auto"/>
          <w:sz w:val="24"/>
          <w:szCs w:val="24"/>
          <w:lang w:eastAsia="en-US"/>
        </w:rPr>
      </w:pP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jc w:val="center"/>
        <w:outlineLvl w:val="1"/>
        <w:rPr>
          <w:rFonts w:eastAsia="Calibri"/>
          <w:b/>
          <w:bCs/>
          <w:color w:val="auto"/>
          <w:sz w:val="24"/>
          <w:szCs w:val="24"/>
          <w:lang w:eastAsia="en-US"/>
        </w:rPr>
      </w:pPr>
      <w:r w:rsidRPr="0025080A">
        <w:rPr>
          <w:rFonts w:eastAsia="Calibri"/>
          <w:b/>
          <w:bCs/>
          <w:color w:val="auto"/>
          <w:sz w:val="24"/>
          <w:szCs w:val="24"/>
          <w:lang w:eastAsia="en-US"/>
        </w:rPr>
        <w:t>2.4. Перечень основных мероприятий Программы</w:t>
      </w: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spacing w:before="220"/>
        <w:ind w:firstLine="540"/>
        <w:jc w:val="both"/>
        <w:rPr>
          <w:rFonts w:eastAsia="Calibri"/>
          <w:color w:val="auto"/>
          <w:sz w:val="24"/>
          <w:szCs w:val="24"/>
          <w:lang w:eastAsia="en-US"/>
        </w:rPr>
      </w:pPr>
      <w:r w:rsidRPr="0025080A">
        <w:rPr>
          <w:rFonts w:eastAsia="Calibri"/>
          <w:color w:val="auto"/>
          <w:sz w:val="24"/>
          <w:szCs w:val="24"/>
          <w:lang w:eastAsia="en-US"/>
        </w:rPr>
        <w:t xml:space="preserve">Основное мероприятие: Снос расселенных многоквартирных жилых домов в Шарангском муниципальном районе Нижегородской области, признанных аварийными. Мероприятия Программы отражены в приложении к Программе. </w:t>
      </w: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jc w:val="center"/>
        <w:outlineLvl w:val="1"/>
        <w:rPr>
          <w:rFonts w:eastAsia="Calibri"/>
          <w:b/>
          <w:bCs/>
          <w:color w:val="auto"/>
          <w:sz w:val="24"/>
          <w:szCs w:val="24"/>
          <w:lang w:eastAsia="en-US"/>
        </w:rPr>
      </w:pPr>
      <w:r w:rsidRPr="0025080A">
        <w:rPr>
          <w:rFonts w:eastAsia="Calibri"/>
          <w:b/>
          <w:bCs/>
          <w:color w:val="auto"/>
          <w:sz w:val="24"/>
          <w:szCs w:val="24"/>
          <w:lang w:eastAsia="en-US"/>
        </w:rPr>
        <w:t xml:space="preserve">2.5. Ресурсное обеспечение реализации Программы </w:t>
      </w: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ind w:firstLine="540"/>
        <w:jc w:val="both"/>
        <w:rPr>
          <w:rFonts w:eastAsia="Calibri"/>
          <w:color w:val="auto"/>
          <w:sz w:val="24"/>
          <w:szCs w:val="24"/>
          <w:lang w:eastAsia="en-US"/>
        </w:rPr>
      </w:pP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ind w:firstLine="540"/>
        <w:jc w:val="both"/>
        <w:rPr>
          <w:rFonts w:eastAsia="Calibri"/>
          <w:color w:val="auto"/>
          <w:sz w:val="24"/>
          <w:szCs w:val="24"/>
          <w:lang w:eastAsia="en-US"/>
        </w:rPr>
      </w:pPr>
      <w:r w:rsidRPr="0025080A">
        <w:rPr>
          <w:rFonts w:eastAsia="Calibri"/>
          <w:color w:val="auto"/>
          <w:sz w:val="24"/>
          <w:szCs w:val="24"/>
          <w:lang w:eastAsia="en-US"/>
        </w:rPr>
        <w:t xml:space="preserve">Расходы Программы формируются за счет средств областного и местного бюджетов. </w:t>
      </w: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ind w:firstLine="540"/>
        <w:jc w:val="both"/>
        <w:rPr>
          <w:rFonts w:eastAsia="Calibri"/>
          <w:color w:val="auto"/>
          <w:sz w:val="24"/>
          <w:szCs w:val="24"/>
          <w:lang w:eastAsia="en-US"/>
        </w:rPr>
      </w:pPr>
      <w:r w:rsidRPr="0025080A">
        <w:rPr>
          <w:rFonts w:eastAsia="Calibri"/>
          <w:color w:val="auto"/>
          <w:sz w:val="24"/>
          <w:szCs w:val="24"/>
          <w:lang w:eastAsia="en-US"/>
        </w:rPr>
        <w:t>В целях сноса расселенных многоквартирных жилых домов в Шарангском муниципальном районе Нижегородской области, признанных аварийными, объем ресурсного обеспечения за счет средств местного бюджета реализации Основного мероприятия Программы за 2022 - 2024 годы составит 79,60 тыс. рублей.</w:t>
      </w:r>
    </w:p>
    <w:p w:rsidR="0025080A" w:rsidRDefault="0025080A" w:rsidP="0025080A">
      <w:pPr>
        <w:suppressAutoHyphens w:val="0"/>
        <w:autoSpaceDE w:val="0"/>
        <w:autoSpaceDN w:val="0"/>
        <w:adjustRightInd w:val="0"/>
        <w:ind w:firstLine="540"/>
        <w:jc w:val="right"/>
        <w:rPr>
          <w:rFonts w:eastAsia="Calibri"/>
          <w:color w:val="auto"/>
          <w:sz w:val="24"/>
          <w:szCs w:val="24"/>
          <w:lang w:eastAsia="en-US"/>
        </w:rPr>
      </w:pPr>
    </w:p>
    <w:p w:rsidR="0025080A" w:rsidRDefault="0025080A" w:rsidP="0025080A">
      <w:pPr>
        <w:suppressAutoHyphens w:val="0"/>
        <w:autoSpaceDE w:val="0"/>
        <w:autoSpaceDN w:val="0"/>
        <w:adjustRightInd w:val="0"/>
        <w:ind w:firstLine="540"/>
        <w:jc w:val="right"/>
        <w:rPr>
          <w:rFonts w:eastAsia="Calibri"/>
          <w:color w:val="auto"/>
          <w:sz w:val="24"/>
          <w:szCs w:val="24"/>
          <w:lang w:eastAsia="en-US"/>
        </w:rPr>
      </w:pP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ind w:firstLine="540"/>
        <w:jc w:val="right"/>
        <w:rPr>
          <w:rFonts w:eastAsia="Calibri"/>
          <w:color w:val="auto"/>
          <w:sz w:val="24"/>
          <w:szCs w:val="24"/>
          <w:lang w:eastAsia="en-US"/>
        </w:rPr>
      </w:pPr>
      <w:r w:rsidRPr="0025080A">
        <w:rPr>
          <w:rFonts w:eastAsia="Calibri"/>
          <w:color w:val="auto"/>
          <w:sz w:val="24"/>
          <w:szCs w:val="24"/>
          <w:lang w:eastAsia="en-US"/>
        </w:rPr>
        <w:lastRenderedPageBreak/>
        <w:t>Таблица 1</w:t>
      </w:r>
    </w:p>
    <w:tbl>
      <w:tblPr>
        <w:tblW w:w="9822" w:type="dxa"/>
        <w:tblInd w:w="67" w:type="dxa"/>
        <w:tblLook w:val="04A0" w:firstRow="1" w:lastRow="0" w:firstColumn="1" w:lastColumn="0" w:noHBand="0" w:noVBand="1"/>
      </w:tblPr>
      <w:tblGrid>
        <w:gridCol w:w="2309"/>
        <w:gridCol w:w="1701"/>
        <w:gridCol w:w="1843"/>
        <w:gridCol w:w="1985"/>
        <w:gridCol w:w="1984"/>
      </w:tblGrid>
      <w:tr w:rsidR="0025080A" w:rsidRPr="0025080A" w:rsidTr="0025080A">
        <w:tc>
          <w:tcPr>
            <w:tcW w:w="98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80A" w:rsidRPr="0025080A" w:rsidRDefault="0025080A">
            <w:pPr>
              <w:suppressAutoHyphens w:val="0"/>
              <w:autoSpaceDE w:val="0"/>
              <w:autoSpaceDN w:val="0"/>
              <w:adjustRightInd w:val="0"/>
              <w:jc w:val="right"/>
              <w:outlineLvl w:val="2"/>
              <w:rPr>
                <w:rFonts w:eastAsia="Calibri"/>
                <w:color w:val="auto"/>
                <w:kern w:val="2"/>
                <w:sz w:val="24"/>
                <w:szCs w:val="24"/>
                <w:lang w:eastAsia="en-US" w:bidi="hi-IN"/>
              </w:rPr>
            </w:pPr>
            <w:r w:rsidRPr="0025080A">
              <w:rPr>
                <w:rFonts w:eastAsia="Calibri"/>
                <w:color w:val="auto"/>
                <w:kern w:val="2"/>
                <w:sz w:val="24"/>
                <w:szCs w:val="24"/>
                <w:lang w:eastAsia="en-US" w:bidi="hi-IN"/>
              </w:rPr>
              <w:t>тысяч рублей</w:t>
            </w:r>
          </w:p>
        </w:tc>
      </w:tr>
      <w:tr w:rsidR="0025080A" w:rsidRPr="0025080A" w:rsidTr="0025080A"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suppressAutoHyphens w:val="0"/>
              <w:autoSpaceDE w:val="0"/>
              <w:autoSpaceDN w:val="0"/>
              <w:adjustRightInd w:val="0"/>
              <w:jc w:val="center"/>
              <w:outlineLvl w:val="2"/>
              <w:rPr>
                <w:rFonts w:eastAsia="Calibri"/>
                <w:color w:val="auto"/>
                <w:kern w:val="2"/>
                <w:sz w:val="24"/>
                <w:szCs w:val="24"/>
                <w:lang w:eastAsia="en-US" w:bidi="hi-IN"/>
              </w:rPr>
            </w:pPr>
            <w:r w:rsidRPr="0025080A">
              <w:rPr>
                <w:rFonts w:eastAsia="Calibri"/>
                <w:color w:val="auto"/>
                <w:kern w:val="2"/>
                <w:sz w:val="24"/>
                <w:szCs w:val="24"/>
                <w:lang w:eastAsia="en-US" w:bidi="hi-IN"/>
              </w:rPr>
              <w:t>Источники финансирования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suppressAutoHyphens w:val="0"/>
              <w:autoSpaceDE w:val="0"/>
              <w:autoSpaceDN w:val="0"/>
              <w:adjustRightInd w:val="0"/>
              <w:jc w:val="center"/>
              <w:outlineLvl w:val="2"/>
              <w:rPr>
                <w:rFonts w:eastAsia="Calibri"/>
                <w:color w:val="auto"/>
                <w:kern w:val="2"/>
                <w:sz w:val="24"/>
                <w:szCs w:val="24"/>
                <w:lang w:eastAsia="en-US" w:bidi="hi-IN"/>
              </w:rPr>
            </w:pPr>
            <w:r w:rsidRPr="0025080A">
              <w:rPr>
                <w:rFonts w:eastAsia="Calibri"/>
                <w:color w:val="auto"/>
                <w:kern w:val="2"/>
                <w:sz w:val="24"/>
                <w:szCs w:val="24"/>
                <w:lang w:eastAsia="en-US" w:bidi="hi-IN"/>
              </w:rPr>
              <w:t>2022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suppressAutoHyphens w:val="0"/>
              <w:autoSpaceDE w:val="0"/>
              <w:autoSpaceDN w:val="0"/>
              <w:adjustRightInd w:val="0"/>
              <w:jc w:val="center"/>
              <w:outlineLvl w:val="2"/>
              <w:rPr>
                <w:rFonts w:eastAsia="Calibri"/>
                <w:color w:val="auto"/>
                <w:kern w:val="2"/>
                <w:sz w:val="24"/>
                <w:szCs w:val="24"/>
                <w:lang w:eastAsia="en-US" w:bidi="hi-IN"/>
              </w:rPr>
            </w:pPr>
            <w:r w:rsidRPr="0025080A">
              <w:rPr>
                <w:rFonts w:eastAsia="Calibri"/>
                <w:color w:val="auto"/>
                <w:kern w:val="2"/>
                <w:sz w:val="24"/>
                <w:szCs w:val="24"/>
                <w:lang w:eastAsia="en-US" w:bidi="hi-IN"/>
              </w:rPr>
              <w:t>2023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suppressAutoHyphens w:val="0"/>
              <w:autoSpaceDE w:val="0"/>
              <w:autoSpaceDN w:val="0"/>
              <w:adjustRightInd w:val="0"/>
              <w:jc w:val="center"/>
              <w:outlineLvl w:val="2"/>
              <w:rPr>
                <w:rFonts w:eastAsia="Calibri"/>
                <w:color w:val="auto"/>
                <w:kern w:val="2"/>
                <w:sz w:val="24"/>
                <w:szCs w:val="24"/>
                <w:lang w:eastAsia="en-US" w:bidi="hi-IN"/>
              </w:rPr>
            </w:pPr>
            <w:r w:rsidRPr="0025080A">
              <w:rPr>
                <w:rFonts w:eastAsia="Calibri"/>
                <w:color w:val="auto"/>
                <w:kern w:val="2"/>
                <w:sz w:val="24"/>
                <w:szCs w:val="24"/>
                <w:lang w:eastAsia="en-US" w:bidi="hi-IN"/>
              </w:rPr>
              <w:t>2024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80A" w:rsidRPr="0025080A" w:rsidRDefault="0025080A">
            <w:pPr>
              <w:suppressAutoHyphens w:val="0"/>
              <w:autoSpaceDE w:val="0"/>
              <w:autoSpaceDN w:val="0"/>
              <w:adjustRightInd w:val="0"/>
              <w:jc w:val="center"/>
              <w:outlineLvl w:val="2"/>
              <w:rPr>
                <w:rFonts w:eastAsia="Calibri"/>
                <w:b/>
                <w:color w:val="auto"/>
                <w:kern w:val="2"/>
                <w:sz w:val="24"/>
                <w:szCs w:val="24"/>
                <w:lang w:eastAsia="en-US" w:bidi="hi-IN"/>
              </w:rPr>
            </w:pPr>
            <w:r w:rsidRPr="0025080A">
              <w:rPr>
                <w:rFonts w:eastAsia="Calibri"/>
                <w:b/>
                <w:color w:val="auto"/>
                <w:kern w:val="2"/>
                <w:sz w:val="24"/>
                <w:szCs w:val="24"/>
                <w:lang w:eastAsia="en-US" w:bidi="hi-IN"/>
              </w:rPr>
              <w:t>Итого</w:t>
            </w:r>
          </w:p>
        </w:tc>
      </w:tr>
      <w:tr w:rsidR="0025080A" w:rsidRPr="0025080A" w:rsidTr="0025080A"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suppressAutoHyphens w:val="0"/>
              <w:autoSpaceDE w:val="0"/>
              <w:autoSpaceDN w:val="0"/>
              <w:adjustRightInd w:val="0"/>
              <w:jc w:val="center"/>
              <w:outlineLvl w:val="2"/>
              <w:rPr>
                <w:rFonts w:eastAsia="Calibri"/>
                <w:color w:val="auto"/>
                <w:kern w:val="2"/>
                <w:sz w:val="24"/>
                <w:szCs w:val="24"/>
                <w:lang w:eastAsia="en-US" w:bidi="hi-IN"/>
              </w:rPr>
            </w:pPr>
            <w:r w:rsidRPr="0025080A">
              <w:rPr>
                <w:rFonts w:eastAsia="Calibri"/>
                <w:color w:val="auto"/>
                <w:kern w:val="2"/>
                <w:sz w:val="24"/>
                <w:szCs w:val="24"/>
                <w:lang w:eastAsia="en-US" w:bidi="hi-IN"/>
              </w:rPr>
              <w:t>Областной бюджет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suppressAutoHyphens w:val="0"/>
              <w:autoSpaceDE w:val="0"/>
              <w:autoSpaceDN w:val="0"/>
              <w:adjustRightInd w:val="0"/>
              <w:jc w:val="center"/>
              <w:outlineLvl w:val="2"/>
              <w:rPr>
                <w:rFonts w:eastAsia="Calibri"/>
                <w:color w:val="auto"/>
                <w:kern w:val="2"/>
                <w:sz w:val="24"/>
                <w:szCs w:val="24"/>
                <w:lang w:eastAsia="en-US" w:bidi="hi-IN"/>
              </w:rPr>
            </w:pPr>
            <w:r w:rsidRPr="0025080A">
              <w:rPr>
                <w:rFonts w:eastAsia="Calibri"/>
                <w:color w:val="auto"/>
                <w:kern w:val="2"/>
                <w:sz w:val="24"/>
                <w:szCs w:val="24"/>
                <w:lang w:eastAsia="en-US" w:bidi="hi-IN"/>
              </w:rPr>
              <w:t>0,00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suppressAutoHyphens w:val="0"/>
              <w:autoSpaceDE w:val="0"/>
              <w:autoSpaceDN w:val="0"/>
              <w:adjustRightInd w:val="0"/>
              <w:jc w:val="center"/>
              <w:outlineLvl w:val="2"/>
              <w:rPr>
                <w:rFonts w:eastAsia="Calibri"/>
                <w:color w:val="auto"/>
                <w:kern w:val="2"/>
                <w:sz w:val="24"/>
                <w:szCs w:val="24"/>
                <w:lang w:eastAsia="en-US" w:bidi="hi-IN"/>
              </w:rPr>
            </w:pPr>
            <w:r w:rsidRPr="0025080A">
              <w:rPr>
                <w:rFonts w:eastAsia="Calibri"/>
                <w:color w:val="auto"/>
                <w:kern w:val="2"/>
                <w:sz w:val="24"/>
                <w:szCs w:val="24"/>
                <w:lang w:eastAsia="en-US" w:bidi="hi-IN"/>
              </w:rPr>
              <w:t>0,00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suppressAutoHyphens w:val="0"/>
              <w:autoSpaceDE w:val="0"/>
              <w:autoSpaceDN w:val="0"/>
              <w:adjustRightInd w:val="0"/>
              <w:jc w:val="center"/>
              <w:outlineLvl w:val="2"/>
              <w:rPr>
                <w:rFonts w:eastAsia="Calibri"/>
                <w:color w:val="auto"/>
                <w:kern w:val="2"/>
                <w:sz w:val="24"/>
                <w:szCs w:val="24"/>
                <w:lang w:eastAsia="en-US" w:bidi="hi-IN"/>
              </w:rPr>
            </w:pPr>
            <w:r w:rsidRPr="0025080A">
              <w:rPr>
                <w:rFonts w:eastAsia="Calibri"/>
                <w:color w:val="auto"/>
                <w:kern w:val="2"/>
                <w:sz w:val="24"/>
                <w:szCs w:val="24"/>
                <w:lang w:eastAsia="en-US" w:bidi="hi-IN"/>
              </w:rPr>
              <w:t>0,00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80A" w:rsidRPr="0025080A" w:rsidRDefault="0025080A">
            <w:pPr>
              <w:suppressAutoHyphens w:val="0"/>
              <w:autoSpaceDE w:val="0"/>
              <w:autoSpaceDN w:val="0"/>
              <w:adjustRightInd w:val="0"/>
              <w:jc w:val="center"/>
              <w:outlineLvl w:val="2"/>
              <w:rPr>
                <w:rFonts w:eastAsia="Calibri"/>
                <w:b/>
                <w:color w:val="auto"/>
                <w:kern w:val="2"/>
                <w:sz w:val="24"/>
                <w:szCs w:val="24"/>
                <w:lang w:eastAsia="en-US" w:bidi="hi-IN"/>
              </w:rPr>
            </w:pPr>
            <w:r w:rsidRPr="0025080A">
              <w:rPr>
                <w:rFonts w:eastAsia="Calibri"/>
                <w:color w:val="auto"/>
                <w:kern w:val="2"/>
                <w:sz w:val="24"/>
                <w:szCs w:val="24"/>
                <w:lang w:eastAsia="en-US" w:bidi="hi-IN"/>
              </w:rPr>
              <w:t>0,00</w:t>
            </w:r>
          </w:p>
        </w:tc>
      </w:tr>
      <w:tr w:rsidR="0025080A" w:rsidRPr="0025080A" w:rsidTr="0025080A"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suppressAutoHyphens w:val="0"/>
              <w:autoSpaceDE w:val="0"/>
              <w:autoSpaceDN w:val="0"/>
              <w:adjustRightInd w:val="0"/>
              <w:jc w:val="center"/>
              <w:outlineLvl w:val="2"/>
              <w:rPr>
                <w:rFonts w:eastAsia="Calibri"/>
                <w:color w:val="auto"/>
                <w:kern w:val="2"/>
                <w:sz w:val="24"/>
                <w:szCs w:val="24"/>
                <w:lang w:eastAsia="en-US" w:bidi="hi-IN"/>
              </w:rPr>
            </w:pPr>
            <w:r w:rsidRPr="0025080A">
              <w:rPr>
                <w:rFonts w:eastAsia="Calibri"/>
                <w:color w:val="auto"/>
                <w:kern w:val="2"/>
                <w:sz w:val="24"/>
                <w:szCs w:val="24"/>
                <w:lang w:eastAsia="en-US" w:bidi="hi-IN"/>
              </w:rPr>
              <w:t>Местный бюджет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suppressAutoHyphens w:val="0"/>
              <w:autoSpaceDE w:val="0"/>
              <w:autoSpaceDN w:val="0"/>
              <w:adjustRightInd w:val="0"/>
              <w:jc w:val="center"/>
              <w:outlineLvl w:val="2"/>
              <w:rPr>
                <w:rFonts w:eastAsia="Calibri"/>
                <w:color w:val="auto"/>
                <w:kern w:val="2"/>
                <w:sz w:val="24"/>
                <w:szCs w:val="24"/>
                <w:lang w:eastAsia="en-US" w:bidi="hi-IN"/>
              </w:rPr>
            </w:pPr>
            <w:r w:rsidRPr="0025080A">
              <w:rPr>
                <w:rFonts w:eastAsia="Calibri"/>
                <w:color w:val="auto"/>
                <w:kern w:val="2"/>
                <w:sz w:val="24"/>
                <w:szCs w:val="24"/>
                <w:lang w:eastAsia="en-US" w:bidi="hi-IN"/>
              </w:rPr>
              <w:t>0,00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suppressAutoHyphens w:val="0"/>
              <w:autoSpaceDE w:val="0"/>
              <w:autoSpaceDN w:val="0"/>
              <w:adjustRightInd w:val="0"/>
              <w:jc w:val="center"/>
              <w:outlineLvl w:val="2"/>
              <w:rPr>
                <w:rFonts w:eastAsia="Calibri"/>
                <w:color w:val="auto"/>
                <w:kern w:val="2"/>
                <w:sz w:val="24"/>
                <w:szCs w:val="24"/>
                <w:lang w:eastAsia="en-US" w:bidi="hi-IN"/>
              </w:rPr>
            </w:pPr>
            <w:r w:rsidRPr="0025080A">
              <w:rPr>
                <w:rFonts w:eastAsia="Calibri"/>
                <w:color w:val="auto"/>
                <w:kern w:val="2"/>
                <w:sz w:val="24"/>
                <w:szCs w:val="24"/>
                <w:lang w:eastAsia="en-US" w:bidi="hi-IN"/>
              </w:rPr>
              <w:t>79,60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suppressAutoHyphens w:val="0"/>
              <w:autoSpaceDE w:val="0"/>
              <w:autoSpaceDN w:val="0"/>
              <w:adjustRightInd w:val="0"/>
              <w:jc w:val="center"/>
              <w:outlineLvl w:val="2"/>
              <w:rPr>
                <w:rFonts w:eastAsia="Calibri"/>
                <w:color w:val="auto"/>
                <w:kern w:val="2"/>
                <w:sz w:val="24"/>
                <w:szCs w:val="24"/>
                <w:lang w:eastAsia="en-US" w:bidi="hi-IN"/>
              </w:rPr>
            </w:pPr>
            <w:r w:rsidRPr="0025080A">
              <w:rPr>
                <w:rFonts w:eastAsia="Calibri"/>
                <w:color w:val="auto"/>
                <w:kern w:val="2"/>
                <w:sz w:val="24"/>
                <w:szCs w:val="24"/>
                <w:lang w:eastAsia="en-US" w:bidi="hi-IN"/>
              </w:rPr>
              <w:t>0,00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80A" w:rsidRPr="0025080A" w:rsidRDefault="0025080A">
            <w:pPr>
              <w:suppressAutoHyphens w:val="0"/>
              <w:autoSpaceDE w:val="0"/>
              <w:autoSpaceDN w:val="0"/>
              <w:adjustRightInd w:val="0"/>
              <w:jc w:val="center"/>
              <w:outlineLvl w:val="2"/>
              <w:rPr>
                <w:rFonts w:eastAsia="Calibri"/>
                <w:b/>
                <w:color w:val="auto"/>
                <w:kern w:val="2"/>
                <w:sz w:val="24"/>
                <w:szCs w:val="24"/>
                <w:lang w:eastAsia="en-US" w:bidi="hi-IN"/>
              </w:rPr>
            </w:pPr>
            <w:r w:rsidRPr="0025080A">
              <w:rPr>
                <w:rFonts w:eastAsia="Calibri"/>
                <w:color w:val="auto"/>
                <w:kern w:val="2"/>
                <w:sz w:val="24"/>
                <w:szCs w:val="24"/>
                <w:lang w:eastAsia="en-US" w:bidi="hi-IN"/>
              </w:rPr>
              <w:t>79,60</w:t>
            </w:r>
          </w:p>
        </w:tc>
      </w:tr>
      <w:tr w:rsidR="0025080A" w:rsidRPr="0025080A" w:rsidTr="0025080A"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25080A" w:rsidRPr="0025080A" w:rsidRDefault="0025080A">
            <w:pPr>
              <w:suppressAutoHyphens w:val="0"/>
              <w:autoSpaceDE w:val="0"/>
              <w:autoSpaceDN w:val="0"/>
              <w:adjustRightInd w:val="0"/>
              <w:jc w:val="center"/>
              <w:outlineLvl w:val="2"/>
              <w:rPr>
                <w:rFonts w:eastAsia="Calibri"/>
                <w:b/>
                <w:color w:val="auto"/>
                <w:kern w:val="2"/>
                <w:sz w:val="24"/>
                <w:szCs w:val="24"/>
                <w:lang w:eastAsia="en-US" w:bidi="hi-IN"/>
              </w:rPr>
            </w:pPr>
            <w:r w:rsidRPr="0025080A">
              <w:rPr>
                <w:rFonts w:eastAsia="Calibri"/>
                <w:b/>
                <w:color w:val="auto"/>
                <w:kern w:val="2"/>
                <w:sz w:val="24"/>
                <w:szCs w:val="24"/>
                <w:lang w:eastAsia="en-US" w:bidi="hi-IN"/>
              </w:rPr>
              <w:t xml:space="preserve">Итого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25080A" w:rsidRPr="0025080A" w:rsidRDefault="0025080A">
            <w:pPr>
              <w:suppressAutoHyphens w:val="0"/>
              <w:autoSpaceDE w:val="0"/>
              <w:autoSpaceDN w:val="0"/>
              <w:adjustRightInd w:val="0"/>
              <w:jc w:val="center"/>
              <w:outlineLvl w:val="2"/>
              <w:rPr>
                <w:rFonts w:eastAsia="Calibri"/>
                <w:b/>
                <w:color w:val="auto"/>
                <w:kern w:val="2"/>
                <w:sz w:val="24"/>
                <w:szCs w:val="24"/>
                <w:lang w:eastAsia="en-US" w:bidi="hi-IN"/>
              </w:rPr>
            </w:pPr>
            <w:r w:rsidRPr="0025080A">
              <w:rPr>
                <w:rFonts w:eastAsia="Calibri"/>
                <w:b/>
                <w:color w:val="auto"/>
                <w:kern w:val="2"/>
                <w:sz w:val="24"/>
                <w:szCs w:val="24"/>
                <w:lang w:eastAsia="en-US" w:bidi="hi-IN"/>
              </w:rPr>
              <w:t>0,00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25080A" w:rsidRPr="0025080A" w:rsidRDefault="0025080A">
            <w:pPr>
              <w:suppressAutoHyphens w:val="0"/>
              <w:autoSpaceDE w:val="0"/>
              <w:autoSpaceDN w:val="0"/>
              <w:adjustRightInd w:val="0"/>
              <w:jc w:val="center"/>
              <w:outlineLvl w:val="2"/>
              <w:rPr>
                <w:rFonts w:eastAsia="Calibri"/>
                <w:b/>
                <w:color w:val="auto"/>
                <w:kern w:val="2"/>
                <w:sz w:val="24"/>
                <w:szCs w:val="24"/>
                <w:lang w:eastAsia="en-US" w:bidi="hi-IN"/>
              </w:rPr>
            </w:pPr>
            <w:r w:rsidRPr="0025080A">
              <w:rPr>
                <w:rFonts w:eastAsia="Calibri"/>
                <w:b/>
                <w:color w:val="auto"/>
                <w:kern w:val="2"/>
                <w:sz w:val="24"/>
                <w:szCs w:val="24"/>
                <w:lang w:eastAsia="en-US" w:bidi="hi-IN"/>
              </w:rPr>
              <w:t>79,60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25080A" w:rsidRPr="0025080A" w:rsidRDefault="0025080A">
            <w:pPr>
              <w:suppressAutoHyphens w:val="0"/>
              <w:autoSpaceDE w:val="0"/>
              <w:autoSpaceDN w:val="0"/>
              <w:adjustRightInd w:val="0"/>
              <w:jc w:val="center"/>
              <w:outlineLvl w:val="2"/>
              <w:rPr>
                <w:rFonts w:eastAsia="Calibri"/>
                <w:color w:val="auto"/>
                <w:kern w:val="2"/>
                <w:sz w:val="24"/>
                <w:szCs w:val="24"/>
                <w:lang w:eastAsia="en-US" w:bidi="hi-IN"/>
              </w:rPr>
            </w:pPr>
            <w:r w:rsidRPr="0025080A">
              <w:rPr>
                <w:rFonts w:eastAsia="Calibri"/>
                <w:b/>
                <w:color w:val="auto"/>
                <w:kern w:val="2"/>
                <w:sz w:val="24"/>
                <w:szCs w:val="24"/>
                <w:lang w:eastAsia="en-US" w:bidi="hi-IN"/>
              </w:rPr>
              <w:t>0,00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5080A" w:rsidRPr="0025080A" w:rsidRDefault="0025080A">
            <w:pPr>
              <w:suppressAutoHyphens w:val="0"/>
              <w:autoSpaceDE w:val="0"/>
              <w:autoSpaceDN w:val="0"/>
              <w:adjustRightInd w:val="0"/>
              <w:jc w:val="center"/>
              <w:outlineLvl w:val="2"/>
              <w:rPr>
                <w:rFonts w:eastAsia="Calibri"/>
                <w:b/>
                <w:color w:val="auto"/>
                <w:kern w:val="2"/>
                <w:sz w:val="24"/>
                <w:szCs w:val="24"/>
                <w:lang w:eastAsia="en-US" w:bidi="hi-IN"/>
              </w:rPr>
            </w:pPr>
            <w:r w:rsidRPr="0025080A">
              <w:rPr>
                <w:rFonts w:eastAsia="Calibri"/>
                <w:b/>
                <w:color w:val="auto"/>
                <w:kern w:val="2"/>
                <w:sz w:val="24"/>
                <w:szCs w:val="24"/>
                <w:lang w:eastAsia="en-US" w:bidi="hi-IN"/>
              </w:rPr>
              <w:t>79,60</w:t>
            </w:r>
          </w:p>
        </w:tc>
      </w:tr>
    </w:tbl>
    <w:p w:rsidR="0025080A" w:rsidRPr="0025080A" w:rsidRDefault="0025080A" w:rsidP="0025080A">
      <w:pPr>
        <w:suppressAutoHyphens w:val="0"/>
        <w:autoSpaceDE w:val="0"/>
        <w:autoSpaceDN w:val="0"/>
        <w:adjustRightInd w:val="0"/>
        <w:jc w:val="center"/>
        <w:outlineLvl w:val="2"/>
        <w:rPr>
          <w:rFonts w:eastAsia="Calibri"/>
          <w:b/>
          <w:bCs/>
          <w:color w:val="auto"/>
          <w:sz w:val="24"/>
          <w:szCs w:val="24"/>
          <w:lang w:eastAsia="en-US"/>
        </w:rPr>
      </w:pP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ind w:firstLine="540"/>
        <w:jc w:val="both"/>
        <w:rPr>
          <w:rFonts w:eastAsia="Calibri"/>
          <w:color w:val="auto"/>
          <w:sz w:val="24"/>
          <w:szCs w:val="24"/>
          <w:lang w:eastAsia="en-US"/>
        </w:rPr>
      </w:pP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jc w:val="center"/>
        <w:outlineLvl w:val="1"/>
        <w:rPr>
          <w:rFonts w:eastAsia="Calibri"/>
          <w:b/>
          <w:bCs/>
          <w:color w:val="auto"/>
          <w:sz w:val="24"/>
          <w:szCs w:val="24"/>
          <w:lang w:eastAsia="en-US"/>
        </w:rPr>
      </w:pPr>
      <w:r w:rsidRPr="0025080A">
        <w:rPr>
          <w:rFonts w:eastAsia="Calibri"/>
          <w:b/>
          <w:bCs/>
          <w:color w:val="auto"/>
          <w:sz w:val="24"/>
          <w:szCs w:val="24"/>
          <w:lang w:eastAsia="en-US"/>
        </w:rPr>
        <w:t>2.6. Индикаторы достижения цели и непосредственные</w:t>
      </w: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jc w:val="center"/>
        <w:rPr>
          <w:rFonts w:eastAsia="Calibri"/>
          <w:b/>
          <w:bCs/>
          <w:color w:val="auto"/>
          <w:sz w:val="24"/>
          <w:szCs w:val="24"/>
          <w:lang w:eastAsia="en-US"/>
        </w:rPr>
      </w:pPr>
      <w:r w:rsidRPr="0025080A">
        <w:rPr>
          <w:rFonts w:eastAsia="Calibri"/>
          <w:b/>
          <w:bCs/>
          <w:color w:val="auto"/>
          <w:sz w:val="24"/>
          <w:szCs w:val="24"/>
          <w:lang w:eastAsia="en-US"/>
        </w:rPr>
        <w:t>результаты реализации Программы</w:t>
      </w: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ind w:firstLine="540"/>
        <w:jc w:val="both"/>
        <w:rPr>
          <w:rFonts w:eastAsia="Calibri"/>
          <w:color w:val="auto"/>
          <w:sz w:val="24"/>
          <w:szCs w:val="24"/>
          <w:lang w:eastAsia="en-US"/>
        </w:rPr>
      </w:pP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ind w:firstLine="540"/>
        <w:jc w:val="both"/>
        <w:rPr>
          <w:rFonts w:eastAsia="Calibri"/>
          <w:color w:val="auto"/>
          <w:sz w:val="24"/>
          <w:szCs w:val="24"/>
          <w:lang w:eastAsia="en-US"/>
        </w:rPr>
      </w:pPr>
      <w:r w:rsidRPr="0025080A">
        <w:rPr>
          <w:rFonts w:eastAsia="Calibri"/>
          <w:color w:val="auto"/>
          <w:sz w:val="24"/>
          <w:szCs w:val="24"/>
          <w:lang w:eastAsia="en-US"/>
        </w:rPr>
        <w:t>В результате реализации Основного мероприятия Программы планируется снести 5 аварийных домов.</w:t>
      </w: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ind w:firstLine="540"/>
        <w:jc w:val="right"/>
        <w:rPr>
          <w:rFonts w:eastAsia="Calibri"/>
          <w:color w:val="auto"/>
          <w:sz w:val="24"/>
          <w:szCs w:val="24"/>
          <w:lang w:eastAsia="en-US"/>
        </w:rPr>
      </w:pPr>
      <w:r w:rsidRPr="0025080A">
        <w:rPr>
          <w:rFonts w:eastAsia="Calibri"/>
          <w:color w:val="auto"/>
          <w:sz w:val="24"/>
          <w:szCs w:val="24"/>
          <w:lang w:eastAsia="en-US"/>
        </w:rPr>
        <w:t>Таблица 2</w:t>
      </w:r>
    </w:p>
    <w:tbl>
      <w:tblPr>
        <w:tblW w:w="9787" w:type="dxa"/>
        <w:tblInd w:w="67" w:type="dxa"/>
        <w:tblLook w:val="04A0" w:firstRow="1" w:lastRow="0" w:firstColumn="1" w:lastColumn="0" w:noHBand="0" w:noVBand="1"/>
      </w:tblPr>
      <w:tblGrid>
        <w:gridCol w:w="2126"/>
        <w:gridCol w:w="2553"/>
        <w:gridCol w:w="2554"/>
        <w:gridCol w:w="2554"/>
      </w:tblGrid>
      <w:tr w:rsidR="0025080A" w:rsidRPr="0025080A" w:rsidTr="0025080A">
        <w:tc>
          <w:tcPr>
            <w:tcW w:w="21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080A" w:rsidRPr="0025080A" w:rsidRDefault="0025080A">
            <w:pPr>
              <w:jc w:val="both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>Индикаторы достижения цели и показатели непосредственных результатов Программы</w:t>
            </w:r>
          </w:p>
        </w:tc>
        <w:tc>
          <w:tcPr>
            <w:tcW w:w="7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080A" w:rsidRPr="0025080A" w:rsidRDefault="0025080A">
            <w:pPr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>Доля снесенных домов от общего числа многоквартирных домов, признанных аварийными, %</w:t>
            </w:r>
          </w:p>
        </w:tc>
      </w:tr>
      <w:tr w:rsidR="0025080A" w:rsidRPr="0025080A" w:rsidTr="0025080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080A" w:rsidRPr="0025080A" w:rsidRDefault="0025080A">
            <w:pPr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080A" w:rsidRPr="0025080A" w:rsidRDefault="0025080A">
            <w:pPr>
              <w:jc w:val="center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>2022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5080A" w:rsidRPr="0025080A" w:rsidRDefault="0025080A">
            <w:pPr>
              <w:jc w:val="center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>2023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80A" w:rsidRPr="0025080A" w:rsidRDefault="0025080A">
            <w:pPr>
              <w:jc w:val="center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>2024</w:t>
            </w:r>
          </w:p>
        </w:tc>
      </w:tr>
      <w:tr w:rsidR="0025080A" w:rsidRPr="0025080A" w:rsidTr="0025080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080A" w:rsidRPr="0025080A" w:rsidRDefault="0025080A">
            <w:pPr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080A" w:rsidRPr="0025080A" w:rsidRDefault="0025080A">
            <w:pPr>
              <w:jc w:val="center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>0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5080A" w:rsidRPr="0025080A" w:rsidRDefault="0025080A">
            <w:pPr>
              <w:jc w:val="center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>62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80A" w:rsidRPr="0025080A" w:rsidRDefault="0025080A">
            <w:pPr>
              <w:jc w:val="center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>0</w:t>
            </w:r>
          </w:p>
        </w:tc>
      </w:tr>
      <w:tr w:rsidR="0025080A" w:rsidRPr="0025080A" w:rsidTr="0025080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080A" w:rsidRPr="0025080A" w:rsidRDefault="0025080A">
            <w:pPr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</w:p>
        </w:tc>
        <w:tc>
          <w:tcPr>
            <w:tcW w:w="7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080A" w:rsidRPr="0025080A" w:rsidRDefault="0025080A">
            <w:pPr>
              <w:jc w:val="center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>Непосредственный результат - количество снесенных расселенных многоквартирных жилых домов, шт.</w:t>
            </w:r>
          </w:p>
        </w:tc>
      </w:tr>
      <w:tr w:rsidR="0025080A" w:rsidRPr="0025080A" w:rsidTr="0025080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080A" w:rsidRPr="0025080A" w:rsidRDefault="0025080A">
            <w:pPr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080A" w:rsidRPr="0025080A" w:rsidRDefault="0025080A">
            <w:pPr>
              <w:jc w:val="center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>2022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5080A" w:rsidRPr="0025080A" w:rsidRDefault="0025080A">
            <w:pPr>
              <w:jc w:val="center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>2023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80A" w:rsidRPr="0025080A" w:rsidRDefault="0025080A">
            <w:pPr>
              <w:jc w:val="center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>2024</w:t>
            </w:r>
          </w:p>
        </w:tc>
      </w:tr>
      <w:tr w:rsidR="0025080A" w:rsidRPr="0025080A" w:rsidTr="0025080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080A" w:rsidRPr="0025080A" w:rsidRDefault="0025080A">
            <w:pPr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080A" w:rsidRPr="0025080A" w:rsidRDefault="0025080A">
            <w:pPr>
              <w:jc w:val="center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>0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5080A" w:rsidRPr="0025080A" w:rsidRDefault="0025080A">
            <w:pPr>
              <w:jc w:val="center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>5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80A" w:rsidRPr="0025080A" w:rsidRDefault="0025080A">
            <w:pPr>
              <w:jc w:val="center"/>
              <w:rPr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25080A">
              <w:rPr>
                <w:color w:val="000000"/>
                <w:kern w:val="2"/>
                <w:sz w:val="24"/>
                <w:szCs w:val="24"/>
                <w:lang w:eastAsia="ru-RU" w:bidi="hi-IN"/>
              </w:rPr>
              <w:t>0</w:t>
            </w:r>
          </w:p>
        </w:tc>
      </w:tr>
    </w:tbl>
    <w:p w:rsidR="0025080A" w:rsidRPr="0025080A" w:rsidRDefault="0025080A" w:rsidP="0025080A">
      <w:pPr>
        <w:suppressAutoHyphens w:val="0"/>
        <w:autoSpaceDE w:val="0"/>
        <w:autoSpaceDN w:val="0"/>
        <w:adjustRightInd w:val="0"/>
        <w:jc w:val="center"/>
        <w:outlineLvl w:val="1"/>
        <w:rPr>
          <w:rFonts w:eastAsia="Calibri"/>
          <w:b/>
          <w:bCs/>
          <w:color w:val="auto"/>
          <w:sz w:val="24"/>
          <w:szCs w:val="24"/>
          <w:lang w:eastAsia="en-US"/>
        </w:rPr>
      </w:pP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jc w:val="center"/>
        <w:outlineLvl w:val="1"/>
        <w:rPr>
          <w:rFonts w:eastAsia="Calibri"/>
          <w:b/>
          <w:bCs/>
          <w:color w:val="auto"/>
          <w:sz w:val="24"/>
          <w:szCs w:val="24"/>
          <w:lang w:eastAsia="en-US"/>
        </w:rPr>
      </w:pPr>
      <w:r w:rsidRPr="0025080A">
        <w:rPr>
          <w:rFonts w:eastAsia="Calibri"/>
          <w:b/>
          <w:bCs/>
          <w:color w:val="auto"/>
          <w:sz w:val="24"/>
          <w:szCs w:val="24"/>
          <w:lang w:eastAsia="en-US"/>
        </w:rPr>
        <w:t>2.7. Анализ рисков реализации Подпрограммы</w:t>
      </w: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ind w:firstLine="540"/>
        <w:jc w:val="both"/>
        <w:rPr>
          <w:rFonts w:eastAsia="Calibri"/>
          <w:color w:val="auto"/>
          <w:sz w:val="24"/>
          <w:szCs w:val="24"/>
          <w:lang w:eastAsia="en-US"/>
        </w:rPr>
      </w:pP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ind w:firstLine="540"/>
        <w:jc w:val="both"/>
        <w:rPr>
          <w:rFonts w:eastAsia="Calibri"/>
          <w:color w:val="auto"/>
          <w:sz w:val="24"/>
          <w:szCs w:val="24"/>
          <w:lang w:eastAsia="en-US"/>
        </w:rPr>
      </w:pPr>
      <w:r w:rsidRPr="0025080A">
        <w:rPr>
          <w:rFonts w:eastAsia="Calibri"/>
          <w:color w:val="auto"/>
          <w:sz w:val="24"/>
          <w:szCs w:val="24"/>
          <w:lang w:eastAsia="en-US"/>
        </w:rPr>
        <w:t>Негативное влияние на реализацию Программы может оказать недостаточное финансирование Программы из средств областного и местных бюджетов, а также нестабильная ситуация в экономике, рост безработицы и сокращение доходов населения и, как следствие, снижение доходной части областного и местного бюджетов.</w:t>
      </w: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ind w:firstLine="540"/>
        <w:jc w:val="both"/>
        <w:rPr>
          <w:rFonts w:eastAsia="Calibri"/>
          <w:color w:val="auto"/>
          <w:sz w:val="24"/>
          <w:szCs w:val="24"/>
          <w:lang w:eastAsia="en-US"/>
        </w:rPr>
      </w:pP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ind w:firstLine="540"/>
        <w:jc w:val="both"/>
        <w:rPr>
          <w:rFonts w:eastAsia="Calibri"/>
          <w:color w:val="auto"/>
          <w:sz w:val="24"/>
          <w:szCs w:val="24"/>
          <w:lang w:eastAsia="en-US"/>
        </w:rPr>
      </w:pP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ind w:firstLine="540"/>
        <w:jc w:val="both"/>
        <w:rPr>
          <w:rFonts w:eastAsia="Calibri"/>
          <w:color w:val="auto"/>
          <w:sz w:val="24"/>
          <w:szCs w:val="24"/>
          <w:lang w:eastAsia="en-US"/>
        </w:rPr>
      </w:pP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ind w:firstLine="540"/>
        <w:jc w:val="both"/>
        <w:rPr>
          <w:rFonts w:eastAsia="Calibri"/>
          <w:color w:val="auto"/>
          <w:sz w:val="24"/>
          <w:szCs w:val="24"/>
          <w:lang w:eastAsia="en-US"/>
        </w:rPr>
      </w:pP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ind w:firstLine="540"/>
        <w:jc w:val="both"/>
        <w:rPr>
          <w:rFonts w:eastAsia="Calibri"/>
          <w:color w:val="auto"/>
          <w:sz w:val="24"/>
          <w:szCs w:val="24"/>
          <w:lang w:eastAsia="en-US"/>
        </w:rPr>
      </w:pP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ind w:firstLine="540"/>
        <w:jc w:val="both"/>
        <w:rPr>
          <w:rFonts w:eastAsia="Calibri"/>
          <w:color w:val="auto"/>
          <w:sz w:val="24"/>
          <w:szCs w:val="24"/>
          <w:lang w:eastAsia="en-US"/>
        </w:rPr>
      </w:pPr>
    </w:p>
    <w:p w:rsidR="0025080A" w:rsidRPr="0025080A" w:rsidRDefault="0025080A" w:rsidP="0025080A">
      <w:pPr>
        <w:suppressAutoHyphens w:val="0"/>
        <w:autoSpaceDE w:val="0"/>
        <w:autoSpaceDN w:val="0"/>
        <w:adjustRightInd w:val="0"/>
        <w:ind w:firstLine="540"/>
        <w:jc w:val="both"/>
        <w:rPr>
          <w:rFonts w:eastAsia="Calibri"/>
          <w:color w:val="auto"/>
          <w:sz w:val="24"/>
          <w:szCs w:val="24"/>
          <w:lang w:eastAsia="en-US"/>
        </w:rPr>
        <w:sectPr w:rsidR="0025080A" w:rsidRPr="0025080A">
          <w:pgSz w:w="11906" w:h="16838"/>
          <w:pgMar w:top="987" w:right="850" w:bottom="1118" w:left="1418" w:header="930" w:footer="0" w:gutter="0"/>
          <w:cols w:space="720"/>
          <w:formProt w:val="0"/>
        </w:sectPr>
      </w:pPr>
    </w:p>
    <w:p w:rsidR="0025080A" w:rsidRPr="0025080A" w:rsidRDefault="0025080A" w:rsidP="0025080A">
      <w:pPr>
        <w:pStyle w:val="ConsPlusNormal"/>
        <w:ind w:left="10488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25080A">
        <w:rPr>
          <w:rFonts w:ascii="Times New Roman" w:hAnsi="Times New Roman" w:cs="Times New Roman"/>
          <w:sz w:val="24"/>
          <w:szCs w:val="24"/>
        </w:rPr>
        <w:lastRenderedPageBreak/>
        <w:t>П</w:t>
      </w:r>
      <w:r w:rsidRPr="0025080A">
        <w:rPr>
          <w:rFonts w:ascii="Times New Roman" w:hAnsi="Times New Roman" w:cs="Times New Roman"/>
          <w:sz w:val="24"/>
          <w:szCs w:val="24"/>
        </w:rPr>
        <w:t xml:space="preserve">риложение </w:t>
      </w:r>
    </w:p>
    <w:p w:rsidR="0025080A" w:rsidRPr="0025080A" w:rsidRDefault="0025080A" w:rsidP="0025080A">
      <w:pPr>
        <w:pStyle w:val="ConsPlusNormal"/>
        <w:ind w:left="10488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25080A">
        <w:rPr>
          <w:rFonts w:ascii="Times New Roman" w:hAnsi="Times New Roman" w:cs="Times New Roman"/>
          <w:sz w:val="24"/>
          <w:szCs w:val="24"/>
        </w:rPr>
        <w:t>к Программе «</w:t>
      </w:r>
      <w:r w:rsidRPr="0025080A">
        <w:rPr>
          <w:rFonts w:ascii="Times New Roman" w:hAnsi="Times New Roman" w:cs="Times New Roman"/>
          <w:bCs/>
          <w:sz w:val="24"/>
          <w:szCs w:val="24"/>
        </w:rPr>
        <w:t>Снос расселенных многоквартирных жилых домов в Шарангском муниципальном районе Нижегородской области, признанных аварийными»</w:t>
      </w:r>
    </w:p>
    <w:p w:rsidR="0025080A" w:rsidRPr="0025080A" w:rsidRDefault="0025080A" w:rsidP="0025080A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25080A">
        <w:rPr>
          <w:rFonts w:ascii="Times New Roman" w:hAnsi="Times New Roman" w:cs="Times New Roman"/>
          <w:sz w:val="24"/>
          <w:szCs w:val="24"/>
        </w:rPr>
        <w:t>Система мероприятий Программы</w:t>
      </w:r>
    </w:p>
    <w:p w:rsidR="0025080A" w:rsidRPr="0025080A" w:rsidRDefault="0025080A" w:rsidP="0025080A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5566" w:type="dxa"/>
        <w:tblInd w:w="123" w:type="dxa"/>
        <w:tblLook w:val="04A0" w:firstRow="1" w:lastRow="0" w:firstColumn="1" w:lastColumn="0" w:noHBand="0" w:noVBand="1"/>
      </w:tblPr>
      <w:tblGrid>
        <w:gridCol w:w="650"/>
        <w:gridCol w:w="3608"/>
        <w:gridCol w:w="2055"/>
        <w:gridCol w:w="126"/>
        <w:gridCol w:w="2287"/>
        <w:gridCol w:w="2273"/>
        <w:gridCol w:w="1114"/>
        <w:gridCol w:w="1099"/>
        <w:gridCol w:w="1190"/>
        <w:gridCol w:w="1164"/>
      </w:tblGrid>
      <w:tr w:rsidR="0025080A" w:rsidRPr="0025080A" w:rsidTr="0025080A"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№ п</w:t>
            </w: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val="en-US" w:bidi="hi-IN"/>
              </w:rPr>
              <w:t>/</w:t>
            </w: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п</w:t>
            </w:r>
          </w:p>
        </w:tc>
        <w:tc>
          <w:tcPr>
            <w:tcW w:w="3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Наименование мероприятия</w:t>
            </w:r>
          </w:p>
        </w:tc>
        <w:tc>
          <w:tcPr>
            <w:tcW w:w="2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Сроки выполнения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Исполнители мероприятий</w:t>
            </w:r>
          </w:p>
        </w:tc>
        <w:tc>
          <w:tcPr>
            <w:tcW w:w="68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Источники финансирования, тыс.руб.</w:t>
            </w:r>
          </w:p>
        </w:tc>
      </w:tr>
      <w:tr w:rsidR="0025080A" w:rsidRPr="0025080A" w:rsidTr="0025080A">
        <w:tc>
          <w:tcPr>
            <w:tcW w:w="8726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ind w:firstLine="0"/>
              <w:jc w:val="both"/>
              <w:rPr>
                <w:rFonts w:ascii="Times New Roman" w:hAnsi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Цель Программы: Создание благоприятных и безопасных условий для проживания, а также повышение качества и условий жизни населения Шарангского муниципального района Нижегородской области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Годы: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2022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2023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2024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Всего</w:t>
            </w:r>
          </w:p>
        </w:tc>
      </w:tr>
      <w:tr w:rsidR="0025080A" w:rsidRPr="0025080A" w:rsidTr="0025080A">
        <w:tc>
          <w:tcPr>
            <w:tcW w:w="0" w:type="auto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rFonts w:cs="Arial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Всего, в том числе: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79,60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jc w:val="center"/>
              <w:rPr>
                <w:kern w:val="2"/>
                <w:sz w:val="24"/>
                <w:szCs w:val="24"/>
                <w:lang w:bidi="hi-IN"/>
              </w:rPr>
            </w:pPr>
            <w:r w:rsidRPr="0025080A">
              <w:rPr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080A" w:rsidRPr="0025080A" w:rsidRDefault="0025080A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79,60</w:t>
            </w:r>
          </w:p>
        </w:tc>
      </w:tr>
      <w:tr w:rsidR="0025080A" w:rsidRPr="0025080A" w:rsidTr="0025080A">
        <w:tc>
          <w:tcPr>
            <w:tcW w:w="0" w:type="auto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rFonts w:cs="Arial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Федеральный бюджет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jc w:val="center"/>
              <w:rPr>
                <w:kern w:val="2"/>
                <w:sz w:val="24"/>
                <w:szCs w:val="24"/>
                <w:lang w:bidi="hi-IN"/>
              </w:rPr>
            </w:pPr>
            <w:r w:rsidRPr="0025080A">
              <w:rPr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25080A" w:rsidRPr="0025080A" w:rsidTr="0025080A">
        <w:tc>
          <w:tcPr>
            <w:tcW w:w="0" w:type="auto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rFonts w:cs="Arial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Областной бюджет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jc w:val="center"/>
              <w:rPr>
                <w:kern w:val="2"/>
                <w:sz w:val="24"/>
                <w:szCs w:val="24"/>
                <w:lang w:bidi="hi-IN"/>
              </w:rPr>
            </w:pPr>
            <w:r w:rsidRPr="0025080A">
              <w:rPr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25080A" w:rsidRPr="0025080A" w:rsidTr="0025080A">
        <w:tc>
          <w:tcPr>
            <w:tcW w:w="0" w:type="auto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rFonts w:cs="Arial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Местный бюджет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79,60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jc w:val="center"/>
              <w:rPr>
                <w:kern w:val="2"/>
                <w:sz w:val="24"/>
                <w:szCs w:val="24"/>
                <w:lang w:bidi="hi-IN"/>
              </w:rPr>
            </w:pPr>
            <w:r w:rsidRPr="0025080A">
              <w:rPr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080A" w:rsidRPr="0025080A" w:rsidRDefault="0025080A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79,60</w:t>
            </w:r>
          </w:p>
        </w:tc>
      </w:tr>
      <w:tr w:rsidR="0025080A" w:rsidRPr="0025080A" w:rsidTr="0025080A">
        <w:tc>
          <w:tcPr>
            <w:tcW w:w="0" w:type="auto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rFonts w:cs="Arial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Прочие источники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jc w:val="center"/>
              <w:rPr>
                <w:kern w:val="2"/>
                <w:sz w:val="24"/>
                <w:szCs w:val="24"/>
                <w:lang w:bidi="hi-IN"/>
              </w:rPr>
            </w:pPr>
            <w:r w:rsidRPr="0025080A">
              <w:rPr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25080A" w:rsidRPr="0025080A" w:rsidTr="0025080A">
        <w:tc>
          <w:tcPr>
            <w:tcW w:w="6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1.1</w:t>
            </w:r>
          </w:p>
        </w:tc>
        <w:tc>
          <w:tcPr>
            <w:tcW w:w="3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ind w:firstLine="0"/>
              <w:jc w:val="both"/>
              <w:rPr>
                <w:rFonts w:ascii="Times New Roman" w:hAnsi="Times New Roman"/>
                <w:color w:val="auto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  <w:lang w:bidi="hi-IN"/>
              </w:rPr>
              <w:t>Организация подготовки и подготовка документации на снос расселенных многоквартирных жилых домов в Шарангском муниципальном районе Нижегородской области, признанных аварийными</w:t>
            </w:r>
          </w:p>
        </w:tc>
        <w:tc>
          <w:tcPr>
            <w:tcW w:w="20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  <w:lang w:bidi="hi-IN"/>
              </w:rPr>
              <w:t>после расселения многоквартирных домов</w:t>
            </w:r>
          </w:p>
        </w:tc>
        <w:tc>
          <w:tcPr>
            <w:tcW w:w="241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  <w:lang w:bidi="hi-IN"/>
              </w:rPr>
              <w:t>Отдел по управлению муниципальным имуществом администрации Шарангского муниципального района, специализированные организации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Всего, в том числе: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jc w:val="center"/>
              <w:rPr>
                <w:kern w:val="2"/>
                <w:sz w:val="24"/>
                <w:szCs w:val="24"/>
                <w:lang w:bidi="hi-IN"/>
              </w:rPr>
            </w:pPr>
            <w:r w:rsidRPr="0025080A">
              <w:rPr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080A" w:rsidRPr="0025080A" w:rsidRDefault="0025080A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0,00</w:t>
            </w:r>
          </w:p>
        </w:tc>
      </w:tr>
      <w:tr w:rsidR="0025080A" w:rsidRPr="0025080A" w:rsidTr="0025080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rFonts w:cs="Arial"/>
                <w:color w:val="auto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color w:val="auto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color w:val="auto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Федеральный бюджет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jc w:val="center"/>
              <w:rPr>
                <w:kern w:val="2"/>
                <w:sz w:val="24"/>
                <w:szCs w:val="24"/>
                <w:lang w:bidi="hi-IN"/>
              </w:rPr>
            </w:pPr>
            <w:r w:rsidRPr="0025080A">
              <w:rPr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25080A" w:rsidRPr="0025080A" w:rsidTr="0025080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rFonts w:cs="Arial"/>
                <w:color w:val="auto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color w:val="auto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color w:val="auto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Областной бюджет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jc w:val="center"/>
              <w:rPr>
                <w:kern w:val="2"/>
                <w:sz w:val="24"/>
                <w:szCs w:val="24"/>
                <w:lang w:bidi="hi-IN"/>
              </w:rPr>
            </w:pPr>
            <w:r w:rsidRPr="0025080A">
              <w:rPr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25080A" w:rsidRPr="0025080A" w:rsidTr="0025080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rFonts w:cs="Arial"/>
                <w:color w:val="auto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color w:val="auto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color w:val="auto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Местный бюджет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jc w:val="center"/>
              <w:rPr>
                <w:kern w:val="2"/>
                <w:sz w:val="24"/>
                <w:szCs w:val="24"/>
                <w:lang w:bidi="hi-IN"/>
              </w:rPr>
            </w:pPr>
            <w:r w:rsidRPr="0025080A">
              <w:rPr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080A" w:rsidRPr="0025080A" w:rsidRDefault="0025080A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0,00</w:t>
            </w:r>
          </w:p>
        </w:tc>
      </w:tr>
      <w:tr w:rsidR="0025080A" w:rsidRPr="0025080A" w:rsidTr="0025080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rFonts w:cs="Arial"/>
                <w:color w:val="auto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color w:val="auto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color w:val="auto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Прочие источники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jc w:val="center"/>
              <w:rPr>
                <w:kern w:val="2"/>
                <w:sz w:val="24"/>
                <w:szCs w:val="24"/>
                <w:lang w:bidi="hi-IN"/>
              </w:rPr>
            </w:pPr>
            <w:r w:rsidRPr="0025080A">
              <w:rPr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25080A" w:rsidRPr="0025080A" w:rsidTr="0025080A">
        <w:tc>
          <w:tcPr>
            <w:tcW w:w="6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1.2</w:t>
            </w:r>
          </w:p>
        </w:tc>
        <w:tc>
          <w:tcPr>
            <w:tcW w:w="3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Оформление и подача заявок на финансирование Программы за счет средств областного бюджета</w:t>
            </w:r>
          </w:p>
        </w:tc>
        <w:tc>
          <w:tcPr>
            <w:tcW w:w="20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после оформления документации</w:t>
            </w:r>
          </w:p>
        </w:tc>
        <w:tc>
          <w:tcPr>
            <w:tcW w:w="241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 xml:space="preserve">Отдел по управлению муниципальным имуществом администрации Шарангского муниципального </w:t>
            </w: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lastRenderedPageBreak/>
              <w:t>района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lastRenderedPageBreak/>
              <w:t>Всего, в том числе: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jc w:val="center"/>
              <w:rPr>
                <w:kern w:val="2"/>
                <w:sz w:val="24"/>
                <w:szCs w:val="24"/>
                <w:lang w:bidi="hi-IN"/>
              </w:rPr>
            </w:pPr>
            <w:r w:rsidRPr="0025080A">
              <w:rPr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080A" w:rsidRPr="0025080A" w:rsidRDefault="0025080A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0,00</w:t>
            </w:r>
          </w:p>
        </w:tc>
      </w:tr>
      <w:tr w:rsidR="0025080A" w:rsidRPr="0025080A" w:rsidTr="0025080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color w:val="auto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Федеральный бюджет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jc w:val="center"/>
              <w:rPr>
                <w:kern w:val="2"/>
                <w:sz w:val="24"/>
                <w:szCs w:val="24"/>
                <w:lang w:bidi="hi-IN"/>
              </w:rPr>
            </w:pPr>
            <w:r w:rsidRPr="0025080A">
              <w:rPr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25080A" w:rsidRPr="0025080A" w:rsidTr="0025080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color w:val="auto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Областной бюджет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jc w:val="center"/>
              <w:rPr>
                <w:kern w:val="2"/>
                <w:sz w:val="24"/>
                <w:szCs w:val="24"/>
                <w:lang w:bidi="hi-IN"/>
              </w:rPr>
            </w:pPr>
            <w:r w:rsidRPr="0025080A">
              <w:rPr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25080A" w:rsidRPr="0025080A" w:rsidTr="0025080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color w:val="auto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Местный бюджет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jc w:val="center"/>
              <w:rPr>
                <w:kern w:val="2"/>
                <w:sz w:val="24"/>
                <w:szCs w:val="24"/>
                <w:lang w:bidi="hi-IN"/>
              </w:rPr>
            </w:pPr>
            <w:r w:rsidRPr="0025080A">
              <w:rPr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080A" w:rsidRPr="0025080A" w:rsidRDefault="0025080A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0,00</w:t>
            </w:r>
          </w:p>
        </w:tc>
      </w:tr>
      <w:tr w:rsidR="0025080A" w:rsidRPr="0025080A" w:rsidTr="0025080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color w:val="auto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Прочие источники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jc w:val="center"/>
              <w:rPr>
                <w:kern w:val="2"/>
                <w:sz w:val="24"/>
                <w:szCs w:val="24"/>
                <w:lang w:bidi="hi-IN"/>
              </w:rPr>
            </w:pPr>
            <w:r w:rsidRPr="0025080A">
              <w:rPr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25080A" w:rsidRPr="0025080A" w:rsidTr="0025080A">
        <w:tc>
          <w:tcPr>
            <w:tcW w:w="6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1.3</w:t>
            </w:r>
          </w:p>
        </w:tc>
        <w:tc>
          <w:tcPr>
            <w:tcW w:w="3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Снос расселенных многоквартирных жилых домов в Шарангском муниципальном районе Нижегородской области, признанных аварийными</w:t>
            </w:r>
          </w:p>
        </w:tc>
        <w:tc>
          <w:tcPr>
            <w:tcW w:w="20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  <w:lang w:bidi="hi-IN"/>
              </w:rPr>
              <w:t xml:space="preserve">после оформления документов на снос </w:t>
            </w:r>
          </w:p>
        </w:tc>
        <w:tc>
          <w:tcPr>
            <w:tcW w:w="241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  <w:lang w:bidi="hi-IN"/>
              </w:rPr>
              <w:t>Отдел по управлению муниципальным имуществом администрации Шарангского муниципального района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Всего, в том числе: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79,60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kern w:val="2"/>
                <w:sz w:val="24"/>
                <w:szCs w:val="24"/>
                <w:lang w:bidi="hi-IN"/>
              </w:rPr>
            </w:pPr>
            <w:r w:rsidRPr="0025080A">
              <w:rPr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79,60</w:t>
            </w:r>
          </w:p>
        </w:tc>
      </w:tr>
      <w:tr w:rsidR="0025080A" w:rsidRPr="0025080A" w:rsidTr="0025080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color w:val="auto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color w:val="auto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color w:val="auto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Федеральный бюджет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kern w:val="2"/>
                <w:sz w:val="24"/>
                <w:szCs w:val="24"/>
                <w:lang w:bidi="hi-IN"/>
              </w:rPr>
            </w:pPr>
            <w:r w:rsidRPr="0025080A">
              <w:rPr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25080A" w:rsidRPr="0025080A" w:rsidTr="0025080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color w:val="auto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color w:val="auto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color w:val="auto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Областной бюджет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kern w:val="2"/>
                <w:sz w:val="24"/>
                <w:szCs w:val="24"/>
                <w:lang w:bidi="hi-IN"/>
              </w:rPr>
            </w:pPr>
            <w:r w:rsidRPr="0025080A">
              <w:rPr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25080A" w:rsidRPr="0025080A" w:rsidTr="0025080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color w:val="auto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color w:val="auto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color w:val="auto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Местный бюджет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79,60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kern w:val="2"/>
                <w:sz w:val="24"/>
                <w:szCs w:val="24"/>
                <w:lang w:bidi="hi-IN"/>
              </w:rPr>
            </w:pPr>
            <w:r w:rsidRPr="0025080A">
              <w:rPr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79,60</w:t>
            </w:r>
          </w:p>
        </w:tc>
      </w:tr>
      <w:tr w:rsidR="0025080A" w:rsidRPr="0025080A" w:rsidTr="0025080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color w:val="auto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color w:val="auto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color w:val="auto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Прочие источники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kern w:val="2"/>
                <w:sz w:val="24"/>
                <w:szCs w:val="24"/>
                <w:lang w:bidi="hi-IN"/>
              </w:rPr>
            </w:pPr>
            <w:r w:rsidRPr="0025080A">
              <w:rPr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25080A" w:rsidRPr="0025080A" w:rsidTr="0025080A">
        <w:tc>
          <w:tcPr>
            <w:tcW w:w="6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1.4</w:t>
            </w:r>
          </w:p>
        </w:tc>
        <w:tc>
          <w:tcPr>
            <w:tcW w:w="3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Организация отчетности по реализации Программы и</w:t>
            </w:r>
          </w:p>
          <w:p w:rsidR="0025080A" w:rsidRPr="0025080A" w:rsidRDefault="0025080A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расходованию бюджетных средств, направляемых на реализацию Программы</w:t>
            </w:r>
          </w:p>
        </w:tc>
        <w:tc>
          <w:tcPr>
            <w:tcW w:w="20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в соответствии с соглашением о предоставлении субсидии</w:t>
            </w:r>
          </w:p>
        </w:tc>
        <w:tc>
          <w:tcPr>
            <w:tcW w:w="241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Отдел по управлению муниципальным имуществом администрации Шарангского муниципального района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Всего, в том числе: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kern w:val="2"/>
                <w:sz w:val="24"/>
                <w:szCs w:val="24"/>
                <w:lang w:bidi="hi-IN"/>
              </w:rPr>
            </w:pPr>
            <w:r w:rsidRPr="0025080A">
              <w:rPr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25080A" w:rsidRPr="0025080A" w:rsidTr="0025080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color w:val="auto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Федеральный бюджет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kern w:val="2"/>
                <w:sz w:val="24"/>
                <w:szCs w:val="24"/>
                <w:lang w:bidi="hi-IN"/>
              </w:rPr>
            </w:pPr>
            <w:r w:rsidRPr="0025080A">
              <w:rPr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25080A" w:rsidRPr="0025080A" w:rsidTr="0025080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color w:val="auto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Областной бюджет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kern w:val="2"/>
                <w:sz w:val="24"/>
                <w:szCs w:val="24"/>
                <w:lang w:bidi="hi-IN"/>
              </w:rPr>
            </w:pPr>
            <w:r w:rsidRPr="0025080A">
              <w:rPr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25080A" w:rsidRPr="0025080A" w:rsidTr="0025080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color w:val="auto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Местный бюджет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kern w:val="2"/>
                <w:sz w:val="24"/>
                <w:szCs w:val="24"/>
                <w:lang w:bidi="hi-IN"/>
              </w:rPr>
            </w:pPr>
            <w:r w:rsidRPr="0025080A">
              <w:rPr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  <w:tr w:rsidR="0025080A" w:rsidRPr="0025080A" w:rsidTr="0025080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color w:val="auto"/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kern w:val="2"/>
                <w:sz w:val="24"/>
                <w:szCs w:val="24"/>
                <w:lang w:bidi="hi-IN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5080A" w:rsidRPr="0025080A" w:rsidRDefault="0025080A">
            <w:pPr>
              <w:pStyle w:val="ConsPlusNormal"/>
              <w:ind w:firstLine="0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Прочие источники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5080A" w:rsidRPr="0025080A" w:rsidRDefault="0025080A">
            <w:pPr>
              <w:rPr>
                <w:kern w:val="2"/>
                <w:sz w:val="24"/>
                <w:szCs w:val="24"/>
                <w:lang w:bidi="hi-IN"/>
              </w:rPr>
            </w:pPr>
            <w:r w:rsidRPr="0025080A">
              <w:rPr>
                <w:kern w:val="2"/>
                <w:sz w:val="24"/>
                <w:szCs w:val="24"/>
                <w:lang w:bidi="hi-IN"/>
              </w:rPr>
              <w:t>0,00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080A" w:rsidRPr="0025080A" w:rsidRDefault="0025080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25080A">
              <w:rPr>
                <w:rFonts w:ascii="Times New Roman" w:hAnsi="Times New Roman" w:cs="Times New Roman"/>
                <w:kern w:val="2"/>
                <w:sz w:val="24"/>
                <w:szCs w:val="24"/>
                <w:lang w:bidi="hi-IN"/>
              </w:rPr>
              <w:t>0,00</w:t>
            </w:r>
          </w:p>
        </w:tc>
      </w:tr>
    </w:tbl>
    <w:p w:rsidR="0025080A" w:rsidRPr="0025080A" w:rsidRDefault="0025080A" w:rsidP="0025080A">
      <w:pPr>
        <w:suppressAutoHyphens w:val="0"/>
        <w:autoSpaceDE w:val="0"/>
        <w:autoSpaceDN w:val="0"/>
        <w:adjustRightInd w:val="0"/>
        <w:ind w:firstLine="540"/>
        <w:jc w:val="both"/>
        <w:rPr>
          <w:rFonts w:eastAsia="Calibri"/>
          <w:color w:val="auto"/>
          <w:sz w:val="24"/>
          <w:szCs w:val="24"/>
          <w:lang w:eastAsia="en-US"/>
        </w:rPr>
      </w:pPr>
    </w:p>
    <w:p w:rsidR="00B3118B" w:rsidRPr="0025080A" w:rsidRDefault="0025080A">
      <w:pPr>
        <w:tabs>
          <w:tab w:val="left" w:pos="7485"/>
        </w:tabs>
        <w:jc w:val="both"/>
        <w:rPr>
          <w:sz w:val="24"/>
          <w:szCs w:val="24"/>
        </w:rPr>
      </w:pPr>
      <w:r w:rsidRPr="0025080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-25400</wp:posOffset>
                </wp:positionH>
                <wp:positionV relativeFrom="paragraph">
                  <wp:posOffset>7915910</wp:posOffset>
                </wp:positionV>
                <wp:extent cx="2945765" cy="1028065"/>
                <wp:effectExtent l="369570" t="128270" r="0" b="0"/>
                <wp:wrapNone/>
                <wp:docPr id="2" name="Врезка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5765" cy="102806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E77C32" id="Врезка1" o:spid="_x0000_s1026" style="position:absolute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" o:allowincell="f" path="m,l-127,r,-127l,-127,,xe" stroked="f" strokecolor="#3465a4">
                <v:path o:connecttype="custom" o:connectlocs="0,0;-374112,0;-374112,-130564;0,-130564" o:connectangles="0,0,0,0"/>
              </v:shape>
            </w:pict>
          </mc:Fallback>
        </mc:AlternateContent>
      </w:r>
    </w:p>
    <w:sectPr w:rsidR="00B3118B" w:rsidRPr="0025080A" w:rsidSect="0025080A">
      <w:headerReference w:type="default" r:id="rId8"/>
      <w:headerReference w:type="first" r:id="rId9"/>
      <w:pgSz w:w="16838" w:h="11906" w:orient="landscape"/>
      <w:pgMar w:top="1418" w:right="987" w:bottom="851" w:left="1117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3118B" w:rsidRDefault="00B3118B" w:rsidP="00B3118B">
      <w:r>
        <w:separator/>
      </w:r>
    </w:p>
  </w:endnote>
  <w:endnote w:type="continuationSeparator" w:id="0">
    <w:p w:rsidR="00B3118B" w:rsidRDefault="00B3118B" w:rsidP="00B31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3118B" w:rsidRDefault="00B3118B" w:rsidP="00B3118B">
      <w:r>
        <w:separator/>
      </w:r>
    </w:p>
  </w:footnote>
  <w:footnote w:type="continuationSeparator" w:id="0">
    <w:p w:rsidR="00B3118B" w:rsidRDefault="00B3118B" w:rsidP="00B311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3118B" w:rsidRDefault="00B26514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335CCB"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3118B" w:rsidRDefault="00B3118B">
    <w:pPr>
      <w:pStyle w:val="12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48FC395C"/>
    <w:multiLevelType w:val="hybridMultilevel"/>
    <w:tmpl w:val="3AD687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18B"/>
    <w:rsid w:val="000C7E25"/>
    <w:rsid w:val="001862C4"/>
    <w:rsid w:val="0020794B"/>
    <w:rsid w:val="0025080A"/>
    <w:rsid w:val="00335CCB"/>
    <w:rsid w:val="00596204"/>
    <w:rsid w:val="00847F62"/>
    <w:rsid w:val="00887FAB"/>
    <w:rsid w:val="00920650"/>
    <w:rsid w:val="0093729F"/>
    <w:rsid w:val="00B26514"/>
    <w:rsid w:val="00B3118B"/>
    <w:rsid w:val="00BE1ABE"/>
    <w:rsid w:val="00C676C4"/>
    <w:rsid w:val="00C96B72"/>
    <w:rsid w:val="00D43941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649F5B4"/>
  <w15:docId w15:val="{25C4990C-F63B-4E33-A040-923EB8464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Cell">
    <w:name w:val="ConsPlusCell"/>
    <w:qFormat/>
    <w:rsid w:val="0025080A"/>
    <w:pPr>
      <w:widowControl w:val="0"/>
    </w:pPr>
    <w:rPr>
      <w:rFonts w:ascii="Arial" w:eastAsia="Times New Roman" w:hAnsi="Arial" w:cs="Arial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2702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0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1440</Words>
  <Characters>8212</Characters>
  <Application>Microsoft Office Word</Application>
  <DocSecurity>0</DocSecurity>
  <Lines>68</Lines>
  <Paragraphs>19</Paragraphs>
  <ScaleCrop>false</ScaleCrop>
  <Company>Microsoft</Company>
  <LinksUpToDate>false</LinksUpToDate>
  <CharactersWithSpaces>9633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Приемная</cp:lastModifiedBy>
  <cp:revision>2</cp:revision>
  <cp:lastPrinted>2022-10-21T13:46:00Z</cp:lastPrinted>
  <dcterms:created xsi:type="dcterms:W3CDTF">2022-10-21T13:46:00Z</dcterms:created>
  <dcterms:modified xsi:type="dcterms:W3CDTF">2022-10-21T13:46:00Z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