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Cs w:val="28"/>
        </w:rPr>
      </w:pPr>
      <w:r>
        <w:rPr>
          <w:szCs w:val="28"/>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p>
    <w:p>
      <w:pPr>
        <w:pStyle w:val="Normal"/>
        <w:spacing w:lineRule="auto" w:line="216" w:before="40" w:after="0"/>
        <w:jc w:val="center"/>
        <w:rPr>
          <w:b/>
          <w:b/>
          <w:kern w:val="2"/>
          <w:sz w:val="32"/>
          <w:szCs w:val="32"/>
        </w:rPr>
      </w:pPr>
      <w:r>
        <w:rPr>
          <w:b/>
          <w:kern w:val="2"/>
          <w:sz w:val="32"/>
          <w:szCs w:val="32"/>
        </w:rPr>
      </w:r>
    </w:p>
    <w:p>
      <w:pPr>
        <w:pStyle w:val="Normal"/>
        <w:spacing w:lineRule="auto" w:line="216" w:before="40" w:after="0"/>
        <w:jc w:val="center"/>
        <w:rPr>
          <w:b/>
          <w:b/>
          <w:kern w:val="2"/>
          <w:sz w:val="28"/>
          <w:szCs w:val="28"/>
        </w:rPr>
      </w:pPr>
      <w:r>
        <w:rPr>
          <w:b/>
          <w:kern w:val="2"/>
          <w:sz w:val="28"/>
          <w:szCs w:val="28"/>
        </w:rPr>
        <w:t>ЗЕМСКОЕ СОБРАНИЕ</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rPr>
          <w:sz w:val="28"/>
          <w:szCs w:val="28"/>
        </w:rPr>
      </w:pPr>
      <w:r>
        <w:rPr>
          <w:sz w:val="28"/>
          <w:szCs w:val="28"/>
        </w:rPr>
        <w:t>НИЖЕГОРОДСКОЙ ОБЛАСТИ</w:t>
      </w:r>
    </w:p>
    <w:p>
      <w:pPr>
        <w:pStyle w:val="1"/>
        <w:rPr>
          <w:spacing w:val="60"/>
          <w:sz w:val="28"/>
          <w:szCs w:val="28"/>
        </w:rPr>
      </w:pPr>
      <w:r>
        <w:rPr>
          <w:spacing w:val="60"/>
          <w:sz w:val="28"/>
          <w:szCs w:val="28"/>
        </w:rPr>
      </w:r>
    </w:p>
    <w:p>
      <w:pPr>
        <w:pStyle w:val="1"/>
        <w:ind w:left="142" w:hanging="142"/>
        <w:rPr>
          <w:spacing w:val="60"/>
          <w:sz w:val="28"/>
          <w:szCs w:val="28"/>
        </w:rPr>
      </w:pPr>
      <w:r>
        <w:rPr>
          <w:spacing w:val="60"/>
          <w:sz w:val="28"/>
          <w:szCs w:val="28"/>
        </w:rPr>
        <w:t>РЕШЕНИЕ</w:t>
      </w:r>
    </w:p>
    <w:p>
      <w:pPr>
        <w:pStyle w:val="Normal"/>
        <w:jc w:val="both"/>
        <w:rPr>
          <w:spacing w:val="60"/>
          <w:sz w:val="28"/>
          <w:szCs w:val="28"/>
          <w:lang w:val="ru-RU" w:eastAsia="ru-RU"/>
        </w:rPr>
      </w:pPr>
      <w:r>
        <w:rPr>
          <w:spacing w:val="60"/>
          <w:sz w:val="28"/>
          <w:szCs w:val="28"/>
          <w:lang w:val="ru-RU" w:eastAsia="ru-RU"/>
        </w:rPr>
      </w:r>
      <w:r>
        <mc:AlternateContent>
          <mc:Choice Requires="wps">
            <w:drawing>
              <wp:anchor behindDoc="0" distT="0" distB="0" distL="114935" distR="114935" simplePos="0" locked="0" layoutInCell="0" allowOverlap="1" relativeHeight="5">
                <wp:simplePos x="0" y="0"/>
                <wp:positionH relativeFrom="column">
                  <wp:posOffset>261620</wp:posOffset>
                </wp:positionH>
                <wp:positionV relativeFrom="paragraph">
                  <wp:posOffset>40005</wp:posOffset>
                </wp:positionV>
                <wp:extent cx="1228725" cy="320040"/>
                <wp:effectExtent l="0" t="0" r="0" b="0"/>
                <wp:wrapNone/>
                <wp:docPr id="2"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 w:val="28"/>
                                <w:szCs w:val="28"/>
                              </w:rPr>
                            </w:pPr>
                            <w:r>
                              <w:rPr>
                                <w:sz w:val="28"/>
                                <w:szCs w:val="28"/>
                              </w:rPr>
                              <w:t>23.12.2021</w:t>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 w:val="28"/>
                          <w:szCs w:val="28"/>
                        </w:rPr>
                      </w:pPr>
                      <w:r>
                        <w:rPr>
                          <w:sz w:val="28"/>
                          <w:szCs w:val="28"/>
                        </w:rPr>
                        <w:t>23.12.2021</w:t>
                      </w:r>
                    </w:p>
                  </w:txbxContent>
                </v:textbox>
                <w10:wrap type="none"/>
              </v:rect>
            </w:pict>
          </mc:Fallback>
        </mc:AlternateContent>
      </w:r>
      <w:r>
        <mc:AlternateContent>
          <mc:Choice Requires="wps">
            <w:drawing>
              <wp:anchor behindDoc="0" distT="0" distB="0" distL="114935" distR="114935" simplePos="0" locked="0" layoutInCell="0" allowOverlap="1" relativeHeight="6">
                <wp:simplePos x="0" y="0"/>
                <wp:positionH relativeFrom="column">
                  <wp:posOffset>4643120</wp:posOffset>
                </wp:positionH>
                <wp:positionV relativeFrom="paragraph">
                  <wp:posOffset>40005</wp:posOffset>
                </wp:positionV>
                <wp:extent cx="1228725" cy="320040"/>
                <wp:effectExtent l="0" t="0" r="0" b="0"/>
                <wp:wrapNone/>
                <wp:docPr id="3"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jc w:val="center"/>
                              <w:rPr>
                                <w:sz w:val="28"/>
                                <w:szCs w:val="28"/>
                              </w:rPr>
                            </w:pPr>
                            <w:r>
                              <w:rPr>
                                <w:sz w:val="28"/>
                                <w:szCs w:val="28"/>
                              </w:rPr>
                              <w:t>55</w:t>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jc w:val="center"/>
                        <w:rPr>
                          <w:sz w:val="28"/>
                          <w:szCs w:val="28"/>
                        </w:rPr>
                      </w:pPr>
                      <w:r>
                        <w:rPr>
                          <w:sz w:val="28"/>
                          <w:szCs w:val="28"/>
                        </w:rPr>
                        <w:t>55</w:t>
                      </w:r>
                    </w:p>
                  </w:txbxContent>
                </v:textbox>
                <w10:wrap type="none"/>
              </v:rect>
            </w:pict>
          </mc:Fallback>
        </mc:AlternateContent>
      </w:r>
    </w:p>
    <w:p>
      <w:pPr>
        <w:pStyle w:val="Normal"/>
        <w:tabs>
          <w:tab w:val="clear" w:pos="720"/>
          <w:tab w:val="left" w:pos="6946" w:leader="none"/>
        </w:tabs>
        <w:rPr>
          <w:sz w:val="28"/>
          <w:szCs w:val="28"/>
        </w:rPr>
      </w:pPr>
      <w:r>
        <mc:AlternateContent>
          <mc:Choice Requires="wps">
            <w:drawing>
              <wp:anchor behindDoc="0" distT="4445" distB="4445" distL="119380" distR="119380" simplePos="0" locked="0" layoutInCell="0" allowOverlap="1" relativeHeight="3">
                <wp:simplePos x="0" y="0"/>
                <wp:positionH relativeFrom="column">
                  <wp:posOffset>294005</wp:posOffset>
                </wp:positionH>
                <wp:positionV relativeFrom="paragraph">
                  <wp:posOffset>156210</wp:posOffset>
                </wp:positionV>
                <wp:extent cx="1257935" cy="635"/>
                <wp:effectExtent l="0" t="0" r="0" b="0"/>
                <wp:wrapNone/>
                <wp:docPr id="4" name=""/>
                <a:graphic xmlns:a="http://schemas.openxmlformats.org/drawingml/2006/main">
                  <a:graphicData uri="http://schemas.microsoft.com/office/word/2010/wordprocessingShape">
                    <wps:wsp>
                      <wps:cNvSpPr/>
                      <wps:spPr>
                        <a:xfrm>
                          <a:off x="0" y="0"/>
                          <a:ext cx="125748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23.15pt,12.3pt" to="122.1pt,12.3pt" stroked="t" o:allowincell="f" style="position:absolute">
                <v:stroke color="black" weight="9360" joinstyle="miter" endcap="flat"/>
                <v:fill o:detectmouseclick="t" on="false"/>
                <w10:wrap type="none"/>
              </v:line>
            </w:pict>
          </mc:Fallback>
        </mc:AlternateContent>
        <mc:AlternateContent>
          <mc:Choice Requires="wps">
            <w:drawing>
              <wp:anchor behindDoc="0" distT="4445" distB="4445" distL="119380" distR="119380" simplePos="0" locked="0" layoutInCell="0" allowOverlap="1" relativeHeight="4">
                <wp:simplePos x="0" y="0"/>
                <wp:positionH relativeFrom="column">
                  <wp:posOffset>4688205</wp:posOffset>
                </wp:positionH>
                <wp:positionV relativeFrom="paragraph">
                  <wp:posOffset>156210</wp:posOffset>
                </wp:positionV>
                <wp:extent cx="1118235" cy="635"/>
                <wp:effectExtent l="0" t="0" r="0" b="0"/>
                <wp:wrapNone/>
                <wp:docPr id="5" name=""/>
                <a:graphic xmlns:a="http://schemas.openxmlformats.org/drawingml/2006/main">
                  <a:graphicData uri="http://schemas.microsoft.com/office/word/2010/wordprocessingShape">
                    <wps:wsp>
                      <wps:cNvSpPr/>
                      <wps:spPr>
                        <a:xfrm>
                          <a:off x="0" y="0"/>
                          <a:ext cx="111744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369.15pt,12.3pt" to="457.1pt,12.3pt" stroked="t" o:allowincell="f" style="position:absolute">
                <v:stroke color="black" weight="9360" joinstyle="miter" endcap="flat"/>
                <v:fill o:detectmouseclick="t" on="false"/>
                <w10:wrap type="none"/>
              </v:line>
            </w:pict>
          </mc:Fallback>
        </mc:AlternateContent>
      </w:r>
      <w:r>
        <w:rPr>
          <w:sz w:val="28"/>
          <w:szCs w:val="28"/>
        </w:rPr>
        <w:t>от</w:t>
        <w:tab/>
        <w:t xml:space="preserve">№ </w:t>
      </w:r>
    </w:p>
    <w:p>
      <w:pPr>
        <w:pStyle w:val="Normal"/>
        <w:rPr>
          <w:bCs/>
          <w:sz w:val="28"/>
          <w:szCs w:val="28"/>
        </w:rPr>
      </w:pPr>
      <w:r>
        <w:rPr>
          <w:bCs/>
          <w:sz w:val="28"/>
          <w:szCs w:val="28"/>
        </w:rPr>
      </w:r>
    </w:p>
    <w:p>
      <w:pPr>
        <w:pStyle w:val="Normal"/>
        <w:jc w:val="center"/>
        <w:rPr/>
      </w:pPr>
      <w:r>
        <w:rPr>
          <w:b/>
          <w:sz w:val="28"/>
          <w:szCs w:val="28"/>
        </w:rPr>
        <w:t>О внесении изменений в решение Земского собрания Шарангского муниципального района от 24.12.2020 г. №42 «О районном бюджете на 2021 год и на плановый период 2022 и 2023 годов»</w:t>
      </w:r>
    </w:p>
    <w:p>
      <w:pPr>
        <w:pStyle w:val="Normal"/>
        <w:rPr>
          <w:b/>
          <w:b/>
          <w:sz w:val="28"/>
          <w:szCs w:val="28"/>
        </w:rPr>
      </w:pPr>
      <w:r>
        <w:rPr>
          <w:b/>
          <w:sz w:val="28"/>
          <w:szCs w:val="28"/>
        </w:rPr>
      </w:r>
    </w:p>
    <w:p>
      <w:pPr>
        <w:pStyle w:val="Normal"/>
        <w:tabs>
          <w:tab w:val="clear" w:pos="720"/>
          <w:tab w:val="left" w:pos="0" w:leader="none"/>
        </w:tabs>
        <w:spacing w:lineRule="auto" w:line="360"/>
        <w:ind w:firstLine="709"/>
        <w:rPr>
          <w:b/>
          <w:b/>
          <w:sz w:val="28"/>
          <w:szCs w:val="28"/>
        </w:rPr>
      </w:pPr>
      <w:r>
        <w:rPr>
          <w:b/>
          <w:sz w:val="28"/>
          <w:szCs w:val="28"/>
        </w:rPr>
        <w:t>Статья 1.</w:t>
      </w:r>
    </w:p>
    <w:p>
      <w:pPr>
        <w:pStyle w:val="Normal"/>
        <w:tabs>
          <w:tab w:val="clear" w:pos="720"/>
          <w:tab w:val="left" w:pos="0" w:leader="none"/>
        </w:tabs>
        <w:spacing w:lineRule="auto" w:line="360"/>
        <w:ind w:firstLine="709"/>
        <w:jc w:val="both"/>
        <w:rPr>
          <w:sz w:val="28"/>
          <w:szCs w:val="28"/>
        </w:rPr>
      </w:pPr>
      <w:r>
        <w:rPr>
          <w:sz w:val="28"/>
          <w:szCs w:val="28"/>
        </w:rPr>
        <w:t>Внести в решение Земского собрания Шарангского муниципального района от 24.12.2020 г. №42 «О районном бюджете на 2021 год и на плановый период 2022 и 2023 годов» (с изменениями, внесенными решениями Земского собрания Шарангского муниципального района №1 от 25.02.2021 г., №12 от 29.04.2021 г., №18 от 07.06.2021 г., №19 от 24.06.2021 г., №25 от 29.07.2021 г., №30 от 29.09.2021 г., №44 от 25.11.2021 г. ) следующие изменения:</w:t>
      </w:r>
    </w:p>
    <w:p>
      <w:pPr>
        <w:pStyle w:val="Style33"/>
        <w:numPr>
          <w:ilvl w:val="0"/>
          <w:numId w:val="5"/>
        </w:numPr>
        <w:tabs>
          <w:tab w:val="clear" w:pos="720"/>
          <w:tab w:val="left" w:pos="0" w:leader="none"/>
        </w:tabs>
        <w:spacing w:lineRule="auto" w:line="360" w:before="0" w:after="0"/>
        <w:ind w:left="0" w:firstLine="709"/>
        <w:contextualSpacing/>
        <w:jc w:val="both"/>
        <w:rPr>
          <w:rFonts w:ascii="Times New Roman" w:hAnsi="Times New Roman" w:cs="Times New Roman"/>
          <w:sz w:val="28"/>
          <w:szCs w:val="28"/>
        </w:rPr>
      </w:pPr>
      <w:r>
        <w:rPr>
          <w:rFonts w:cs="Times New Roman" w:ascii="Times New Roman" w:hAnsi="Times New Roman"/>
          <w:sz w:val="28"/>
          <w:szCs w:val="28"/>
        </w:rPr>
        <w:t>Статью 1 изложить в следующей редакции:</w:t>
      </w:r>
    </w:p>
    <w:p>
      <w:pPr>
        <w:pStyle w:val="Style33"/>
        <w:tabs>
          <w:tab w:val="clear" w:pos="720"/>
          <w:tab w:val="left" w:pos="0" w:leader="none"/>
        </w:tabs>
        <w:spacing w:lineRule="auto" w:line="360" w:before="0" w:after="0"/>
        <w:ind w:left="0" w:firstLine="709"/>
        <w:contextualSpacing/>
        <w:jc w:val="both"/>
        <w:rPr>
          <w:rFonts w:ascii="Times New Roman" w:hAnsi="Times New Roman" w:cs="Times New Roman"/>
          <w:b/>
          <w:b/>
          <w:sz w:val="28"/>
          <w:szCs w:val="28"/>
        </w:rPr>
      </w:pPr>
      <w:r>
        <w:rPr>
          <w:rFonts w:cs="Times New Roman" w:ascii="Times New Roman" w:hAnsi="Times New Roman"/>
          <w:b/>
          <w:sz w:val="28"/>
          <w:szCs w:val="28"/>
        </w:rPr>
        <w:t>«Статья1.</w:t>
      </w:r>
    </w:p>
    <w:p>
      <w:pPr>
        <w:pStyle w:val="Normal"/>
        <w:tabs>
          <w:tab w:val="clear" w:pos="720"/>
          <w:tab w:val="left" w:pos="0" w:leader="none"/>
        </w:tabs>
        <w:spacing w:lineRule="auto" w:line="360"/>
        <w:ind w:firstLine="709"/>
        <w:jc w:val="both"/>
        <w:rPr>
          <w:sz w:val="28"/>
          <w:szCs w:val="28"/>
        </w:rPr>
      </w:pPr>
      <w:r>
        <w:rPr>
          <w:sz w:val="28"/>
          <w:szCs w:val="28"/>
        </w:rPr>
        <w:t>1. Утвердить основные характеристики районного бюджета на 2021 год:</w:t>
      </w:r>
    </w:p>
    <w:p>
      <w:pPr>
        <w:pStyle w:val="Normal"/>
        <w:tabs>
          <w:tab w:val="clear" w:pos="720"/>
          <w:tab w:val="left" w:pos="0" w:leader="none"/>
        </w:tabs>
        <w:spacing w:lineRule="auto" w:line="360"/>
        <w:ind w:firstLine="709"/>
        <w:jc w:val="both"/>
        <w:rPr>
          <w:sz w:val="28"/>
          <w:szCs w:val="28"/>
        </w:rPr>
      </w:pPr>
      <w:r>
        <w:rPr>
          <w:sz w:val="28"/>
          <w:szCs w:val="28"/>
        </w:rPr>
        <w:t>1) общий объем доходов в сумме 705 451,7 тыс. рублей;</w:t>
      </w:r>
    </w:p>
    <w:p>
      <w:pPr>
        <w:pStyle w:val="Normal"/>
        <w:tabs>
          <w:tab w:val="clear" w:pos="720"/>
          <w:tab w:val="left" w:pos="0" w:leader="none"/>
        </w:tabs>
        <w:spacing w:lineRule="auto" w:line="360"/>
        <w:ind w:firstLine="709"/>
        <w:jc w:val="both"/>
        <w:rPr>
          <w:sz w:val="28"/>
          <w:szCs w:val="28"/>
        </w:rPr>
      </w:pPr>
      <w:r>
        <w:rPr>
          <w:sz w:val="28"/>
          <w:szCs w:val="28"/>
        </w:rPr>
        <w:t>2) общий объем расходов в сумме 715 436,4 тыс. рублей;</w:t>
      </w:r>
    </w:p>
    <w:p>
      <w:pPr>
        <w:pStyle w:val="Normal"/>
        <w:tabs>
          <w:tab w:val="clear" w:pos="720"/>
          <w:tab w:val="left" w:pos="0" w:leader="none"/>
        </w:tabs>
        <w:spacing w:lineRule="auto" w:line="360"/>
        <w:ind w:firstLine="709"/>
        <w:jc w:val="both"/>
        <w:rPr>
          <w:sz w:val="28"/>
          <w:szCs w:val="28"/>
        </w:rPr>
      </w:pPr>
      <w:r>
        <w:rPr>
          <w:sz w:val="28"/>
          <w:szCs w:val="28"/>
        </w:rPr>
        <w:t>3) размер дефицита в сумме  9 984,7  тыс. рублей.</w:t>
      </w:r>
    </w:p>
    <w:p>
      <w:pPr>
        <w:pStyle w:val="Normal"/>
        <w:tabs>
          <w:tab w:val="clear" w:pos="720"/>
          <w:tab w:val="left" w:pos="567" w:leader="none"/>
        </w:tabs>
        <w:spacing w:lineRule="auto" w:line="360"/>
        <w:ind w:firstLine="709"/>
        <w:jc w:val="both"/>
        <w:rPr>
          <w:sz w:val="28"/>
          <w:szCs w:val="28"/>
        </w:rPr>
      </w:pPr>
      <w:r>
        <w:rPr>
          <w:sz w:val="28"/>
          <w:szCs w:val="28"/>
        </w:rPr>
        <w:t>2. Утвердить основные характеристики районного бюджета на плановый период 2022 и 2023 годов:</w:t>
      </w:r>
    </w:p>
    <w:p>
      <w:pPr>
        <w:pStyle w:val="Normal"/>
        <w:tabs>
          <w:tab w:val="clear" w:pos="720"/>
          <w:tab w:val="left" w:pos="567" w:leader="none"/>
        </w:tabs>
        <w:spacing w:lineRule="auto" w:line="360"/>
        <w:ind w:firstLine="709"/>
        <w:jc w:val="both"/>
        <w:rPr>
          <w:sz w:val="28"/>
          <w:szCs w:val="28"/>
        </w:rPr>
      </w:pPr>
      <w:r>
        <w:rPr>
          <w:sz w:val="28"/>
          <w:szCs w:val="28"/>
        </w:rPr>
        <w:t>1) общий объем доходов на 2022 год в сумме  548 674,6  тыс. рублей, на 2023 год в сумме 611 449,3 тыс. рублей;</w:t>
      </w:r>
    </w:p>
    <w:p>
      <w:pPr>
        <w:pStyle w:val="Normal"/>
        <w:tabs>
          <w:tab w:val="clear" w:pos="720"/>
          <w:tab w:val="left" w:pos="567" w:leader="none"/>
        </w:tabs>
        <w:spacing w:lineRule="auto" w:line="360"/>
        <w:ind w:firstLine="709"/>
        <w:jc w:val="both"/>
        <w:rPr>
          <w:sz w:val="28"/>
          <w:szCs w:val="28"/>
        </w:rPr>
      </w:pPr>
      <w:r>
        <w:rPr>
          <w:sz w:val="28"/>
          <w:szCs w:val="28"/>
        </w:rPr>
        <w:t xml:space="preserve"> </w:t>
      </w:r>
      <w:r>
        <w:rPr>
          <w:sz w:val="28"/>
          <w:szCs w:val="28"/>
        </w:rPr>
        <w:t>2) общий объем расходов на 2022  год в сумме  548 674,6 тыс. рублей, в том числе условно утверждаемые расходы в сумме 7 500,0 тыс. рублей,  на 2023 год в сумме  611 449,3 тыс. рублей, в том числе условно утверждаемые расходы в сумме 14 600,0 тыс. рублей;</w:t>
      </w:r>
    </w:p>
    <w:p>
      <w:pPr>
        <w:pStyle w:val="Normal"/>
        <w:tabs>
          <w:tab w:val="clear" w:pos="720"/>
          <w:tab w:val="left" w:pos="567" w:leader="none"/>
        </w:tabs>
        <w:spacing w:lineRule="auto" w:line="360"/>
        <w:ind w:firstLine="709"/>
        <w:jc w:val="both"/>
        <w:rPr>
          <w:sz w:val="28"/>
          <w:szCs w:val="28"/>
        </w:rPr>
      </w:pPr>
      <w:r>
        <w:rPr>
          <w:sz w:val="28"/>
          <w:szCs w:val="28"/>
        </w:rPr>
        <w:t xml:space="preserve">  </w:t>
      </w:r>
      <w:r>
        <w:rPr>
          <w:sz w:val="28"/>
          <w:szCs w:val="28"/>
        </w:rPr>
        <w:t>3) размер дефицита на 2022 год в сумме 0,0 тыс. рублей, на 2023 год в сумме 0,0 тыс. рублей.»;</w:t>
      </w:r>
    </w:p>
    <w:p>
      <w:pPr>
        <w:pStyle w:val="Style33"/>
        <w:numPr>
          <w:ilvl w:val="0"/>
          <w:numId w:val="3"/>
        </w:numPr>
        <w:tabs>
          <w:tab w:val="clear" w:pos="720"/>
          <w:tab w:val="left" w:pos="567" w:leader="none"/>
        </w:tabs>
        <w:spacing w:lineRule="auto" w:line="360" w:before="0" w:after="0"/>
        <w:ind w:left="0" w:firstLine="709"/>
        <w:contextualSpacing/>
        <w:jc w:val="both"/>
        <w:rPr>
          <w:rFonts w:ascii="Times New Roman" w:hAnsi="Times New Roman" w:cs="Times New Roman"/>
          <w:sz w:val="28"/>
          <w:szCs w:val="28"/>
        </w:rPr>
      </w:pPr>
      <w:r>
        <w:rPr>
          <w:rFonts w:cs="Times New Roman" w:ascii="Times New Roman" w:hAnsi="Times New Roman"/>
          <w:sz w:val="28"/>
          <w:szCs w:val="28"/>
        </w:rPr>
        <w:t>Приложение 1 «Перечень главных администраторов доходов районного бюджета» изложить в новой редакции;</w:t>
      </w:r>
    </w:p>
    <w:p>
      <w:pPr>
        <w:pStyle w:val="Style33"/>
        <w:numPr>
          <w:ilvl w:val="0"/>
          <w:numId w:val="3"/>
        </w:numPr>
        <w:tabs>
          <w:tab w:val="clear" w:pos="720"/>
          <w:tab w:val="left" w:pos="567" w:leader="none"/>
        </w:tabs>
        <w:spacing w:lineRule="auto" w:line="360" w:before="0" w:after="0"/>
        <w:ind w:left="0" w:firstLine="709"/>
        <w:contextualSpacing/>
        <w:jc w:val="both"/>
        <w:rPr>
          <w:rFonts w:ascii="Times New Roman" w:hAnsi="Times New Roman" w:cs="Times New Roman"/>
          <w:sz w:val="28"/>
          <w:szCs w:val="28"/>
        </w:rPr>
      </w:pPr>
      <w:r>
        <w:rPr>
          <w:rFonts w:cs="Times New Roman" w:ascii="Times New Roman" w:hAnsi="Times New Roman"/>
          <w:sz w:val="28"/>
          <w:szCs w:val="28"/>
        </w:rPr>
        <w:t>Приложение 3 «Поступление доходов по группам, подгруппам и статьям бюджетной классификации  на 2021 год и на плановый период 2022 и 2023 годов» изложить в новой редакции;</w:t>
      </w:r>
    </w:p>
    <w:p>
      <w:pPr>
        <w:pStyle w:val="Style33"/>
        <w:numPr>
          <w:ilvl w:val="0"/>
          <w:numId w:val="3"/>
        </w:numPr>
        <w:tabs>
          <w:tab w:val="clear" w:pos="720"/>
          <w:tab w:val="left" w:pos="567" w:leader="none"/>
        </w:tabs>
        <w:spacing w:lineRule="auto" w:line="360" w:before="0" w:after="0"/>
        <w:ind w:left="0" w:firstLine="709"/>
        <w:contextualSpacing/>
        <w:jc w:val="both"/>
        <w:rPr>
          <w:rFonts w:ascii="Times New Roman" w:hAnsi="Times New Roman" w:cs="Times New Roman"/>
          <w:sz w:val="28"/>
          <w:szCs w:val="28"/>
        </w:rPr>
      </w:pPr>
      <w:r>
        <w:rPr>
          <w:rFonts w:cs="Times New Roman" w:ascii="Times New Roman" w:hAnsi="Times New Roman"/>
          <w:sz w:val="28"/>
          <w:szCs w:val="28"/>
        </w:rPr>
        <w:t>Статью 4 изложить в новой редакции:</w:t>
      </w:r>
    </w:p>
    <w:p>
      <w:pPr>
        <w:pStyle w:val="Style33"/>
        <w:tabs>
          <w:tab w:val="clear" w:pos="720"/>
          <w:tab w:val="left" w:pos="567" w:leader="none"/>
        </w:tabs>
        <w:spacing w:lineRule="auto" w:line="360" w:before="0" w:after="0"/>
        <w:ind w:left="0" w:firstLine="709"/>
        <w:contextualSpacing/>
        <w:jc w:val="both"/>
        <w:rPr>
          <w:rFonts w:ascii="Times New Roman" w:hAnsi="Times New Roman" w:cs="Times New Roman"/>
          <w:b/>
          <w:b/>
          <w:sz w:val="28"/>
          <w:szCs w:val="28"/>
        </w:rPr>
      </w:pPr>
      <w:r>
        <w:rPr>
          <w:rFonts w:cs="Times New Roman" w:ascii="Times New Roman" w:hAnsi="Times New Roman"/>
          <w:sz w:val="28"/>
          <w:szCs w:val="28"/>
        </w:rPr>
        <w:t>«</w:t>
      </w:r>
      <w:r>
        <w:rPr>
          <w:rFonts w:cs="Times New Roman" w:ascii="Times New Roman" w:hAnsi="Times New Roman"/>
          <w:b/>
          <w:sz w:val="28"/>
          <w:szCs w:val="28"/>
        </w:rPr>
        <w:t>Статья 4.</w:t>
      </w:r>
    </w:p>
    <w:p>
      <w:pPr>
        <w:pStyle w:val="Style33"/>
        <w:tabs>
          <w:tab w:val="clear" w:pos="720"/>
          <w:tab w:val="left" w:pos="567" w:leader="none"/>
        </w:tabs>
        <w:spacing w:lineRule="auto" w:line="360" w:before="0" w:after="0"/>
        <w:ind w:left="0" w:firstLine="709"/>
        <w:contextualSpacing/>
        <w:jc w:val="both"/>
        <w:rPr>
          <w:rFonts w:ascii="Times New Roman" w:hAnsi="Times New Roman" w:cs="Times New Roman"/>
          <w:sz w:val="28"/>
          <w:szCs w:val="28"/>
        </w:rPr>
      </w:pPr>
      <w:r>
        <w:rPr>
          <w:rFonts w:cs="Times New Roman" w:ascii="Times New Roman" w:hAnsi="Times New Roman"/>
          <w:sz w:val="28"/>
          <w:szCs w:val="28"/>
        </w:rPr>
        <w:t xml:space="preserve">Утвердить общий объем налоговых и неналоговых доходов: </w:t>
      </w:r>
    </w:p>
    <w:p>
      <w:pPr>
        <w:pStyle w:val="Style33"/>
        <w:tabs>
          <w:tab w:val="clear" w:pos="720"/>
          <w:tab w:val="left" w:pos="567" w:leader="none"/>
        </w:tabs>
        <w:spacing w:lineRule="auto" w:line="360" w:before="0" w:after="0"/>
        <w:ind w:left="0" w:firstLine="709"/>
        <w:contextualSpacing/>
        <w:jc w:val="both"/>
        <w:rPr>
          <w:rFonts w:ascii="Times New Roman" w:hAnsi="Times New Roman" w:cs="Times New Roman"/>
          <w:sz w:val="28"/>
          <w:szCs w:val="28"/>
        </w:rPr>
      </w:pPr>
      <w:r>
        <w:rPr>
          <w:rFonts w:cs="Times New Roman" w:ascii="Times New Roman" w:hAnsi="Times New Roman"/>
          <w:sz w:val="28"/>
          <w:szCs w:val="28"/>
        </w:rPr>
        <w:t>1) на 2021 год в сумме 114 012,0 тыс.рублей;</w:t>
      </w:r>
    </w:p>
    <w:p>
      <w:pPr>
        <w:pStyle w:val="Style33"/>
        <w:tabs>
          <w:tab w:val="clear" w:pos="720"/>
          <w:tab w:val="left" w:pos="567" w:leader="none"/>
        </w:tabs>
        <w:spacing w:lineRule="auto" w:line="360" w:before="0" w:after="0"/>
        <w:ind w:left="0" w:firstLine="709"/>
        <w:contextualSpacing/>
        <w:jc w:val="both"/>
        <w:rPr>
          <w:rFonts w:ascii="Times New Roman" w:hAnsi="Times New Roman" w:cs="Times New Roman"/>
          <w:sz w:val="28"/>
          <w:szCs w:val="28"/>
        </w:rPr>
      </w:pPr>
      <w:r>
        <w:rPr>
          <w:rFonts w:cs="Times New Roman" w:ascii="Times New Roman" w:hAnsi="Times New Roman"/>
          <w:sz w:val="28"/>
          <w:szCs w:val="28"/>
        </w:rPr>
        <w:t>2) на 2022 год в сумме 111 721,5 тыс.рублей;</w:t>
      </w:r>
    </w:p>
    <w:p>
      <w:pPr>
        <w:pStyle w:val="Style33"/>
        <w:tabs>
          <w:tab w:val="clear" w:pos="720"/>
          <w:tab w:val="left" w:pos="567" w:leader="none"/>
        </w:tabs>
        <w:spacing w:lineRule="auto" w:line="360" w:before="0" w:after="0"/>
        <w:ind w:left="0" w:firstLine="709"/>
        <w:contextualSpacing/>
        <w:jc w:val="both"/>
        <w:rPr>
          <w:rFonts w:ascii="Times New Roman" w:hAnsi="Times New Roman" w:cs="Times New Roman"/>
          <w:sz w:val="28"/>
          <w:szCs w:val="28"/>
        </w:rPr>
      </w:pPr>
      <w:r>
        <w:rPr>
          <w:rFonts w:cs="Times New Roman" w:ascii="Times New Roman" w:hAnsi="Times New Roman"/>
          <w:sz w:val="28"/>
          <w:szCs w:val="28"/>
        </w:rPr>
        <w:t>3) на 2023 год в сумме 119 512,0 тыс.рублей.»</w:t>
      </w:r>
    </w:p>
    <w:p>
      <w:pPr>
        <w:pStyle w:val="Style33"/>
        <w:tabs>
          <w:tab w:val="clear" w:pos="720"/>
          <w:tab w:val="left" w:pos="0" w:leader="none"/>
          <w:tab w:val="left" w:pos="567" w:leader="none"/>
        </w:tabs>
        <w:spacing w:lineRule="auto" w:line="360" w:before="0" w:after="0"/>
        <w:ind w:left="0" w:firstLine="709"/>
        <w:contextualSpacing/>
        <w:jc w:val="both"/>
        <w:rPr>
          <w:rFonts w:ascii="Times New Roman" w:hAnsi="Times New Roman" w:cs="Times New Roman"/>
          <w:sz w:val="28"/>
          <w:szCs w:val="28"/>
        </w:rPr>
      </w:pPr>
      <w:r>
        <w:rPr>
          <w:rFonts w:cs="Times New Roman" w:ascii="Times New Roman" w:hAnsi="Times New Roman"/>
          <w:sz w:val="28"/>
          <w:szCs w:val="28"/>
        </w:rPr>
        <w:t>5) Статью 5 изложить в новой</w:t>
      </w:r>
      <w:bookmarkStart w:id="0" w:name="_GoBack"/>
      <w:bookmarkEnd w:id="0"/>
      <w:r>
        <w:rPr>
          <w:rFonts w:cs="Times New Roman" w:ascii="Times New Roman" w:hAnsi="Times New Roman"/>
          <w:sz w:val="28"/>
          <w:szCs w:val="28"/>
        </w:rPr>
        <w:t xml:space="preserve"> редакции:</w:t>
      </w:r>
    </w:p>
    <w:p>
      <w:pPr>
        <w:pStyle w:val="Normal"/>
        <w:tabs>
          <w:tab w:val="clear" w:pos="720"/>
          <w:tab w:val="left" w:pos="0" w:leader="none"/>
          <w:tab w:val="left" w:pos="567" w:leader="none"/>
        </w:tabs>
        <w:spacing w:lineRule="auto" w:line="360"/>
        <w:ind w:firstLine="709"/>
        <w:jc w:val="both"/>
        <w:rPr>
          <w:b/>
          <w:b/>
          <w:sz w:val="28"/>
          <w:szCs w:val="28"/>
        </w:rPr>
      </w:pPr>
      <w:r>
        <w:rPr>
          <w:b/>
          <w:sz w:val="28"/>
          <w:szCs w:val="28"/>
        </w:rPr>
        <w:t>«Статья 5.</w:t>
      </w:r>
    </w:p>
    <w:p>
      <w:pPr>
        <w:pStyle w:val="Normal"/>
        <w:tabs>
          <w:tab w:val="clear" w:pos="720"/>
          <w:tab w:val="left" w:pos="0" w:leader="none"/>
          <w:tab w:val="left" w:pos="567" w:leader="none"/>
        </w:tabs>
        <w:spacing w:lineRule="auto" w:line="360"/>
        <w:ind w:firstLine="709"/>
        <w:jc w:val="both"/>
        <w:rPr>
          <w:sz w:val="28"/>
          <w:szCs w:val="28"/>
        </w:rPr>
      </w:pPr>
      <w:r>
        <w:rPr>
          <w:sz w:val="28"/>
          <w:szCs w:val="28"/>
        </w:rPr>
        <w:t>Утвердить объем безвозмездных поступлений, получаемых из других бюджетов бюджетной системы Российской Федерации:</w:t>
      </w:r>
    </w:p>
    <w:p>
      <w:pPr>
        <w:pStyle w:val="Normal"/>
        <w:tabs>
          <w:tab w:val="clear" w:pos="720"/>
          <w:tab w:val="left" w:pos="0" w:leader="none"/>
          <w:tab w:val="left" w:pos="567" w:leader="none"/>
        </w:tabs>
        <w:spacing w:lineRule="auto" w:line="360"/>
        <w:ind w:firstLine="709"/>
        <w:jc w:val="both"/>
        <w:rPr>
          <w:sz w:val="28"/>
          <w:szCs w:val="28"/>
        </w:rPr>
      </w:pPr>
      <w:r>
        <w:rPr>
          <w:sz w:val="28"/>
          <w:szCs w:val="28"/>
        </w:rPr>
        <w:t>1) на 2021 год в сумме 573 666,6 тыс. рублей, в том числе объем субсидий и субвенций, имеющих целевое назначение, в сумме  353 484,7 тыс. рублей;</w:t>
      </w:r>
    </w:p>
    <w:p>
      <w:pPr>
        <w:pStyle w:val="Normal"/>
        <w:tabs>
          <w:tab w:val="clear" w:pos="720"/>
          <w:tab w:val="left" w:pos="0" w:leader="none"/>
          <w:tab w:val="left" w:pos="567" w:leader="none"/>
        </w:tabs>
        <w:spacing w:lineRule="auto" w:line="360"/>
        <w:ind w:firstLine="709"/>
        <w:jc w:val="both"/>
        <w:rPr>
          <w:sz w:val="28"/>
          <w:szCs w:val="28"/>
        </w:rPr>
      </w:pPr>
      <w:r>
        <w:rPr>
          <w:sz w:val="28"/>
          <w:szCs w:val="28"/>
        </w:rPr>
        <w:t>2) на 2022 год в сумме 436 953,1 тыс. рублей, в том числе объем субсидий, субвенций, имеющих целевое назначение, в сумме 247 552,3 тыс. рублей;</w:t>
      </w:r>
    </w:p>
    <w:p>
      <w:pPr>
        <w:pStyle w:val="Normal"/>
        <w:tabs>
          <w:tab w:val="clear" w:pos="720"/>
          <w:tab w:val="left" w:pos="0" w:leader="none"/>
          <w:tab w:val="left" w:pos="567" w:leader="none"/>
        </w:tabs>
        <w:spacing w:lineRule="auto" w:line="360"/>
        <w:ind w:firstLine="709"/>
        <w:jc w:val="both"/>
        <w:rPr>
          <w:sz w:val="28"/>
          <w:szCs w:val="28"/>
        </w:rPr>
      </w:pPr>
      <w:r>
        <w:rPr>
          <w:sz w:val="28"/>
          <w:szCs w:val="28"/>
        </w:rPr>
        <w:t>3) на 2023 год в сумме 491 937,3 тыс. рублей, в том числе объем субсидий, субвенций, имеющих целевое назначение, в сумме 319 737,8 тыс. рублей.»;</w:t>
      </w:r>
    </w:p>
    <w:p>
      <w:pPr>
        <w:pStyle w:val="ConsPlusTitle"/>
        <w:widowControl/>
        <w:numPr>
          <w:ilvl w:val="0"/>
          <w:numId w:val="0"/>
        </w:numPr>
        <w:spacing w:lineRule="auto" w:line="360"/>
        <w:ind w:firstLine="709"/>
        <w:jc w:val="both"/>
        <w:outlineLvl w:val="0"/>
        <w:rPr>
          <w:rFonts w:ascii="Times New Roman" w:hAnsi="Times New Roman" w:cs="Times New Roman"/>
          <w:b w:val="false"/>
          <w:b w:val="false"/>
          <w:sz w:val="28"/>
          <w:szCs w:val="28"/>
        </w:rPr>
      </w:pPr>
      <w:r>
        <w:rPr>
          <w:rFonts w:cs="Times New Roman" w:ascii="Times New Roman" w:hAnsi="Times New Roman"/>
          <w:b w:val="false"/>
          <w:sz w:val="28"/>
          <w:szCs w:val="28"/>
        </w:rPr>
        <w:t>6) Приложение 4 «Источники финансирования дефицита районного бюджета на 2021 год и на плановый период 2022 и 2023 годов» изложить в новой редакции;</w:t>
      </w:r>
    </w:p>
    <w:p>
      <w:pPr>
        <w:pStyle w:val="Normal"/>
        <w:tabs>
          <w:tab w:val="clear" w:pos="720"/>
          <w:tab w:val="left" w:pos="0" w:leader="none"/>
          <w:tab w:val="left" w:pos="567" w:leader="none"/>
        </w:tabs>
        <w:spacing w:lineRule="auto" w:line="360"/>
        <w:ind w:firstLine="709"/>
        <w:jc w:val="both"/>
        <w:rPr>
          <w:sz w:val="28"/>
          <w:szCs w:val="28"/>
        </w:rPr>
      </w:pPr>
      <w:r>
        <w:rPr>
          <w:sz w:val="28"/>
          <w:szCs w:val="28"/>
        </w:rPr>
        <w:t>7) Приложение 5 «Распределение бюджетных ассигнований по целевым статьям (муниципальным программам и непрограммным направлениям деятельности), группам видов расходов классификации расходов бюджета на 2021 год и на плановый период 2022 и 2023 годов» изложить в новой редакции;</w:t>
      </w:r>
    </w:p>
    <w:p>
      <w:pPr>
        <w:pStyle w:val="Normal"/>
        <w:tabs>
          <w:tab w:val="clear" w:pos="720"/>
          <w:tab w:val="left" w:pos="0" w:leader="none"/>
          <w:tab w:val="left" w:pos="567" w:leader="none"/>
        </w:tabs>
        <w:spacing w:lineRule="auto" w:line="360"/>
        <w:ind w:firstLine="709"/>
        <w:jc w:val="both"/>
        <w:rPr>
          <w:sz w:val="28"/>
          <w:szCs w:val="28"/>
        </w:rPr>
      </w:pPr>
      <w:r>
        <w:rPr>
          <w:sz w:val="28"/>
          <w:szCs w:val="28"/>
        </w:rPr>
        <w:t>8) Приложение 6 «Ведомственная структура расходов районного бюджета на 2021 год и на плановый период 2022 и 2023 годов» изложить в новой редакции;</w:t>
      </w:r>
    </w:p>
    <w:p>
      <w:pPr>
        <w:pStyle w:val="Normal"/>
        <w:tabs>
          <w:tab w:val="clear" w:pos="720"/>
          <w:tab w:val="left" w:pos="0" w:leader="none"/>
          <w:tab w:val="left" w:pos="567" w:leader="none"/>
        </w:tabs>
        <w:spacing w:lineRule="auto" w:line="360"/>
        <w:ind w:firstLine="709"/>
        <w:jc w:val="both"/>
        <w:rPr>
          <w:sz w:val="28"/>
          <w:szCs w:val="28"/>
        </w:rPr>
      </w:pPr>
      <w:r>
        <w:rPr>
          <w:sz w:val="28"/>
          <w:szCs w:val="28"/>
        </w:rPr>
        <w:t>9) Приложение 7 «Распределение бюджетных ассигнований по разделам, подразделам, группам видов расходов классификации расходов районного бюджета на 2021 год и на плановый период 2022 и 2023 годов» изложить в новой редакции;</w:t>
      </w:r>
    </w:p>
    <w:p>
      <w:pPr>
        <w:pStyle w:val="Normal"/>
        <w:tabs>
          <w:tab w:val="clear" w:pos="720"/>
          <w:tab w:val="left" w:pos="5442" w:leader="none"/>
        </w:tabs>
        <w:spacing w:lineRule="auto" w:line="360"/>
        <w:ind w:firstLine="709"/>
        <w:jc w:val="both"/>
        <w:rPr>
          <w:sz w:val="28"/>
          <w:szCs w:val="28"/>
        </w:rPr>
      </w:pPr>
      <w:r>
        <w:rPr>
          <w:sz w:val="28"/>
          <w:szCs w:val="28"/>
        </w:rPr>
        <w:t>10) Приложение 8 «Перечень публичных нормативных обязательств, подлежащих исполнению на 2021 год и на плановый период 2022 и 2023 годов» изложить в новой редакции;</w:t>
      </w:r>
    </w:p>
    <w:p>
      <w:pPr>
        <w:pStyle w:val="Normal"/>
        <w:tabs>
          <w:tab w:val="clear" w:pos="720"/>
          <w:tab w:val="left" w:pos="0" w:leader="none"/>
          <w:tab w:val="left" w:pos="567" w:leader="none"/>
        </w:tabs>
        <w:spacing w:lineRule="auto" w:line="360"/>
        <w:ind w:firstLine="709"/>
        <w:jc w:val="both"/>
        <w:rPr>
          <w:sz w:val="28"/>
          <w:szCs w:val="28"/>
        </w:rPr>
      </w:pPr>
      <w:r>
        <w:rPr>
          <w:sz w:val="28"/>
          <w:szCs w:val="28"/>
        </w:rPr>
        <w:t>11) В статье 14 цифры «78 747,5» заменить на цифры «78 401,0»;</w:t>
      </w:r>
    </w:p>
    <w:p>
      <w:pPr>
        <w:pStyle w:val="Normal"/>
        <w:tabs>
          <w:tab w:val="clear" w:pos="720"/>
          <w:tab w:val="left" w:pos="0" w:leader="none"/>
          <w:tab w:val="left" w:pos="567" w:leader="none"/>
        </w:tabs>
        <w:spacing w:lineRule="auto" w:line="360"/>
        <w:ind w:firstLine="709"/>
        <w:jc w:val="both"/>
        <w:rPr>
          <w:sz w:val="28"/>
          <w:szCs w:val="28"/>
        </w:rPr>
      </w:pPr>
      <w:r>
        <w:rPr>
          <w:sz w:val="28"/>
          <w:szCs w:val="28"/>
        </w:rPr>
        <w:t>12) В статье 17:</w:t>
      </w:r>
    </w:p>
    <w:p>
      <w:pPr>
        <w:pStyle w:val="Normal"/>
        <w:tabs>
          <w:tab w:val="clear" w:pos="720"/>
          <w:tab w:val="left" w:pos="0" w:leader="none"/>
          <w:tab w:val="left" w:pos="567" w:leader="none"/>
        </w:tabs>
        <w:spacing w:lineRule="auto" w:line="360"/>
        <w:ind w:firstLine="709"/>
        <w:jc w:val="both"/>
        <w:rPr>
          <w:sz w:val="28"/>
          <w:szCs w:val="28"/>
        </w:rPr>
      </w:pPr>
      <w:r>
        <w:rPr>
          <w:sz w:val="28"/>
          <w:szCs w:val="28"/>
        </w:rPr>
        <w:t>- пункте 1 на 2021 год цифры «44 353,8» заменить цифрами                           «44 007,3»;</w:t>
      </w:r>
    </w:p>
    <w:p>
      <w:pPr>
        <w:pStyle w:val="Normal"/>
        <w:tabs>
          <w:tab w:val="clear" w:pos="720"/>
          <w:tab w:val="left" w:pos="0" w:leader="none"/>
          <w:tab w:val="left" w:pos="567" w:leader="none"/>
        </w:tabs>
        <w:spacing w:lineRule="auto" w:line="360"/>
        <w:ind w:firstLine="709"/>
        <w:jc w:val="both"/>
        <w:rPr>
          <w:sz w:val="28"/>
          <w:szCs w:val="28"/>
        </w:rPr>
      </w:pPr>
      <w:r>
        <w:rPr>
          <w:sz w:val="28"/>
          <w:szCs w:val="28"/>
        </w:rPr>
        <w:t>-  подпункте 3 пункта 2 на 2021 год цифры «27 166,6» заменить цифрами «26 820,1»;</w:t>
      </w:r>
    </w:p>
    <w:p>
      <w:pPr>
        <w:pStyle w:val="Normal"/>
        <w:tabs>
          <w:tab w:val="clear" w:pos="720"/>
          <w:tab w:val="left" w:pos="0" w:leader="none"/>
          <w:tab w:val="left" w:pos="567" w:leader="none"/>
        </w:tabs>
        <w:spacing w:lineRule="auto" w:line="360"/>
        <w:ind w:firstLine="709"/>
        <w:jc w:val="both"/>
        <w:rPr>
          <w:sz w:val="28"/>
          <w:szCs w:val="28"/>
        </w:rPr>
      </w:pPr>
      <w:r>
        <w:rPr>
          <w:sz w:val="28"/>
          <w:szCs w:val="28"/>
        </w:rPr>
        <w:t>- в абзаце 1 подпункта 3 пункта 2 цифры «1 455,4» заменить цифрами «1 437,5»;</w:t>
      </w:r>
    </w:p>
    <w:p>
      <w:pPr>
        <w:pStyle w:val="Normal"/>
        <w:tabs>
          <w:tab w:val="clear" w:pos="720"/>
          <w:tab w:val="left" w:pos="0" w:leader="none"/>
          <w:tab w:val="left" w:pos="567" w:leader="none"/>
        </w:tabs>
        <w:spacing w:lineRule="auto" w:line="360"/>
        <w:ind w:firstLine="709"/>
        <w:jc w:val="both"/>
        <w:rPr>
          <w:sz w:val="28"/>
          <w:szCs w:val="28"/>
        </w:rPr>
      </w:pPr>
      <w:r>
        <w:rPr>
          <w:sz w:val="28"/>
          <w:szCs w:val="28"/>
        </w:rPr>
        <w:t>- в абзаце 2 подпункта 3 пункта 2 цифры «12 429,9» заменить цифрами «11 904,3»;</w:t>
      </w:r>
    </w:p>
    <w:p>
      <w:pPr>
        <w:pStyle w:val="Normal"/>
        <w:tabs>
          <w:tab w:val="clear" w:pos="720"/>
          <w:tab w:val="left" w:pos="0" w:leader="none"/>
          <w:tab w:val="left" w:pos="567" w:leader="none"/>
        </w:tabs>
        <w:spacing w:lineRule="auto" w:line="360"/>
        <w:ind w:firstLine="709"/>
        <w:jc w:val="both"/>
        <w:rPr/>
      </w:pPr>
      <w:r>
        <w:rPr>
          <w:sz w:val="28"/>
          <w:szCs w:val="28"/>
        </w:rPr>
        <w:t>- в абзаце 8 подпункта 3 пункта 2 цифры «60,0» заменить цифрами «57,0»;</w:t>
      </w:r>
    </w:p>
    <w:p>
      <w:pPr>
        <w:pStyle w:val="Normal"/>
        <w:tabs>
          <w:tab w:val="clear" w:pos="720"/>
          <w:tab w:val="left" w:pos="0" w:leader="none"/>
          <w:tab w:val="left" w:pos="567" w:leader="none"/>
        </w:tabs>
        <w:spacing w:lineRule="auto" w:line="360"/>
        <w:ind w:firstLine="709"/>
        <w:jc w:val="both"/>
        <w:rPr>
          <w:sz w:val="28"/>
          <w:szCs w:val="28"/>
        </w:rPr>
      </w:pPr>
      <w:r>
        <w:rPr>
          <w:sz w:val="28"/>
          <w:szCs w:val="28"/>
        </w:rPr>
        <w:t>- подпункт 3 пункта 2 дополнить абзацем следующего содержания: « абзац 13: «</w:t>
      </w:r>
      <w:r>
        <w:rPr>
          <w:color w:val="000000"/>
          <w:sz w:val="28"/>
          <w:szCs w:val="28"/>
          <w:lang w:eastAsia="en-US"/>
        </w:rPr>
        <w:t>на поощрение муниципальных управленческих команд в 2021 году – 200,0 тыс.рублей»».</w:t>
      </w:r>
    </w:p>
    <w:p>
      <w:pPr>
        <w:pStyle w:val="Normal"/>
        <w:tabs>
          <w:tab w:val="clear" w:pos="720"/>
          <w:tab w:val="left" w:pos="0" w:leader="none"/>
          <w:tab w:val="left" w:pos="567" w:leader="none"/>
        </w:tabs>
        <w:spacing w:lineRule="auto" w:line="360"/>
        <w:ind w:firstLine="709"/>
        <w:jc w:val="both"/>
        <w:rPr>
          <w:sz w:val="28"/>
          <w:szCs w:val="28"/>
        </w:rPr>
      </w:pPr>
      <w:r>
        <w:rPr>
          <w:sz w:val="28"/>
          <w:szCs w:val="28"/>
        </w:rPr>
        <w:t>13) Приложение 11 «Распределение иных межбюджетных трансфертов на 2021 год и на плановый период 2022 и 2023 годов» изложить в новой редакции.</w:t>
      </w:r>
    </w:p>
    <w:p>
      <w:pPr>
        <w:pStyle w:val="Normal"/>
        <w:tabs>
          <w:tab w:val="clear" w:pos="720"/>
          <w:tab w:val="left" w:pos="0" w:leader="none"/>
          <w:tab w:val="left" w:pos="567" w:leader="none"/>
        </w:tabs>
        <w:spacing w:lineRule="auto" w:line="360"/>
        <w:ind w:firstLine="709"/>
        <w:jc w:val="both"/>
        <w:rPr>
          <w:b/>
          <w:b/>
          <w:sz w:val="28"/>
          <w:szCs w:val="28"/>
        </w:rPr>
      </w:pPr>
      <w:r>
        <w:rPr>
          <w:b/>
          <w:sz w:val="28"/>
          <w:szCs w:val="28"/>
        </w:rPr>
        <w:t>Статья 2.</w:t>
      </w:r>
    </w:p>
    <w:p>
      <w:pPr>
        <w:pStyle w:val="Style24"/>
        <w:tabs>
          <w:tab w:val="clear" w:pos="720"/>
          <w:tab w:val="left" w:pos="567" w:leader="none"/>
        </w:tabs>
        <w:ind w:firstLine="709"/>
        <w:jc w:val="both"/>
        <w:rPr/>
      </w:pPr>
      <w:r>
        <w:rPr>
          <w:rFonts w:cs="Times New Roman" w:ascii="Times New Roman" w:hAnsi="Times New Roman"/>
          <w:b w:val="false"/>
        </w:rPr>
        <w:t>Настоящее решение вступает в силу со дня его официального опубликования</w:t>
      </w:r>
      <w:r>
        <w:rPr>
          <w:b w:val="false"/>
        </w:rPr>
        <w:t>.</w:t>
      </w:r>
    </w:p>
    <w:p>
      <w:pPr>
        <w:pStyle w:val="Times12"/>
        <w:spacing w:lineRule="auto" w:line="360"/>
        <w:rPr>
          <w:b/>
          <w:b/>
          <w:sz w:val="28"/>
          <w:szCs w:val="28"/>
        </w:rPr>
      </w:pPr>
      <w:r>
        <w:rPr>
          <w:b/>
          <w:sz w:val="28"/>
          <w:szCs w:val="28"/>
        </w:rPr>
      </w:r>
    </w:p>
    <w:p>
      <w:pPr>
        <w:pStyle w:val="Times12"/>
        <w:spacing w:lineRule="auto" w:line="360"/>
        <w:rPr>
          <w:sz w:val="28"/>
          <w:szCs w:val="28"/>
        </w:rPr>
      </w:pPr>
      <w:r>
        <w:rPr>
          <w:sz w:val="28"/>
          <w:szCs w:val="28"/>
        </w:rPr>
      </w:r>
    </w:p>
    <w:p>
      <w:pPr>
        <w:pStyle w:val="Times12"/>
        <w:spacing w:lineRule="auto" w:line="360"/>
        <w:rPr>
          <w:sz w:val="28"/>
          <w:szCs w:val="28"/>
        </w:rPr>
      </w:pPr>
      <w:r>
        <w:rPr>
          <w:sz w:val="28"/>
          <w:szCs w:val="28"/>
        </w:rPr>
        <w:t>Глава местного самоуправления</w:t>
        <w:tab/>
        <w:tab/>
        <w:t>Председатель Земского собрания</w:t>
      </w:r>
    </w:p>
    <w:p>
      <w:pPr>
        <w:pStyle w:val="ConsPlusNormal"/>
        <w:spacing w:lineRule="auto" w:line="360"/>
        <w:ind w:firstLine="709"/>
        <w:jc w:val="both"/>
        <w:rPr>
          <w:rFonts w:ascii="Times New Roman" w:hAnsi="Times New Roman" w:cs="Times New Roman"/>
          <w:sz w:val="28"/>
          <w:szCs w:val="28"/>
        </w:rPr>
      </w:pPr>
      <w:r>
        <w:rPr>
          <w:rFonts w:cs="Times New Roman" w:ascii="Times New Roman" w:hAnsi="Times New Roman"/>
          <w:sz w:val="28"/>
          <w:szCs w:val="28"/>
        </w:rPr>
      </w:r>
    </w:p>
    <w:p>
      <w:pPr>
        <w:pStyle w:val="ConsPlusNormal"/>
        <w:spacing w:lineRule="auto" w:line="360"/>
        <w:ind w:firstLine="709"/>
        <w:jc w:val="both"/>
        <w:rPr>
          <w:rFonts w:ascii="Times New Roman" w:hAnsi="Times New Roman" w:cs="Times New Roman"/>
          <w:sz w:val="28"/>
          <w:szCs w:val="28"/>
        </w:rPr>
      </w:pPr>
      <w:r>
        <w:rPr>
          <w:rFonts w:cs="Times New Roman" w:ascii="Times New Roman" w:hAnsi="Times New Roman"/>
          <w:sz w:val="28"/>
          <w:szCs w:val="28"/>
        </w:rPr>
      </w:r>
    </w:p>
    <w:p>
      <w:pPr>
        <w:pStyle w:val="ConsPlusNormal"/>
        <w:spacing w:lineRule="auto" w:line="360"/>
        <w:ind w:firstLine="709"/>
        <w:jc w:val="both"/>
        <w:rPr>
          <w:rFonts w:ascii="Times New Roman" w:hAnsi="Times New Roman" w:cs="Times New Roman"/>
          <w:sz w:val="28"/>
          <w:szCs w:val="28"/>
        </w:rPr>
      </w:pPr>
      <w:r>
        <w:rPr>
          <w:rFonts w:cs="Times New Roman" w:ascii="Times New Roman" w:hAnsi="Times New Roman"/>
          <w:sz w:val="28"/>
          <w:szCs w:val="28"/>
        </w:rPr>
        <w:tab/>
        <w:tab/>
        <w:tab/>
        <w:t>Д.О.Ожиганов</w:t>
        <w:tab/>
        <w:tab/>
        <w:tab/>
        <w:tab/>
        <w:tab/>
        <w:t>Н.П.Филимонов</w:t>
      </w:r>
      <w:r>
        <w:br w:type="page"/>
      </w:r>
    </w:p>
    <w:p>
      <w:pPr>
        <w:pStyle w:val="Normal"/>
        <w:jc w:val="right"/>
        <w:rPr>
          <w:sz w:val="28"/>
          <w:szCs w:val="28"/>
        </w:rPr>
      </w:pPr>
      <w:r>
        <w:rPr>
          <w:sz w:val="28"/>
          <w:szCs w:val="28"/>
        </w:rPr>
        <w:t xml:space="preserve"> </w:t>
      </w:r>
      <w:r>
        <w:rPr>
          <w:sz w:val="28"/>
          <w:szCs w:val="28"/>
        </w:rPr>
        <w:t>Приложение 1</w:t>
      </w:r>
    </w:p>
    <w:p>
      <w:pPr>
        <w:pStyle w:val="Normal"/>
        <w:jc w:val="right"/>
        <w:rPr>
          <w:sz w:val="28"/>
          <w:szCs w:val="28"/>
        </w:rPr>
      </w:pPr>
      <w:r>
        <w:rPr>
          <w:sz w:val="28"/>
          <w:szCs w:val="28"/>
        </w:rPr>
        <w:t xml:space="preserve">к решению Земского собрания </w:t>
      </w:r>
    </w:p>
    <w:p>
      <w:pPr>
        <w:pStyle w:val="Normal"/>
        <w:jc w:val="right"/>
        <w:rPr>
          <w:sz w:val="28"/>
          <w:szCs w:val="28"/>
        </w:rPr>
      </w:pPr>
      <w:r>
        <w:rPr>
          <w:sz w:val="28"/>
          <w:szCs w:val="28"/>
        </w:rPr>
        <w:t xml:space="preserve">Шарангского муниципального района </w:t>
      </w:r>
    </w:p>
    <w:p>
      <w:pPr>
        <w:pStyle w:val="Normal"/>
        <w:jc w:val="right"/>
        <w:rPr/>
      </w:pPr>
      <w:r>
        <w:rPr>
          <w:sz w:val="28"/>
          <w:szCs w:val="28"/>
        </w:rPr>
        <w:t xml:space="preserve">« О районном бюджете на 2021 год </w:t>
      </w:r>
    </w:p>
    <w:p>
      <w:pPr>
        <w:pStyle w:val="Normal"/>
        <w:jc w:val="right"/>
        <w:rPr>
          <w:sz w:val="28"/>
          <w:szCs w:val="28"/>
        </w:rPr>
      </w:pPr>
      <w:r>
        <w:rPr>
          <w:sz w:val="28"/>
          <w:szCs w:val="28"/>
        </w:rPr>
        <w:t xml:space="preserve"> </w:t>
      </w:r>
      <w:r>
        <w:rPr>
          <w:sz w:val="28"/>
          <w:szCs w:val="28"/>
        </w:rPr>
        <w:t>и на плановый период 2022 и 2023 годов»</w:t>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pPr>
      <w:r>
        <w:rPr>
          <w:b/>
          <w:sz w:val="28"/>
          <w:szCs w:val="28"/>
        </w:rPr>
        <w:t>Перечень  главных администраторов доходов районного бюджета</w:t>
      </w:r>
    </w:p>
    <w:p>
      <w:pPr>
        <w:pStyle w:val="Normal"/>
        <w:jc w:val="center"/>
        <w:rPr>
          <w:b/>
          <w:b/>
          <w:sz w:val="24"/>
          <w:szCs w:val="24"/>
        </w:rPr>
      </w:pPr>
      <w:r>
        <w:rPr>
          <w:b/>
          <w:sz w:val="24"/>
          <w:szCs w:val="24"/>
        </w:rPr>
      </w:r>
    </w:p>
    <w:tbl>
      <w:tblPr>
        <w:tblW w:w="9572" w:type="dxa"/>
        <w:jc w:val="left"/>
        <w:tblInd w:w="-113" w:type="dxa"/>
        <w:tblLayout w:type="fixed"/>
        <w:tblCellMar>
          <w:top w:w="0" w:type="dxa"/>
          <w:left w:w="108" w:type="dxa"/>
          <w:bottom w:w="0" w:type="dxa"/>
          <w:right w:w="108" w:type="dxa"/>
        </w:tblCellMar>
      </w:tblPr>
      <w:tblGrid>
        <w:gridCol w:w="1362"/>
        <w:gridCol w:w="2968"/>
        <w:gridCol w:w="5242"/>
      </w:tblGrid>
      <w:tr>
        <w:trPr/>
        <w:tc>
          <w:tcPr>
            <w:tcW w:w="136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center"/>
              <w:rPr>
                <w:b/>
                <w:b/>
                <w:sz w:val="24"/>
                <w:szCs w:val="24"/>
                <w:lang w:eastAsia="en-US"/>
              </w:rPr>
            </w:pPr>
            <w:r>
              <w:rPr>
                <w:b/>
                <w:sz w:val="24"/>
                <w:szCs w:val="24"/>
                <w:lang w:eastAsia="en-US"/>
              </w:rPr>
              <w:t>Ведомство</w:t>
            </w:r>
          </w:p>
        </w:tc>
        <w:tc>
          <w:tcPr>
            <w:tcW w:w="2968" w:type="dxa"/>
            <w:tcBorders>
              <w:top w:val="single" w:sz="4" w:space="0" w:color="000000"/>
              <w:left w:val="single" w:sz="4" w:space="0" w:color="000000"/>
              <w:bottom w:val="single" w:sz="4" w:space="0" w:color="000000"/>
              <w:right w:val="single" w:sz="4" w:space="0" w:color="000000"/>
            </w:tcBorders>
          </w:tcPr>
          <w:p>
            <w:pPr>
              <w:pStyle w:val="Normal"/>
              <w:spacing w:lineRule="auto" w:line="276"/>
              <w:jc w:val="center"/>
              <w:rPr>
                <w:b/>
                <w:b/>
                <w:sz w:val="24"/>
                <w:szCs w:val="24"/>
                <w:lang w:eastAsia="en-US"/>
              </w:rPr>
            </w:pPr>
            <w:r>
              <w:rPr>
                <w:b/>
                <w:sz w:val="24"/>
                <w:szCs w:val="24"/>
                <w:lang w:eastAsia="en-US"/>
              </w:rPr>
              <w:t>Код бюджетной классификации Российской Федерации</w:t>
            </w:r>
          </w:p>
        </w:tc>
        <w:tc>
          <w:tcPr>
            <w:tcW w:w="524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sz w:val="24"/>
                <w:szCs w:val="24"/>
                <w:lang w:eastAsia="en-US"/>
              </w:rPr>
            </w:pPr>
            <w:r>
              <w:rPr>
                <w:b/>
                <w:sz w:val="24"/>
                <w:szCs w:val="24"/>
                <w:lang w:eastAsia="en-US"/>
              </w:rPr>
              <w:t>Главный администратор доходов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sz w:val="24"/>
                <w:szCs w:val="24"/>
                <w:lang w:eastAsia="en-US"/>
              </w:rPr>
            </w:pPr>
            <w:r>
              <w:rPr>
                <w:b/>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b/>
                <w:b/>
                <w:sz w:val="24"/>
                <w:szCs w:val="24"/>
                <w:lang w:eastAsia="en-US"/>
              </w:rPr>
            </w:pPr>
            <w:r>
              <w:rPr>
                <w:b/>
                <w:sz w:val="24"/>
                <w:szCs w:val="24"/>
                <w:lang w:eastAsia="en-US"/>
              </w:rPr>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b/>
                <w:b/>
                <w:sz w:val="24"/>
                <w:szCs w:val="24"/>
                <w:lang w:eastAsia="en-US"/>
              </w:rPr>
            </w:pPr>
            <w:r>
              <w:rPr>
                <w:b/>
                <w:sz w:val="24"/>
                <w:szCs w:val="24"/>
                <w:lang w:eastAsia="en-US"/>
              </w:rPr>
              <w:t xml:space="preserve">Финансовое управление администрации Шарангского муниципального района Нижегородской области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1 17 01050 05 0000 180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 xml:space="preserve">Невыясненные поступления, зачисляемые в бюджеты муниципальных  районов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1 17 01050 10 0000 180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Невыясненные поступления, зачисляемые в бюджеты сельских поселений</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1 17 01050 13 0000 180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Невыясненные поступления, зачисляемые в бюджеты городских поселений</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2 02 15001 05 0220 150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Дотации бюджетам муниципальных районов на выравнивание  бюджетной обеспеченности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2 02 15002 05 0220 150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Дотации бюджетам муниципальных районов на поддержку мер по обеспечению сбалансированности бюджетов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2 02 20077 05 0220 150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Субсидии бюджетам муниципальных районов на строительство, реконструкцию, проектно-изыскательские работы и разработку проектно-сметной документации объектов капитального строительства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2 02 20216 05 0220 150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Субсидии на капитальный ремонт и ремонт автомобильных дорог общего пользования местного значения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2 02 25555 05 0110 150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федерального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2 02 25555 05 0220 150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2 02 29999 05 0220 150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Прочие субсидии бюджетам муниципальных районов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2 02 30024 05 0220 150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2 02 35118 05 0110 150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Субвенции бюджетам муниципальных районов на осуществление первичного воинского учета на территориях, где отсутствуют военные комиссариаты  за счет средств федерального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2 02 40014 05 0000 150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2 02 45160 05 0220 150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2 08 05000 05 0000 150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Перечисления из бюджетов муниципальных районов (в бюджеты муниципальных районов)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001</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2 18 60010 05 0000 150</w:t>
            </w:r>
          </w:p>
        </w:tc>
        <w:tc>
          <w:tcPr>
            <w:tcW w:w="5242" w:type="dxa"/>
            <w:tcBorders>
              <w:top w:val="single" w:sz="4" w:space="0" w:color="000000"/>
              <w:left w:val="single" w:sz="4" w:space="0" w:color="000000"/>
              <w:bottom w:val="single" w:sz="4" w:space="0" w:color="000000"/>
              <w:right w:val="single" w:sz="4" w:space="0" w:color="000000"/>
            </w:tcBorders>
          </w:tcPr>
          <w:p>
            <w:pPr>
              <w:pStyle w:val="ConsPlusNonformat"/>
              <w:overflowPunct w:val="false"/>
              <w:spacing w:lineRule="auto" w:line="276"/>
              <w:jc w:val="both"/>
              <w:textAlignment w:val="baseline"/>
              <w:rPr>
                <w:rFonts w:ascii="Times New Roman" w:hAnsi="Times New Roman" w:cs="Times New Roman"/>
                <w:bCs/>
                <w:sz w:val="24"/>
                <w:szCs w:val="24"/>
                <w:lang w:eastAsia="en-US"/>
              </w:rPr>
            </w:pPr>
            <w:r>
              <w:rPr>
                <w:rFonts w:cs="Times New Roman" w:ascii="Times New Roman" w:hAnsi="Times New Roman"/>
                <w:bCs/>
                <w:sz w:val="24"/>
                <w:szCs w:val="24"/>
                <w:lang w:eastAsia="en-US"/>
              </w:rPr>
              <w:t>Доходы бюджетов муниципальных районов от возврата прочих остатков субсидий, субвенций и иных межбюджетных трансфертов, имеющих целевое назначение, прошлых лет из бюджетов поселений</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bCs/>
                <w:sz w:val="24"/>
                <w:szCs w:val="24"/>
                <w:lang w:eastAsia="en-US"/>
              </w:rPr>
            </w:pPr>
            <w:r>
              <w:rPr>
                <w:b/>
                <w:bCs/>
                <w:sz w:val="24"/>
                <w:szCs w:val="24"/>
                <w:lang w:eastAsia="en-US"/>
              </w:rPr>
              <w:t>048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b/>
                <w:b/>
                <w:bCs/>
                <w:sz w:val="24"/>
                <w:szCs w:val="24"/>
                <w:lang w:eastAsia="en-US"/>
              </w:rPr>
            </w:pPr>
            <w:r>
              <w:rPr>
                <w:b/>
                <w:bCs/>
                <w:sz w:val="24"/>
                <w:szCs w:val="24"/>
                <w:lang w:eastAsia="en-US"/>
              </w:rPr>
            </w:r>
          </w:p>
        </w:tc>
        <w:tc>
          <w:tcPr>
            <w:tcW w:w="5242" w:type="dxa"/>
            <w:tcBorders>
              <w:top w:val="single" w:sz="4" w:space="0" w:color="000000"/>
              <w:left w:val="single" w:sz="4" w:space="0" w:color="000000"/>
              <w:bottom w:val="single" w:sz="4" w:space="0" w:color="000000"/>
              <w:right w:val="single" w:sz="4" w:space="0" w:color="000000"/>
            </w:tcBorders>
          </w:tcPr>
          <w:p>
            <w:pPr>
              <w:pStyle w:val="ConsPlusNonformat"/>
              <w:overflowPunct w:val="false"/>
              <w:spacing w:lineRule="auto" w:line="276"/>
              <w:jc w:val="both"/>
              <w:textAlignment w:val="baseline"/>
              <w:rPr>
                <w:rFonts w:ascii="Times New Roman" w:hAnsi="Times New Roman" w:cs="Times New Roman"/>
                <w:b/>
                <w:b/>
                <w:bCs/>
                <w:sz w:val="24"/>
                <w:szCs w:val="24"/>
                <w:lang w:eastAsia="en-US"/>
              </w:rPr>
            </w:pPr>
            <w:r>
              <w:rPr>
                <w:rFonts w:cs="Times New Roman" w:ascii="Times New Roman" w:hAnsi="Times New Roman"/>
                <w:b/>
                <w:bCs/>
                <w:sz w:val="24"/>
                <w:szCs w:val="24"/>
                <w:lang w:eastAsia="en-US"/>
              </w:rPr>
              <w:t>Межрегиональное управление Федеральной службы по надзору в сфере природопользования по Нижегородской области и Республике Мордовия</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048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pPr>
            <w:r>
              <w:rPr>
                <w:sz w:val="24"/>
                <w:szCs w:val="24"/>
                <w:lang w:eastAsia="en-US"/>
              </w:rPr>
              <w:t xml:space="preserve">1 12 01010 01 0000 </w:t>
            </w:r>
            <w:r>
              <w:rPr>
                <w:sz w:val="24"/>
                <w:szCs w:val="24"/>
                <w:lang w:val="en-US" w:eastAsia="en-US"/>
              </w:rPr>
              <w:t>1</w:t>
            </w:r>
            <w:r>
              <w:rPr>
                <w:sz w:val="24"/>
                <w:szCs w:val="24"/>
                <w:lang w:eastAsia="en-US"/>
              </w:rPr>
              <w:t>20</w:t>
            </w:r>
          </w:p>
        </w:tc>
        <w:tc>
          <w:tcPr>
            <w:tcW w:w="5242" w:type="dxa"/>
            <w:tcBorders>
              <w:top w:val="single" w:sz="4" w:space="0" w:color="000000"/>
              <w:left w:val="single" w:sz="4" w:space="0" w:color="000000"/>
              <w:bottom w:val="single" w:sz="4" w:space="0" w:color="000000"/>
              <w:right w:val="single" w:sz="4" w:space="0" w:color="000000"/>
            </w:tcBorders>
          </w:tcPr>
          <w:p>
            <w:pPr>
              <w:pStyle w:val="ConsPlusNonformat"/>
              <w:overflowPunct w:val="false"/>
              <w:spacing w:lineRule="auto" w:line="276"/>
              <w:jc w:val="both"/>
              <w:textAlignment w:val="baseline"/>
              <w:rPr>
                <w:rFonts w:ascii="Times New Roman" w:hAnsi="Times New Roman" w:cs="Times New Roman"/>
                <w:kern w:val="2"/>
                <w:sz w:val="24"/>
                <w:szCs w:val="24"/>
                <w:lang w:eastAsia="en-US"/>
              </w:rPr>
            </w:pPr>
            <w:r>
              <w:rPr>
                <w:rFonts w:cs="Times New Roman" w:ascii="Times New Roman" w:hAnsi="Times New Roman"/>
                <w:kern w:val="2"/>
                <w:sz w:val="24"/>
                <w:szCs w:val="24"/>
                <w:lang w:eastAsia="en-US"/>
              </w:rPr>
              <w:t xml:space="preserve">Плата за выбросы загрязняющих веществ в атмосферный воздух стационарными объектами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048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1 12 01030 01 0000 120</w:t>
            </w:r>
          </w:p>
        </w:tc>
        <w:tc>
          <w:tcPr>
            <w:tcW w:w="5242" w:type="dxa"/>
            <w:tcBorders>
              <w:top w:val="single" w:sz="4" w:space="0" w:color="000000"/>
              <w:left w:val="single" w:sz="4" w:space="0" w:color="000000"/>
              <w:bottom w:val="single" w:sz="4" w:space="0" w:color="000000"/>
              <w:right w:val="single" w:sz="4" w:space="0" w:color="000000"/>
            </w:tcBorders>
          </w:tcPr>
          <w:p>
            <w:pPr>
              <w:pStyle w:val="ConsPlusNonformat"/>
              <w:overflowPunct w:val="false"/>
              <w:spacing w:lineRule="auto" w:line="276"/>
              <w:jc w:val="both"/>
              <w:textAlignment w:val="baseline"/>
              <w:rPr>
                <w:rFonts w:ascii="Times New Roman" w:hAnsi="Times New Roman" w:cs="Times New Roman"/>
                <w:kern w:val="2"/>
                <w:sz w:val="24"/>
                <w:szCs w:val="24"/>
                <w:lang w:eastAsia="en-US"/>
              </w:rPr>
            </w:pPr>
            <w:r>
              <w:rPr>
                <w:rFonts w:cs="Times New Roman" w:ascii="Times New Roman" w:hAnsi="Times New Roman"/>
                <w:kern w:val="2"/>
                <w:sz w:val="24"/>
                <w:szCs w:val="24"/>
                <w:lang w:eastAsia="en-US"/>
              </w:rPr>
              <w:t xml:space="preserve">Плата за сбросы загрязняющих веществ в водные объекты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048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1 12 01041 01 0000 120</w:t>
            </w:r>
          </w:p>
        </w:tc>
        <w:tc>
          <w:tcPr>
            <w:tcW w:w="5242" w:type="dxa"/>
            <w:tcBorders>
              <w:top w:val="single" w:sz="4" w:space="0" w:color="000000"/>
              <w:left w:val="single" w:sz="4" w:space="0" w:color="000000"/>
              <w:bottom w:val="single" w:sz="4" w:space="0" w:color="000000"/>
              <w:right w:val="single" w:sz="4" w:space="0" w:color="000000"/>
            </w:tcBorders>
          </w:tcPr>
          <w:p>
            <w:pPr>
              <w:pStyle w:val="ConsPlusNonformat"/>
              <w:overflowPunct w:val="false"/>
              <w:spacing w:lineRule="auto" w:line="276"/>
              <w:jc w:val="both"/>
              <w:textAlignment w:val="baseline"/>
              <w:rPr>
                <w:rFonts w:ascii="Times New Roman" w:hAnsi="Times New Roman" w:cs="Times New Roman"/>
                <w:kern w:val="2"/>
                <w:sz w:val="24"/>
                <w:szCs w:val="24"/>
                <w:lang w:eastAsia="en-US"/>
              </w:rPr>
            </w:pPr>
            <w:r>
              <w:rPr>
                <w:rFonts w:cs="Times New Roman" w:ascii="Times New Roman" w:hAnsi="Times New Roman"/>
                <w:kern w:val="2"/>
                <w:sz w:val="24"/>
                <w:szCs w:val="24"/>
                <w:lang w:eastAsia="en-US"/>
              </w:rPr>
              <w:t>Плата за размещение отходов производства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048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1 12 01042 01 0000 120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Плата за размещение твердых коммунальных отходов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sz w:val="24"/>
                <w:szCs w:val="24"/>
                <w:lang w:eastAsia="en-US"/>
              </w:rPr>
            </w:pPr>
            <w:r>
              <w:rPr>
                <w:b/>
                <w:sz w:val="24"/>
                <w:szCs w:val="24"/>
                <w:lang w:eastAsia="en-US"/>
              </w:rPr>
              <w:t>056</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b/>
                <w:b/>
                <w:sz w:val="24"/>
                <w:szCs w:val="24"/>
                <w:lang w:eastAsia="en-US"/>
              </w:rPr>
            </w:pPr>
            <w:r>
              <w:rPr>
                <w:b/>
                <w:sz w:val="24"/>
                <w:szCs w:val="24"/>
                <w:lang w:eastAsia="en-US"/>
              </w:rPr>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b/>
                <w:b/>
                <w:sz w:val="24"/>
                <w:szCs w:val="24"/>
                <w:lang w:eastAsia="en-US"/>
              </w:rPr>
            </w:pPr>
            <w:r>
              <w:rPr>
                <w:b/>
                <w:sz w:val="24"/>
                <w:szCs w:val="24"/>
                <w:lang w:eastAsia="en-US"/>
              </w:rPr>
              <w:t>Департамент лесного хозяйства Нижегородской области</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056</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1 16 11050 01 0000 140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Платежи по искам о возмещении вреда, причиненного окружающей среде, а также платежи, уплачиваемые при добровольном возмещении вреда, причиненного окружающей среде</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sz w:val="24"/>
                <w:szCs w:val="24"/>
                <w:lang w:eastAsia="en-US"/>
              </w:rPr>
            </w:pPr>
            <w:r>
              <w:rPr>
                <w:b/>
                <w:sz w:val="24"/>
                <w:szCs w:val="24"/>
                <w:lang w:eastAsia="en-US"/>
              </w:rPr>
              <w:t>057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b/>
                <w:b/>
                <w:sz w:val="24"/>
                <w:szCs w:val="24"/>
                <w:lang w:eastAsia="en-US"/>
              </w:rPr>
            </w:pPr>
            <w:r>
              <w:rPr>
                <w:b/>
                <w:sz w:val="24"/>
                <w:szCs w:val="24"/>
                <w:lang w:eastAsia="en-US"/>
              </w:rPr>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b/>
                <w:sz w:val="24"/>
                <w:szCs w:val="24"/>
                <w:lang w:eastAsia="en-US"/>
              </w:rPr>
              <w:t>Отдел культуры Администрации Шарангского муниципального  района Нижегородской области</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057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1 13 02995 05 0000 130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Прочие доходы от компенсации затрат бюджетов муниципальных районов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val="en-US" w:eastAsia="en-US"/>
              </w:rPr>
            </w:pPr>
            <w:r>
              <w:rPr>
                <w:sz w:val="24"/>
                <w:szCs w:val="24"/>
                <w:lang w:val="en-US" w:eastAsia="en-US"/>
              </w:rPr>
              <w:t>057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1 17 01050 05 0000 180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Невыясненные поступления, зачисляемые в бюджеты муниципальных районов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057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2 02 25467 05 0110 150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 за счет средств федерального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057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2 02 25467 05 0220 150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057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2 02 25519 05 0110 150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Субсидия бюджетам муниципальных районов на поддержку отрасли культуры за счет средств федерального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057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2 02 25519 05 0220 150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Субсидия бюджетам муниципальных районов на поддержку отрасли культуры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pPr>
            <w:r>
              <w:rPr>
                <w:sz w:val="24"/>
                <w:szCs w:val="24"/>
                <w:lang w:eastAsia="en-US"/>
              </w:rPr>
              <w:t>0</w:t>
            </w:r>
            <w:r>
              <w:rPr>
                <w:sz w:val="24"/>
                <w:szCs w:val="24"/>
                <w:lang w:val="en-US" w:eastAsia="en-US"/>
              </w:rPr>
              <w:t>57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2 02 45160 05 0220 150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sz w:val="24"/>
                <w:szCs w:val="24"/>
                <w:lang w:eastAsia="en-US"/>
              </w:rPr>
            </w:pPr>
            <w:r>
              <w:rPr>
                <w:b/>
                <w:sz w:val="24"/>
                <w:szCs w:val="24"/>
                <w:lang w:eastAsia="en-US"/>
              </w:rPr>
              <w:t>074</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b/>
                <w:b/>
                <w:sz w:val="24"/>
                <w:szCs w:val="24"/>
                <w:lang w:eastAsia="en-US"/>
              </w:rPr>
            </w:pPr>
            <w:r>
              <w:rPr>
                <w:b/>
                <w:sz w:val="24"/>
                <w:szCs w:val="24"/>
                <w:lang w:eastAsia="en-US"/>
              </w:rPr>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b/>
                <w:sz w:val="24"/>
                <w:szCs w:val="24"/>
                <w:lang w:eastAsia="en-US"/>
              </w:rPr>
              <w:t>Управление образования и молодежной политики администрации Шарангского муниципального района Нижегородской области</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074</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1 13 02995 05 0000 130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Прочие доходы от компенсации затрат бюджетов муниципальных районов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074</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pPr>
            <w:r>
              <w:rPr>
                <w:sz w:val="24"/>
                <w:szCs w:val="24"/>
                <w:lang w:eastAsia="en-US"/>
              </w:rPr>
              <w:t>1 17 01050 05 0000 180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Невыясненные поступления, зачисляемые в бюджеты муниципальных районов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074</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autoSpaceDE w:val="false"/>
              <w:snapToGrid w:val="false"/>
              <w:spacing w:lineRule="auto" w:line="276"/>
              <w:jc w:val="center"/>
              <w:rPr>
                <w:sz w:val="24"/>
                <w:szCs w:val="24"/>
                <w:lang w:eastAsia="en-US"/>
              </w:rPr>
            </w:pPr>
            <w:r>
              <w:rPr>
                <w:sz w:val="24"/>
                <w:szCs w:val="24"/>
                <w:lang w:eastAsia="en-US"/>
              </w:rPr>
            </w:r>
          </w:p>
          <w:p>
            <w:pPr>
              <w:pStyle w:val="Normal"/>
              <w:autoSpaceDE w:val="false"/>
              <w:spacing w:lineRule="auto" w:line="276"/>
              <w:jc w:val="center"/>
              <w:rPr>
                <w:sz w:val="24"/>
                <w:szCs w:val="24"/>
                <w:lang w:eastAsia="en-US"/>
              </w:rPr>
            </w:pPr>
            <w:r>
              <w:rPr>
                <w:sz w:val="24"/>
                <w:szCs w:val="24"/>
                <w:lang w:eastAsia="en-US"/>
              </w:rPr>
              <w:t>2 02 25304 05 0110 150</w:t>
            </w:r>
          </w:p>
          <w:p>
            <w:pPr>
              <w:pStyle w:val="Normal"/>
              <w:spacing w:lineRule="auto" w:line="276"/>
              <w:jc w:val="center"/>
              <w:rPr>
                <w:sz w:val="24"/>
                <w:szCs w:val="24"/>
                <w:lang w:eastAsia="en-US"/>
              </w:rPr>
            </w:pPr>
            <w:r>
              <w:rPr>
                <w:sz w:val="24"/>
                <w:szCs w:val="24"/>
                <w:lang w:eastAsia="en-US"/>
              </w:rPr>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 xml:space="preserve">Субсидии бюджетам муниципальных районов  на организацию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 за счет средств федерального бюджета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074</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autoSpaceDE w:val="false"/>
              <w:spacing w:lineRule="auto" w:line="276"/>
              <w:jc w:val="center"/>
              <w:rPr>
                <w:sz w:val="24"/>
                <w:szCs w:val="24"/>
                <w:lang w:eastAsia="en-US"/>
              </w:rPr>
            </w:pPr>
            <w:r>
              <w:rPr>
                <w:sz w:val="24"/>
                <w:szCs w:val="24"/>
                <w:lang w:eastAsia="en-US"/>
              </w:rPr>
              <w:t>2 02 25304 05 0220 150</w:t>
            </w:r>
          </w:p>
          <w:p>
            <w:pPr>
              <w:pStyle w:val="Normal"/>
              <w:spacing w:lineRule="auto" w:line="276"/>
              <w:jc w:val="center"/>
              <w:rPr>
                <w:sz w:val="24"/>
                <w:szCs w:val="24"/>
                <w:lang w:eastAsia="en-US"/>
              </w:rPr>
            </w:pPr>
            <w:r>
              <w:rPr>
                <w:sz w:val="24"/>
                <w:szCs w:val="24"/>
                <w:lang w:eastAsia="en-US"/>
              </w:rPr>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Субсидии бюджетам муниципальных районов  на организацию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074</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2 02 29999 05 0220 150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Прочие субсидии бюджетам муниципальных районов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074</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2 02 30024 05 0220 150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074</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2 02 30029 05 0220 150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pPr>
            <w:r>
              <w:rPr>
                <w:bCs/>
                <w:kern w:val="2"/>
                <w:sz w:val="24"/>
                <w:szCs w:val="24"/>
                <w:lang w:eastAsia="en-US"/>
              </w:rPr>
              <w:t xml:space="preserve">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 </w:t>
            </w:r>
            <w:r>
              <w:rPr>
                <w:sz w:val="24"/>
                <w:szCs w:val="24"/>
                <w:lang w:eastAsia="en-US"/>
              </w:rPr>
              <w:t>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074</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2 02 35303 05 0110 150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Субвенции бюджетам муниципальных районов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 за счет средств федерального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074</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2 02 45160 05 0220 150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074</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pPr>
            <w:r>
              <w:rPr>
                <w:sz w:val="24"/>
                <w:szCs w:val="24"/>
                <w:lang w:eastAsia="en-US"/>
              </w:rPr>
              <w:t>2 19 60010 05 0000 150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sz w:val="24"/>
                <w:szCs w:val="24"/>
                <w:lang w:eastAsia="en-US"/>
              </w:rPr>
            </w:pPr>
            <w:r>
              <w:rPr>
                <w:b/>
                <w:sz w:val="24"/>
                <w:szCs w:val="24"/>
                <w:lang w:eastAsia="en-US"/>
              </w:rPr>
              <w:t>082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b/>
                <w:b/>
                <w:sz w:val="24"/>
                <w:szCs w:val="24"/>
                <w:lang w:eastAsia="en-US"/>
              </w:rPr>
            </w:pPr>
            <w:r>
              <w:rPr>
                <w:b/>
                <w:sz w:val="24"/>
                <w:szCs w:val="24"/>
                <w:lang w:eastAsia="en-US"/>
              </w:rPr>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b/>
                <w:sz w:val="24"/>
                <w:szCs w:val="24"/>
                <w:lang w:eastAsia="en-US"/>
              </w:rPr>
              <w:t>Управление сельского хозяйства администрации Шарангского муниципального</w:t>
            </w:r>
            <w:r>
              <w:rPr>
                <w:sz w:val="24"/>
                <w:szCs w:val="24"/>
                <w:lang w:eastAsia="en-US"/>
              </w:rPr>
              <w:t xml:space="preserve"> </w:t>
            </w:r>
            <w:r>
              <w:rPr>
                <w:b/>
                <w:sz w:val="24"/>
                <w:szCs w:val="24"/>
                <w:lang w:eastAsia="en-US"/>
              </w:rPr>
              <w:t>района Нижегородской области</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2 02 30024 05 0220 150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jc w:val="both"/>
              <w:rPr>
                <w:sz w:val="24"/>
                <w:szCs w:val="24"/>
                <w:lang w:eastAsia="en-US"/>
              </w:rPr>
            </w:pPr>
            <w:r>
              <w:rPr>
                <w:sz w:val="24"/>
                <w:szCs w:val="24"/>
              </w:rPr>
              <w:t>Субвенции бюджетам муниципальных районов на выполнение передаваемых полномочий субъектов Российской Федерации за счет средств федерального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2 02 30024 05 0220 150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b/>
                <w:b/>
                <w:sz w:val="24"/>
                <w:szCs w:val="24"/>
                <w:lang w:eastAsia="en-US"/>
              </w:rPr>
            </w:pPr>
            <w:r>
              <w:rPr>
                <w:sz w:val="24"/>
                <w:szCs w:val="24"/>
                <w:lang w:eastAsia="en-US"/>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2 02 35502 05 0110 150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Субвенции бюджетам муниципальных районов на стимулирование развития приоритетных подотраслей агропромышленного комплекса и развития малых форм хозяйствования  за счет средств федерального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2 02 35502 05 0220 150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Субвенции бюджетам муниципальных районов на стимулирование развития приоритетных подотраслей агропромышленного комплекса и развития малых форм хозяйствования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2 02 35508 05 0110 150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Субвенции бюджетам муниципальных районов на поддержку сельскохозяйственного производства по отдельным подотраслям растениеводства и животноводства за счет средств  федерального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082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2 02 35508 05 0220 150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Субвенции бюджетам муниципальных районов на поддержку сельскохозяйственного производства по отдельным подотраслям растениеводства и животноводства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bCs/>
                <w:sz w:val="24"/>
                <w:szCs w:val="24"/>
                <w:lang w:eastAsia="en-US"/>
              </w:rPr>
            </w:pPr>
            <w:r>
              <w:rPr>
                <w:b/>
                <w:bCs/>
                <w:sz w:val="24"/>
                <w:szCs w:val="24"/>
                <w:lang w:eastAsia="en-US"/>
              </w:rPr>
              <w:t>133</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b/>
                <w:b/>
                <w:bCs/>
                <w:sz w:val="24"/>
                <w:szCs w:val="24"/>
                <w:lang w:eastAsia="en-US"/>
              </w:rPr>
            </w:pPr>
            <w:r>
              <w:rPr>
                <w:b/>
                <w:bCs/>
                <w:sz w:val="24"/>
                <w:szCs w:val="24"/>
                <w:lang w:eastAsia="en-US"/>
              </w:rPr>
            </w:r>
          </w:p>
        </w:tc>
        <w:tc>
          <w:tcPr>
            <w:tcW w:w="5242" w:type="dxa"/>
            <w:tcBorders>
              <w:top w:val="single" w:sz="4" w:space="0" w:color="000000"/>
              <w:left w:val="single" w:sz="4" w:space="0" w:color="000000"/>
              <w:bottom w:val="single" w:sz="4" w:space="0" w:color="000000"/>
              <w:right w:val="single" w:sz="4" w:space="0" w:color="000000"/>
            </w:tcBorders>
          </w:tcPr>
          <w:p>
            <w:pPr>
              <w:pStyle w:val="ConsPlusNormal"/>
              <w:overflowPunct w:val="false"/>
              <w:spacing w:lineRule="auto" w:line="276"/>
              <w:jc w:val="both"/>
              <w:textAlignment w:val="baseline"/>
              <w:rPr>
                <w:rFonts w:ascii="Times New Roman" w:hAnsi="Times New Roman" w:cs="Times New Roman"/>
                <w:b/>
                <w:b/>
                <w:sz w:val="24"/>
                <w:szCs w:val="24"/>
                <w:lang w:eastAsia="en-US"/>
              </w:rPr>
            </w:pPr>
            <w:r>
              <w:rPr>
                <w:rFonts w:cs="Times New Roman" w:ascii="Times New Roman" w:hAnsi="Times New Roman"/>
                <w:b/>
                <w:sz w:val="24"/>
                <w:szCs w:val="24"/>
                <w:lang w:eastAsia="en-US"/>
              </w:rPr>
              <w:t>Министерство градостроительной деятельности и развития агломераций Нижегородской области</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133</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1 17 05050 05 0000 180</w:t>
            </w:r>
          </w:p>
        </w:tc>
        <w:tc>
          <w:tcPr>
            <w:tcW w:w="5242" w:type="dxa"/>
            <w:tcBorders>
              <w:top w:val="single" w:sz="4" w:space="0" w:color="000000"/>
              <w:left w:val="single" w:sz="4" w:space="0" w:color="000000"/>
              <w:bottom w:val="single" w:sz="4" w:space="0" w:color="000000"/>
              <w:right w:val="single" w:sz="4" w:space="0" w:color="000000"/>
            </w:tcBorders>
          </w:tcPr>
          <w:p>
            <w:pPr>
              <w:pStyle w:val="ConsPlusNormal"/>
              <w:overflowPunct w:val="false"/>
              <w:spacing w:lineRule="auto" w:line="276"/>
              <w:jc w:val="both"/>
              <w:textAlignment w:val="baseline"/>
              <w:rPr>
                <w:rFonts w:ascii="Times New Roman" w:hAnsi="Times New Roman" w:cs="Times New Roman"/>
                <w:sz w:val="24"/>
                <w:szCs w:val="24"/>
                <w:lang w:eastAsia="en-US"/>
              </w:rPr>
            </w:pPr>
            <w:r>
              <w:rPr>
                <w:rFonts w:cs="Times New Roman" w:ascii="Times New Roman" w:hAnsi="Times New Roman"/>
                <w:sz w:val="24"/>
                <w:szCs w:val="24"/>
                <w:lang w:eastAsia="en-US"/>
              </w:rPr>
              <w:t>Прочие неналоговые доходы бюджетов муниципальных районов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bCs/>
                <w:sz w:val="24"/>
                <w:szCs w:val="24"/>
                <w:lang w:val="en-US" w:eastAsia="en-US"/>
              </w:rPr>
            </w:pPr>
            <w:r>
              <w:rPr>
                <w:b/>
                <w:bCs/>
                <w:sz w:val="24"/>
                <w:szCs w:val="24"/>
                <w:lang w:val="en-US" w:eastAsia="en-US"/>
              </w:rPr>
              <w:t>143</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b/>
                <w:b/>
                <w:bCs/>
                <w:sz w:val="24"/>
                <w:szCs w:val="24"/>
                <w:lang w:val="en-US" w:eastAsia="en-US"/>
              </w:rPr>
            </w:pPr>
            <w:r>
              <w:rPr>
                <w:b/>
                <w:bCs/>
                <w:sz w:val="24"/>
                <w:szCs w:val="24"/>
                <w:lang w:val="en-US" w:eastAsia="en-US"/>
              </w:rPr>
            </w:r>
          </w:p>
        </w:tc>
        <w:tc>
          <w:tcPr>
            <w:tcW w:w="5242" w:type="dxa"/>
            <w:tcBorders>
              <w:top w:val="single" w:sz="4" w:space="0" w:color="000000"/>
              <w:left w:val="single" w:sz="4" w:space="0" w:color="000000"/>
              <w:bottom w:val="single" w:sz="4" w:space="0" w:color="000000"/>
              <w:right w:val="single" w:sz="4" w:space="0" w:color="000000"/>
            </w:tcBorders>
          </w:tcPr>
          <w:p>
            <w:pPr>
              <w:pStyle w:val="ConsPlusNormal"/>
              <w:overflowPunct w:val="false"/>
              <w:spacing w:lineRule="auto" w:line="276"/>
              <w:jc w:val="both"/>
              <w:textAlignment w:val="baseline"/>
              <w:rPr>
                <w:rFonts w:ascii="Times New Roman" w:hAnsi="Times New Roman" w:cs="Times New Roman"/>
                <w:b/>
                <w:b/>
                <w:bCs/>
                <w:sz w:val="24"/>
                <w:szCs w:val="24"/>
                <w:lang w:eastAsia="en-US"/>
              </w:rPr>
            </w:pPr>
            <w:r>
              <w:rPr>
                <w:rFonts w:cs="Times New Roman" w:ascii="Times New Roman" w:hAnsi="Times New Roman"/>
                <w:b/>
                <w:sz w:val="24"/>
                <w:szCs w:val="24"/>
                <w:lang w:eastAsia="en-US"/>
              </w:rPr>
              <w:t>Министерство имущественных и земельных отношений Нижегородской области</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tLeast" w:line="20"/>
              <w:jc w:val="center"/>
              <w:rPr>
                <w:bCs/>
                <w:sz w:val="24"/>
                <w:szCs w:val="24"/>
                <w:lang w:eastAsia="en-US"/>
              </w:rPr>
            </w:pPr>
            <w:r>
              <w:rPr>
                <w:bCs/>
                <w:sz w:val="24"/>
                <w:szCs w:val="24"/>
                <w:lang w:eastAsia="en-US"/>
              </w:rPr>
              <w:t>143</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tLeast" w:line="20"/>
              <w:jc w:val="center"/>
              <w:rPr>
                <w:bCs/>
                <w:sz w:val="24"/>
                <w:szCs w:val="24"/>
                <w:lang w:val="en-US" w:eastAsia="en-US"/>
              </w:rPr>
            </w:pPr>
            <w:r>
              <w:rPr>
                <w:bCs/>
                <w:sz w:val="24"/>
                <w:szCs w:val="24"/>
                <w:lang w:val="en-US" w:eastAsia="en-US"/>
              </w:rPr>
              <w:t>1 11 05013 05 0000 120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tLeast" w:line="20"/>
              <w:jc w:val="both"/>
              <w:rPr>
                <w:sz w:val="24"/>
                <w:szCs w:val="24"/>
                <w:lang w:eastAsia="en-US"/>
              </w:rPr>
            </w:pPr>
            <w:r>
              <w:rPr>
                <w:sz w:val="24"/>
                <w:szCs w:val="24"/>
                <w:lang w:eastAsia="en-US"/>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143</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1 11 05013 13 0000 120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не заключение договоров аренды указанных земельных участков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143</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1 14 06013 05 0000 430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143</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1 14 06013 13 0000 430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 xml:space="preserve">Доходы от продажи земельных участков, государственная собственность на которые не разграничена и которые расположены в границах городских поселений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bCs/>
                <w:sz w:val="24"/>
                <w:szCs w:val="24"/>
                <w:lang w:eastAsia="en-US"/>
              </w:rPr>
            </w:pPr>
            <w:r>
              <w:rPr>
                <w:b/>
                <w:bCs/>
                <w:sz w:val="24"/>
                <w:szCs w:val="24"/>
                <w:lang w:eastAsia="en-US"/>
              </w:rPr>
              <w:t>150</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b/>
                <w:b/>
                <w:bCs/>
                <w:sz w:val="24"/>
                <w:szCs w:val="24"/>
                <w:lang w:eastAsia="en-US"/>
              </w:rPr>
            </w:pPr>
            <w:r>
              <w:rPr>
                <w:b/>
                <w:bCs/>
                <w:sz w:val="24"/>
                <w:szCs w:val="24"/>
                <w:lang w:eastAsia="en-US"/>
              </w:rPr>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b/>
                <w:bCs/>
                <w:sz w:val="24"/>
                <w:szCs w:val="24"/>
                <w:lang w:eastAsia="en-US"/>
              </w:rPr>
              <w:t>Министерство социальной политики Нижегородской области</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150</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1 16 01053 01 0035 140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pPr>
            <w:r>
              <w:rPr>
                <w:sz w:val="24"/>
                <w:szCs w:val="24"/>
                <w:lang w:eastAsia="en-US"/>
              </w:rPr>
              <w:t xml:space="preserve">Административные штрафы, установленные </w:t>
            </w:r>
            <w:hyperlink r:id="rId3">
              <w:r>
                <w:rPr>
                  <w:sz w:val="24"/>
                  <w:szCs w:val="24"/>
                  <w:lang w:eastAsia="en-US"/>
                </w:rPr>
                <w:t>Главой 5</w:t>
              </w:r>
            </w:hyperlink>
            <w:r>
              <w:rPr>
                <w:sz w:val="24"/>
                <w:szCs w:val="24"/>
                <w:lang w:eastAsia="en-US"/>
              </w:rPr>
              <w:t xml:space="preserve"> Кодекса Российской Федерации об административных правонарушениях, за административные правонарушения, посягающие на права граждан, налагаемые мировыми судьями, комиссиями по делам несовершеннолетних и защите их прав (штрафы за неисполнение родителями или иными законными представителями несовершеннолетних обязанностей по содержанию и воспитанию несовершеннолетних)</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150</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1 16 01063 01 9000 140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pPr>
            <w:r>
              <w:rPr>
                <w:sz w:val="24"/>
                <w:szCs w:val="24"/>
                <w:lang w:eastAsia="en-US"/>
              </w:rPr>
              <w:t xml:space="preserve">Административные штрафы, установленные </w:t>
            </w:r>
            <w:hyperlink r:id="rId4">
              <w:r>
                <w:rPr>
                  <w:sz w:val="24"/>
                  <w:szCs w:val="24"/>
                  <w:lang w:eastAsia="en-US"/>
                </w:rPr>
                <w:t>Главой 6</w:t>
              </w:r>
            </w:hyperlink>
            <w:r>
              <w:rPr>
                <w:sz w:val="24"/>
                <w:szCs w:val="24"/>
                <w:lang w:eastAsia="en-US"/>
              </w:rPr>
              <w:t xml:space="preserve"> Кодекса Российской Федерации об административных 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 налагаемые мировыми судьями, комиссиями по делам несовершеннолетних и защите их прав (иные штрафы)</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150</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1 16 01203 01 0021 140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pPr>
            <w:r>
              <w:rPr>
                <w:sz w:val="24"/>
                <w:szCs w:val="24"/>
                <w:lang w:eastAsia="en-US"/>
              </w:rPr>
              <w:t xml:space="preserve">Административные штрафы, установленные </w:t>
            </w:r>
            <w:hyperlink r:id="rId5">
              <w:r>
                <w:rPr>
                  <w:sz w:val="24"/>
                  <w:szCs w:val="24"/>
                  <w:lang w:eastAsia="en-US"/>
                </w:rPr>
                <w:t>Главой 20</w:t>
              </w:r>
            </w:hyperlink>
            <w:r>
              <w:rPr>
                <w:sz w:val="24"/>
                <w:szCs w:val="24"/>
                <w:lang w:eastAsia="en-US"/>
              </w:rPr>
              <w:t xml:space="preserve">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 (штрафы за появление в общественных местах в состоянии опьянения)</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150</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eastAsia="en-US"/>
              </w:rPr>
            </w:pPr>
            <w:r>
              <w:rPr>
                <w:bCs/>
                <w:sz w:val="24"/>
                <w:szCs w:val="24"/>
                <w:lang w:eastAsia="en-US"/>
              </w:rPr>
              <w:t>1 16 01203 01 9000 140</w:t>
            </w:r>
          </w:p>
        </w:tc>
        <w:tc>
          <w:tcPr>
            <w:tcW w:w="5242" w:type="dxa"/>
            <w:tcBorders>
              <w:top w:val="single" w:sz="4" w:space="0" w:color="000000"/>
              <w:left w:val="single" w:sz="4" w:space="0" w:color="000000"/>
              <w:bottom w:val="single" w:sz="4" w:space="0" w:color="000000"/>
              <w:right w:val="single" w:sz="4" w:space="0" w:color="000000"/>
            </w:tcBorders>
          </w:tcPr>
          <w:p>
            <w:pPr>
              <w:pStyle w:val="ConsPlusNormal"/>
              <w:overflowPunct w:val="false"/>
              <w:spacing w:lineRule="auto" w:line="276"/>
              <w:jc w:val="both"/>
              <w:textAlignment w:val="baseline"/>
              <w:rPr>
                <w:rFonts w:ascii="Times New Roman" w:hAnsi="Times New Roman" w:cs="Times New Roman"/>
                <w:bCs/>
                <w:sz w:val="24"/>
                <w:szCs w:val="24"/>
                <w:lang w:eastAsia="en-US"/>
              </w:rPr>
            </w:pPr>
            <w:r>
              <w:rPr>
                <w:rFonts w:cs="Times New Roman" w:ascii="Times New Roman" w:hAnsi="Times New Roman"/>
                <w:sz w:val="24"/>
                <w:szCs w:val="24"/>
                <w:lang w:eastAsia="en-US"/>
              </w:rPr>
              <w:t xml:space="preserve">Административные штрафы, установленные </w:t>
            </w:r>
            <w:hyperlink r:id="rId6">
              <w:r>
                <w:rPr>
                  <w:sz w:val="24"/>
                  <w:szCs w:val="24"/>
                  <w:lang w:eastAsia="en-US"/>
                </w:rPr>
                <w:t>Главой 20</w:t>
              </w:r>
            </w:hyperlink>
            <w:r>
              <w:rPr>
                <w:rFonts w:cs="Times New Roman" w:ascii="Times New Roman" w:hAnsi="Times New Roman"/>
                <w:sz w:val="24"/>
                <w:szCs w:val="24"/>
                <w:lang w:eastAsia="en-US"/>
              </w:rPr>
              <w:t xml:space="preserve">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 (иные штрафы)</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bCs/>
                <w:sz w:val="24"/>
                <w:szCs w:val="24"/>
                <w:lang w:eastAsia="en-US"/>
              </w:rPr>
            </w:pPr>
            <w:r>
              <w:rPr>
                <w:b/>
                <w:bCs/>
                <w:sz w:val="24"/>
                <w:szCs w:val="24"/>
                <w:lang w:eastAsia="en-US"/>
              </w:rPr>
              <w:t>182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b/>
                <w:b/>
                <w:bCs/>
                <w:sz w:val="24"/>
                <w:szCs w:val="24"/>
                <w:lang w:eastAsia="en-US"/>
              </w:rPr>
            </w:pPr>
            <w:r>
              <w:rPr>
                <w:b/>
                <w:bCs/>
                <w:sz w:val="24"/>
                <w:szCs w:val="24"/>
                <w:lang w:eastAsia="en-US"/>
              </w:rPr>
            </w:r>
          </w:p>
        </w:tc>
        <w:tc>
          <w:tcPr>
            <w:tcW w:w="5242" w:type="dxa"/>
            <w:tcBorders>
              <w:top w:val="single" w:sz="4" w:space="0" w:color="000000"/>
              <w:left w:val="single" w:sz="4" w:space="0" w:color="000000"/>
              <w:bottom w:val="single" w:sz="4" w:space="0" w:color="000000"/>
              <w:right w:val="single" w:sz="4" w:space="0" w:color="000000"/>
            </w:tcBorders>
          </w:tcPr>
          <w:p>
            <w:pPr>
              <w:pStyle w:val="ConsPlusNormal"/>
              <w:overflowPunct w:val="false"/>
              <w:spacing w:lineRule="auto" w:line="276"/>
              <w:jc w:val="both"/>
              <w:textAlignment w:val="baseline"/>
              <w:rPr>
                <w:rFonts w:ascii="Times New Roman" w:hAnsi="Times New Roman" w:cs="Times New Roman"/>
                <w:b/>
                <w:b/>
                <w:bCs/>
                <w:sz w:val="24"/>
                <w:szCs w:val="24"/>
                <w:lang w:eastAsia="en-US"/>
              </w:rPr>
            </w:pPr>
            <w:r>
              <w:rPr>
                <w:rFonts w:cs="Times New Roman" w:ascii="Times New Roman" w:hAnsi="Times New Roman"/>
                <w:b/>
                <w:bCs/>
                <w:sz w:val="24"/>
                <w:szCs w:val="24"/>
                <w:lang w:eastAsia="en-US"/>
              </w:rPr>
              <w:t xml:space="preserve">Управление Федеральной налоговой службы по Нижегородской области </w:t>
            </w:r>
            <w:r>
              <w:rPr>
                <w:rFonts w:cs="Times New Roman" w:ascii="Times New Roman" w:hAnsi="Times New Roman"/>
                <w:kern w:val="2"/>
                <w:sz w:val="24"/>
                <w:szCs w:val="24"/>
                <w:lang w:eastAsia="en-US"/>
              </w:rPr>
              <w:t xml:space="preserve">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bCs/>
                <w:sz w:val="24"/>
                <w:szCs w:val="24"/>
                <w:lang w:eastAsia="en-US"/>
              </w:rPr>
              <w:t>182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1 01 02010 01 0000 110</w:t>
            </w:r>
          </w:p>
        </w:tc>
        <w:tc>
          <w:tcPr>
            <w:tcW w:w="5242" w:type="dxa"/>
            <w:tcBorders>
              <w:top w:val="single" w:sz="4" w:space="0" w:color="000000"/>
              <w:left w:val="single" w:sz="4" w:space="0" w:color="000000"/>
              <w:bottom w:val="single" w:sz="4" w:space="0" w:color="000000"/>
              <w:right w:val="single" w:sz="4" w:space="0" w:color="000000"/>
            </w:tcBorders>
          </w:tcPr>
          <w:p>
            <w:pPr>
              <w:pStyle w:val="ConsPlusNormal"/>
              <w:overflowPunct w:val="false"/>
              <w:spacing w:lineRule="auto" w:line="276"/>
              <w:jc w:val="both"/>
              <w:textAlignment w:val="baseline"/>
              <w:rPr/>
            </w:pPr>
            <w:r>
              <w:rPr>
                <w:rFonts w:cs="Times New Roman" w:ascii="Times New Roman" w:hAnsi="Times New Roman"/>
                <w:kern w:val="2"/>
                <w:sz w:val="24"/>
                <w:szCs w:val="24"/>
                <w:lang w:eastAsia="en-US"/>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7">
              <w:r>
                <w:rPr>
                  <w:sz w:val="24"/>
                  <w:szCs w:val="24"/>
                  <w:lang w:eastAsia="en-US"/>
                </w:rPr>
                <w:t>статьями 227</w:t>
              </w:r>
            </w:hyperlink>
            <w:r>
              <w:rPr>
                <w:rFonts w:cs="Times New Roman" w:ascii="Times New Roman" w:hAnsi="Times New Roman"/>
                <w:kern w:val="2"/>
                <w:sz w:val="24"/>
                <w:szCs w:val="24"/>
                <w:lang w:eastAsia="en-US"/>
              </w:rPr>
              <w:t xml:space="preserve">, </w:t>
            </w:r>
            <w:hyperlink r:id="rId8">
              <w:r>
                <w:rPr>
                  <w:sz w:val="24"/>
                  <w:szCs w:val="24"/>
                  <w:lang w:eastAsia="en-US"/>
                </w:rPr>
                <w:t>227</w:t>
              </w:r>
              <w:r>
                <w:rPr>
                  <w:sz w:val="24"/>
                  <w:szCs w:val="24"/>
                  <w:vertAlign w:val="superscript"/>
                  <w:lang w:eastAsia="en-US"/>
                </w:rPr>
                <w:t>1</w:t>
              </w:r>
              <w:r>
                <w:rPr>
                  <w:sz w:val="24"/>
                  <w:szCs w:val="24"/>
                  <w:lang w:eastAsia="en-US"/>
                </w:rPr>
                <w:t xml:space="preserve"> </w:t>
              </w:r>
            </w:hyperlink>
            <w:r>
              <w:rPr>
                <w:rFonts w:cs="Times New Roman" w:ascii="Times New Roman" w:hAnsi="Times New Roman"/>
                <w:kern w:val="2"/>
                <w:sz w:val="24"/>
                <w:szCs w:val="24"/>
                <w:lang w:eastAsia="en-US"/>
              </w:rPr>
              <w:t xml:space="preserve">и </w:t>
            </w:r>
            <w:hyperlink r:id="rId9">
              <w:r>
                <w:rPr>
                  <w:sz w:val="24"/>
                  <w:szCs w:val="24"/>
                  <w:lang w:eastAsia="en-US"/>
                </w:rPr>
                <w:t>228</w:t>
              </w:r>
            </w:hyperlink>
            <w:r>
              <w:rPr>
                <w:rFonts w:cs="Times New Roman" w:ascii="Times New Roman" w:hAnsi="Times New Roman"/>
                <w:kern w:val="2"/>
                <w:sz w:val="24"/>
                <w:szCs w:val="24"/>
                <w:lang w:eastAsia="en-US"/>
              </w:rPr>
              <w:t xml:space="preserve"> Налогового кодекса Российской Федерации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bCs/>
                <w:sz w:val="24"/>
                <w:szCs w:val="24"/>
                <w:lang w:eastAsia="en-US"/>
              </w:rPr>
              <w:t>182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1 01 02020 01 0000 110</w:t>
            </w:r>
          </w:p>
        </w:tc>
        <w:tc>
          <w:tcPr>
            <w:tcW w:w="5242" w:type="dxa"/>
            <w:tcBorders>
              <w:top w:val="single" w:sz="4" w:space="0" w:color="000000"/>
              <w:left w:val="single" w:sz="4" w:space="0" w:color="000000"/>
              <w:bottom w:val="single" w:sz="4" w:space="0" w:color="000000"/>
              <w:right w:val="single" w:sz="4" w:space="0" w:color="000000"/>
            </w:tcBorders>
          </w:tcPr>
          <w:p>
            <w:pPr>
              <w:pStyle w:val="ConsPlusNormal"/>
              <w:overflowPunct w:val="false"/>
              <w:spacing w:lineRule="auto" w:line="276"/>
              <w:jc w:val="both"/>
              <w:textAlignment w:val="baseline"/>
              <w:rPr/>
            </w:pPr>
            <w:r>
              <w:rPr>
                <w:rFonts w:cs="Times New Roman" w:ascii="Times New Roman" w:hAnsi="Times New Roman"/>
                <w:kern w:val="2"/>
                <w:sz w:val="24"/>
                <w:szCs w:val="24"/>
                <w:lang w:eastAsia="en-US"/>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10">
              <w:r>
                <w:rPr>
                  <w:sz w:val="24"/>
                  <w:szCs w:val="24"/>
                  <w:lang w:eastAsia="en-US"/>
                </w:rPr>
                <w:t>статьей 227</w:t>
              </w:r>
            </w:hyperlink>
            <w:r>
              <w:rPr>
                <w:rFonts w:cs="Times New Roman" w:ascii="Times New Roman" w:hAnsi="Times New Roman"/>
                <w:kern w:val="2"/>
                <w:sz w:val="24"/>
                <w:szCs w:val="24"/>
                <w:lang w:eastAsia="en-US"/>
              </w:rPr>
              <w:t xml:space="preserve"> Налогового кодекса Российской Федерации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bCs/>
                <w:sz w:val="24"/>
                <w:szCs w:val="24"/>
                <w:lang w:eastAsia="en-US"/>
              </w:rPr>
              <w:t>182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1 01 02030 01 0000 110</w:t>
            </w:r>
          </w:p>
        </w:tc>
        <w:tc>
          <w:tcPr>
            <w:tcW w:w="5242" w:type="dxa"/>
            <w:tcBorders>
              <w:top w:val="single" w:sz="4" w:space="0" w:color="000000"/>
              <w:left w:val="single" w:sz="4" w:space="0" w:color="000000"/>
              <w:bottom w:val="single" w:sz="4" w:space="0" w:color="000000"/>
              <w:right w:val="single" w:sz="4" w:space="0" w:color="000000"/>
            </w:tcBorders>
          </w:tcPr>
          <w:p>
            <w:pPr>
              <w:pStyle w:val="ConsPlusNormal"/>
              <w:overflowPunct w:val="false"/>
              <w:spacing w:lineRule="auto" w:line="276"/>
              <w:jc w:val="both"/>
              <w:textAlignment w:val="baseline"/>
              <w:rPr/>
            </w:pPr>
            <w:r>
              <w:rPr>
                <w:rFonts w:cs="Times New Roman" w:ascii="Times New Roman" w:hAnsi="Times New Roman"/>
                <w:kern w:val="2"/>
                <w:sz w:val="24"/>
                <w:szCs w:val="24"/>
                <w:lang w:eastAsia="en-US"/>
              </w:rPr>
              <w:t xml:space="preserve">Налог на доходы физических лиц с доходов, полученных физическими лицами в соответствии со </w:t>
            </w:r>
            <w:hyperlink r:id="rId11">
              <w:r>
                <w:rPr>
                  <w:sz w:val="24"/>
                  <w:szCs w:val="24"/>
                  <w:lang w:eastAsia="en-US"/>
                </w:rPr>
                <w:t>статьей 228</w:t>
              </w:r>
            </w:hyperlink>
            <w:r>
              <w:rPr>
                <w:rFonts w:cs="Times New Roman" w:ascii="Times New Roman" w:hAnsi="Times New Roman"/>
                <w:kern w:val="2"/>
                <w:sz w:val="24"/>
                <w:szCs w:val="24"/>
                <w:lang w:eastAsia="en-US"/>
              </w:rPr>
              <w:t xml:space="preserve"> Налогового кодекса Российской Федерации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bCs/>
                <w:sz w:val="24"/>
                <w:szCs w:val="24"/>
                <w:lang w:eastAsia="en-US"/>
              </w:rPr>
              <w:t>182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1 01 02040 01 0000 110</w:t>
            </w:r>
          </w:p>
        </w:tc>
        <w:tc>
          <w:tcPr>
            <w:tcW w:w="5242" w:type="dxa"/>
            <w:tcBorders>
              <w:top w:val="single" w:sz="4" w:space="0" w:color="000000"/>
              <w:left w:val="single" w:sz="4" w:space="0" w:color="000000"/>
              <w:bottom w:val="single" w:sz="4" w:space="0" w:color="000000"/>
              <w:right w:val="single" w:sz="4" w:space="0" w:color="000000"/>
            </w:tcBorders>
          </w:tcPr>
          <w:p>
            <w:pPr>
              <w:pStyle w:val="ConsPlusNormal"/>
              <w:overflowPunct w:val="false"/>
              <w:spacing w:lineRule="auto" w:line="276"/>
              <w:jc w:val="both"/>
              <w:textAlignment w:val="baseline"/>
              <w:rPr/>
            </w:pPr>
            <w:r>
              <w:rPr>
                <w:rFonts w:cs="Times New Roman" w:ascii="Times New Roman" w:hAnsi="Times New Roman"/>
                <w:kern w:val="2"/>
                <w:sz w:val="24"/>
                <w:szCs w:val="24"/>
                <w:lang w:eastAsia="en-US"/>
              </w:rPr>
              <w:t xml:space="preserve">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у физических лиц на основании патента в соответствии со статьей </w:t>
            </w:r>
            <w:hyperlink r:id="rId12">
              <w:r>
                <w:rPr>
                  <w:sz w:val="24"/>
                  <w:szCs w:val="24"/>
                  <w:lang w:eastAsia="en-US"/>
                </w:rPr>
                <w:t>227</w:t>
              </w:r>
              <w:r>
                <w:rPr>
                  <w:sz w:val="24"/>
                  <w:szCs w:val="24"/>
                  <w:vertAlign w:val="superscript"/>
                  <w:lang w:eastAsia="en-US"/>
                </w:rPr>
                <w:t>1</w:t>
              </w:r>
              <w:r>
                <w:rPr>
                  <w:sz w:val="24"/>
                  <w:szCs w:val="24"/>
                  <w:lang w:eastAsia="en-US"/>
                </w:rPr>
                <w:t xml:space="preserve"> </w:t>
              </w:r>
            </w:hyperlink>
            <w:r>
              <w:rPr>
                <w:rFonts w:cs="Times New Roman" w:ascii="Times New Roman" w:hAnsi="Times New Roman"/>
                <w:kern w:val="2"/>
                <w:sz w:val="24"/>
                <w:szCs w:val="24"/>
                <w:lang w:eastAsia="en-US"/>
              </w:rPr>
              <w:t xml:space="preserve">Налогового кодекса Российской Федерации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1 05 01010 01 0000 110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Налог, взимаемый с налогоплательщиков, выбравших в качестве объекта налогообложения доходы</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1 05 01021 01 0000 110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 xml:space="preserve">Налог, взимаемый с налогоплательщиков, выбравших в качестве объекта налогообложения доходы, уменьшенные на величину расходов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1 05 02010 02 0000 110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Единый налог на вмененный доход для отдельных видов деятельности</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bCs/>
                <w:sz w:val="24"/>
                <w:szCs w:val="24"/>
                <w:lang w:eastAsia="en-US"/>
              </w:rPr>
              <w:t>182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1 05 03010 01 0000 110</w:t>
            </w:r>
          </w:p>
        </w:tc>
        <w:tc>
          <w:tcPr>
            <w:tcW w:w="5242" w:type="dxa"/>
            <w:tcBorders>
              <w:top w:val="single" w:sz="4" w:space="0" w:color="000000"/>
              <w:left w:val="single" w:sz="4" w:space="0" w:color="000000"/>
              <w:bottom w:val="single" w:sz="4" w:space="0" w:color="000000"/>
              <w:right w:val="single" w:sz="4" w:space="0" w:color="000000"/>
            </w:tcBorders>
          </w:tcPr>
          <w:p>
            <w:pPr>
              <w:pStyle w:val="ConsPlusNormal"/>
              <w:overflowPunct w:val="false"/>
              <w:spacing w:lineRule="auto" w:line="276"/>
              <w:jc w:val="both"/>
              <w:textAlignment w:val="baseline"/>
              <w:rPr>
                <w:rFonts w:ascii="Times New Roman" w:hAnsi="Times New Roman" w:cs="Times New Roman"/>
                <w:kern w:val="2"/>
                <w:sz w:val="24"/>
                <w:szCs w:val="24"/>
                <w:lang w:eastAsia="en-US"/>
              </w:rPr>
            </w:pPr>
            <w:r>
              <w:rPr>
                <w:rFonts w:cs="Times New Roman" w:ascii="Times New Roman" w:hAnsi="Times New Roman"/>
                <w:kern w:val="2"/>
                <w:sz w:val="24"/>
                <w:szCs w:val="24"/>
                <w:lang w:eastAsia="en-US"/>
              </w:rPr>
              <w:t xml:space="preserve">Единый сельскохозяйственный налог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sz w:val="24"/>
                <w:szCs w:val="24"/>
                <w:lang w:val="en-US" w:eastAsia="en-US"/>
              </w:rPr>
            </w:pPr>
            <w:r>
              <w:rPr>
                <w:bCs/>
                <w:sz w:val="24"/>
                <w:szCs w:val="24"/>
                <w:lang w:val="en-US" w:eastAsia="en-US"/>
              </w:rPr>
              <w:t>182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5442" w:leader="none"/>
              </w:tabs>
              <w:spacing w:lineRule="auto" w:line="276"/>
              <w:jc w:val="center"/>
              <w:rPr>
                <w:sz w:val="24"/>
                <w:szCs w:val="24"/>
                <w:lang w:eastAsia="en-US"/>
              </w:rPr>
            </w:pPr>
            <w:r>
              <w:rPr>
                <w:sz w:val="24"/>
                <w:szCs w:val="24"/>
                <w:lang w:eastAsia="en-US"/>
              </w:rPr>
              <w:t>1 05 04020 02 0000 110</w:t>
            </w:r>
          </w:p>
        </w:tc>
        <w:tc>
          <w:tcPr>
            <w:tcW w:w="5242"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pacing w:lineRule="auto" w:line="276"/>
              <w:jc w:val="both"/>
              <w:rPr>
                <w:sz w:val="24"/>
                <w:szCs w:val="24"/>
                <w:lang w:eastAsia="en-US"/>
              </w:rPr>
            </w:pPr>
            <w:r>
              <w:rPr>
                <w:sz w:val="24"/>
                <w:szCs w:val="24"/>
                <w:lang w:eastAsia="en-US"/>
              </w:rPr>
              <w:t>Налог, взимаемый в связи с применением патентной системы налогообложения, зачисляемый в бюджеты муниципальных районов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182</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1 08 03010 01 0000 110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sz w:val="24"/>
                <w:szCs w:val="24"/>
                <w:lang w:eastAsia="en-US"/>
              </w:rPr>
            </w:pPr>
            <w:r>
              <w:rPr>
                <w:b/>
                <w:sz w:val="24"/>
                <w:szCs w:val="24"/>
                <w:lang w:eastAsia="en-US"/>
              </w:rPr>
              <w:t>218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b/>
                <w:b/>
                <w:sz w:val="24"/>
                <w:szCs w:val="24"/>
                <w:lang w:eastAsia="en-US"/>
              </w:rPr>
            </w:pPr>
            <w:r>
              <w:rPr>
                <w:b/>
                <w:sz w:val="24"/>
                <w:szCs w:val="24"/>
                <w:lang w:eastAsia="en-US"/>
              </w:rPr>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b/>
                <w:b/>
                <w:sz w:val="24"/>
                <w:szCs w:val="24"/>
                <w:lang w:eastAsia="en-US"/>
              </w:rPr>
            </w:pPr>
            <w:r>
              <w:rPr>
                <w:b/>
                <w:bCs/>
                <w:sz w:val="24"/>
                <w:szCs w:val="24"/>
                <w:lang w:eastAsia="en-US"/>
              </w:rPr>
              <w:t>Управление по обеспечению деятельности мировых судей, адвокатуры и нотариата Нижегородской области</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218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1 16 01053 01 0000 140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Административные штрафы, установленные Главой 5 Кодекса Российской Федерации об административных правонарушениях, за административные правонарушения, посягающие на права граждан, налагаемые мировыми судьями, комиссиями по делам несовершеннолетних и защите их прав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218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1 16 01063 01 0000 140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Административные штрафы, установленные Главой 6 Кодекса Российской Федерации об административных 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 налагаемые мировыми судьями, комиссиями по делам несовершеннолетних и защите их прав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218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1 16 01073 01 0000 140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Административные штрафы, установленные главой 7 Кодекса Российской Федерации об административных правонарушениях, за административные правонарушения в области охраны собственности, налагаемые мировыми судьями, комиссиями по делам несовершеннолетних и защите их прав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218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1 16 01083 01 0281 140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налагаемые мировыми судьями, комиссиями по делам несовершеннолетних и защите их прав (штрафы за нарушение требований лесного законодательства об учете древесины и сделок с ней)</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218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1 16 01133 01 0000 140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Административные штрафы, установленные главой 13 Кодекса Российской Федерации об административных правонарушениях, за административные правонарушения в области связи и информации, налагаемые мировыми судьями, комиссиями по делам несовершеннолетних и защите их прав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218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1 16 01143 01 0000 140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Административные штрафы, установленные главой 14 Кодекса Российской Федерации об административных правонарушениях, за административные правонарушения в области предпринимательской деятельности и деятельности саморегулируемых организаций, налагаемые мировыми судьями, комиссиями по делам несовершеннолетних и защите их прав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218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1 16 01153 01 0000 140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Административные штрафы, установленные главой 15 Кодекса Российской Федерации об административных правонарушениях, за административные правонарушения в области финансов, налогов и сборов, страхования, рынка ценных бумаг (за исключением штрафов, указанных в пункте 6 статьи 46 Бюджетного кодекса Российской Федерации), налагаемые мировыми судьями, комиссиями по делам несовершеннолетних и защите их прав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218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1 16 01173 01 0000 140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Административные штрафы, установленные главой 17 Кодекса Российской Федерации об административных правонарушениях, за административные правонарушения, посягающие на институты государственной власти, налагаемые мировыми судьями, комиссиями по делам несовершеннолетних и защите их прав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218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1 16 01193 01 0005 140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налагаемые мировыми судьями, комиссиями по делам несовершеннолетних и защите их прав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218</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1 16 01203 01 9000 140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 (иные штрафы)</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sz w:val="24"/>
                <w:szCs w:val="24"/>
                <w:lang w:eastAsia="en-US"/>
              </w:rPr>
            </w:pPr>
            <w:r>
              <w:rPr>
                <w:b/>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b/>
                <w:b/>
                <w:sz w:val="24"/>
                <w:szCs w:val="24"/>
                <w:lang w:eastAsia="en-US"/>
              </w:rPr>
            </w:pPr>
            <w:r>
              <w:rPr>
                <w:b/>
                <w:sz w:val="24"/>
                <w:szCs w:val="24"/>
                <w:lang w:eastAsia="en-US"/>
              </w:rPr>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b/>
                <w:b/>
                <w:sz w:val="24"/>
                <w:szCs w:val="24"/>
                <w:lang w:eastAsia="en-US"/>
              </w:rPr>
            </w:pPr>
            <w:r>
              <w:rPr>
                <w:b/>
                <w:sz w:val="24"/>
                <w:szCs w:val="24"/>
                <w:lang w:eastAsia="en-US"/>
              </w:rPr>
              <w:t>Администрация Шарангского муниципального  района Нижегородской области</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val="en-US" w:eastAsia="en-US"/>
              </w:rPr>
            </w:pPr>
            <w:r>
              <w:rPr>
                <w:sz w:val="24"/>
                <w:szCs w:val="24"/>
                <w:lang w:val="en-US"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pPr>
            <w:r>
              <w:rPr>
                <w:sz w:val="24"/>
                <w:szCs w:val="24"/>
                <w:lang w:val="en-US" w:eastAsia="en-US"/>
              </w:rPr>
              <w:t>1 08 07150 01</w:t>
            </w:r>
            <w:r>
              <w:rPr>
                <w:sz w:val="24"/>
                <w:szCs w:val="24"/>
                <w:lang w:eastAsia="en-US"/>
              </w:rPr>
              <w:t xml:space="preserve"> 1</w:t>
            </w:r>
            <w:r>
              <w:rPr>
                <w:sz w:val="24"/>
                <w:szCs w:val="24"/>
                <w:lang w:val="en-US" w:eastAsia="en-US"/>
              </w:rPr>
              <w:t>000 110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Государственная пошлина за выдачу разрешения на установку рекламной конструкции</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tLeast" w:line="20"/>
              <w:jc w:val="center"/>
              <w:rPr>
                <w:sz w:val="24"/>
                <w:szCs w:val="24"/>
                <w:lang w:val="en-US" w:eastAsia="en-US"/>
              </w:rPr>
            </w:pPr>
            <w:r>
              <w:rPr>
                <w:sz w:val="24"/>
                <w:szCs w:val="24"/>
                <w:lang w:val="en-US"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tLeast" w:line="20"/>
              <w:jc w:val="center"/>
              <w:rPr/>
            </w:pPr>
            <w:r>
              <w:rPr>
                <w:sz w:val="24"/>
                <w:szCs w:val="24"/>
                <w:lang w:eastAsia="en-US"/>
              </w:rPr>
              <w:t>1 11 05013 05 0000 120</w:t>
            </w:r>
          </w:p>
        </w:tc>
        <w:tc>
          <w:tcPr>
            <w:tcW w:w="5242"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tLeast" w:line="20"/>
              <w:jc w:val="both"/>
              <w:rPr>
                <w:sz w:val="24"/>
                <w:szCs w:val="24"/>
                <w:lang w:eastAsia="en-US"/>
              </w:rPr>
            </w:pPr>
            <w:r>
              <w:rPr>
                <w:sz w:val="24"/>
                <w:szCs w:val="24"/>
                <w:lang w:eastAsia="en-US"/>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1 11 05013 13 0000 120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не заключение договоров аренды указанных земельных участков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val="en-US" w:eastAsia="en-US"/>
              </w:rPr>
            </w:pPr>
            <w:r>
              <w:rPr>
                <w:sz w:val="24"/>
                <w:szCs w:val="24"/>
                <w:lang w:val="en-US"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val="en-US" w:eastAsia="en-US"/>
              </w:rPr>
            </w:pPr>
            <w:r>
              <w:rPr>
                <w:sz w:val="24"/>
                <w:szCs w:val="24"/>
                <w:lang w:val="en-US" w:eastAsia="en-US"/>
              </w:rPr>
              <w:t>1 11 05025 05 0000 120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1 11 05035 05 0000 120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 xml:space="preserve">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1 11 07015 05 0000 120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Доходы от перечисления части прибыли, остающейся после уплаты налогов и иных обязательных платежей муниципальных унитарных предприятий, созданных муниципальными районами</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1 11 09045 05 0010 120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(поступления от оказания услуг администрацией Шарангского муниципального района по приватизации жилищного фонда)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1 13 02995 05 0000 130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Прочие доходы от компенсации затрат бюджетов муниципальных районов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1 13 02995 05 0023 130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Прочие доходы от компенсации затрат бюджетов муниципальных районов, источником которых являются средства районного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tLeast" w:line="20"/>
              <w:jc w:val="center"/>
              <w:rPr>
                <w:sz w:val="24"/>
                <w:szCs w:val="24"/>
                <w:lang w:val="en-US" w:eastAsia="en-US"/>
              </w:rPr>
            </w:pPr>
            <w:r>
              <w:rPr>
                <w:sz w:val="24"/>
                <w:szCs w:val="24"/>
                <w:lang w:val="en-US"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tLeast" w:line="20"/>
              <w:jc w:val="center"/>
              <w:rPr>
                <w:sz w:val="24"/>
                <w:szCs w:val="24"/>
                <w:lang w:eastAsia="en-US"/>
              </w:rPr>
            </w:pPr>
            <w:r>
              <w:rPr>
                <w:sz w:val="24"/>
                <w:szCs w:val="24"/>
                <w:lang w:eastAsia="en-US"/>
              </w:rPr>
              <w:t>1 14 06013 05 0000 430</w:t>
            </w:r>
          </w:p>
        </w:tc>
        <w:tc>
          <w:tcPr>
            <w:tcW w:w="5242"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tLeast" w:line="20"/>
              <w:jc w:val="both"/>
              <w:rPr>
                <w:sz w:val="24"/>
                <w:szCs w:val="24"/>
                <w:lang w:eastAsia="en-US"/>
              </w:rPr>
            </w:pPr>
            <w:r>
              <w:rPr>
                <w:sz w:val="24"/>
                <w:szCs w:val="24"/>
                <w:lang w:eastAsia="en-US"/>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1 14 06013 13 0000 430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 xml:space="preserve">Доходы от продажи земельных участков, государственная собственность на которые не разграничена и которые расположены в границах городских поселений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val="en-US" w:eastAsia="en-US"/>
              </w:rPr>
            </w:pPr>
            <w:r>
              <w:rPr>
                <w:sz w:val="24"/>
                <w:szCs w:val="24"/>
                <w:lang w:val="en-US"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val="en-US" w:eastAsia="en-US"/>
              </w:rPr>
            </w:pPr>
            <w:r>
              <w:rPr>
                <w:sz w:val="24"/>
                <w:szCs w:val="24"/>
                <w:lang w:val="en-US" w:eastAsia="en-US"/>
              </w:rPr>
              <w:t>1 14 06025 05 0000 430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1 14 13050 05 0000 410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Доходы от приватизации имущества, находящегося в собственности муниципальных районов, в части приватизации нефинансовых активов имущества казны</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1 16 07010 05 0000 140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муниципального района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1 16 10031 05 0000 140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Возмещение ущерба при возникновении страховых случаев, когда выгодоприобретателями выступают получатели средств бюджета муниципального района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1 17 01050 05 0000 180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 xml:space="preserve">Невыясненные поступления, зачисляемые в бюджеты муниципальных  районов </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rFonts w:eastAsia="Calibri"/>
                <w:sz w:val="24"/>
                <w:szCs w:val="24"/>
                <w:lang w:eastAsia="en-US"/>
              </w:rPr>
            </w:pPr>
            <w:r>
              <w:rPr>
                <w:rFonts w:eastAsia="Calibri"/>
                <w:sz w:val="24"/>
                <w:szCs w:val="24"/>
                <w:lang w:eastAsia="en-US"/>
              </w:rPr>
              <w:t>2 02 20077 05 0220 150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76"/>
              <w:jc w:val="both"/>
              <w:rPr>
                <w:sz w:val="24"/>
                <w:szCs w:val="24"/>
                <w:lang w:eastAsia="en-US"/>
              </w:rPr>
            </w:pPr>
            <w:r>
              <w:rPr>
                <w:sz w:val="24"/>
                <w:szCs w:val="24"/>
                <w:lang w:eastAsia="en-US"/>
              </w:rPr>
              <w:t>Субсидии бюджетам муниципальных районов на строительство, реконструкцию, проектно-изыскательские работы и разработку проектно-сметной документации объектов капитального строительства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rFonts w:eastAsia="Calibri"/>
                <w:sz w:val="24"/>
                <w:szCs w:val="24"/>
                <w:lang w:eastAsia="en-US"/>
              </w:rPr>
            </w:pPr>
            <w:r>
              <w:rPr>
                <w:rFonts w:eastAsia="Calibri"/>
                <w:sz w:val="24"/>
                <w:szCs w:val="24"/>
                <w:lang w:eastAsia="en-US"/>
              </w:rPr>
              <w:t>2 02 20299 05 0220 150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76"/>
              <w:jc w:val="both"/>
              <w:rPr>
                <w:sz w:val="24"/>
                <w:szCs w:val="24"/>
                <w:lang w:eastAsia="en-US"/>
              </w:rPr>
            </w:pPr>
            <w:r>
              <w:rPr>
                <w:sz w:val="24"/>
                <w:szCs w:val="24"/>
                <w:lang w:eastAsia="en-US"/>
              </w:rPr>
              <w:t>Субсидии бюджетам муниципальных районов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rFonts w:eastAsia="Calibri"/>
                <w:sz w:val="24"/>
                <w:szCs w:val="24"/>
                <w:lang w:eastAsia="en-US"/>
              </w:rPr>
            </w:pPr>
            <w:r>
              <w:rPr>
                <w:rFonts w:eastAsia="Calibri"/>
                <w:sz w:val="24"/>
                <w:szCs w:val="24"/>
                <w:lang w:eastAsia="en-US"/>
              </w:rPr>
              <w:t>2 02 20302 05 0220 150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76"/>
              <w:jc w:val="both"/>
              <w:rPr>
                <w:rFonts w:eastAsia="Calibri"/>
                <w:sz w:val="24"/>
                <w:szCs w:val="24"/>
                <w:lang w:eastAsia="en-US"/>
              </w:rPr>
            </w:pPr>
            <w:r>
              <w:rPr>
                <w:sz w:val="24"/>
                <w:szCs w:val="24"/>
                <w:lang w:eastAsia="en-US"/>
              </w:rPr>
              <w:t>Субсидии бюджетам муниципальных районов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rFonts w:eastAsia="Calibri"/>
                <w:sz w:val="24"/>
                <w:szCs w:val="24"/>
                <w:lang w:eastAsia="en-US"/>
              </w:rPr>
            </w:pPr>
            <w:r>
              <w:rPr>
                <w:rFonts w:eastAsia="Calibri"/>
                <w:sz w:val="24"/>
                <w:szCs w:val="24"/>
                <w:lang w:eastAsia="en-US"/>
              </w:rPr>
              <w:t>2 02 25497 05 0110 150</w:t>
            </w:r>
          </w:p>
        </w:tc>
        <w:tc>
          <w:tcPr>
            <w:tcW w:w="5242"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76"/>
              <w:jc w:val="both"/>
              <w:rPr>
                <w:rFonts w:eastAsia="Calibri"/>
                <w:sz w:val="24"/>
                <w:szCs w:val="24"/>
                <w:lang w:eastAsia="en-US"/>
              </w:rPr>
            </w:pPr>
            <w:r>
              <w:rPr>
                <w:rFonts w:eastAsia="Calibri"/>
                <w:sz w:val="24"/>
                <w:szCs w:val="24"/>
                <w:lang w:eastAsia="en-US"/>
              </w:rPr>
              <w:t>Субсидии бюджетам муниципальных районов на реализацию мероприятий по обеспечению жильем молодых семей за счет средств федерального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rFonts w:eastAsia="Calibri"/>
                <w:sz w:val="24"/>
                <w:szCs w:val="24"/>
                <w:lang w:eastAsia="en-US"/>
              </w:rPr>
            </w:pPr>
            <w:r>
              <w:rPr>
                <w:rFonts w:eastAsia="Calibri"/>
                <w:sz w:val="24"/>
                <w:szCs w:val="24"/>
                <w:lang w:eastAsia="en-US"/>
              </w:rPr>
              <w:t>2 02 25497 05 0220 150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autoSpaceDE w:val="false"/>
              <w:spacing w:lineRule="auto" w:line="276"/>
              <w:jc w:val="both"/>
              <w:rPr>
                <w:rFonts w:eastAsia="Calibri"/>
                <w:sz w:val="24"/>
                <w:szCs w:val="24"/>
                <w:lang w:eastAsia="en-US"/>
              </w:rPr>
            </w:pPr>
            <w:r>
              <w:rPr>
                <w:rFonts w:eastAsia="Calibri"/>
                <w:sz w:val="24"/>
                <w:szCs w:val="24"/>
                <w:lang w:eastAsia="en-US"/>
              </w:rPr>
              <w:t>Субсидии бюджетам муниципальных районов на реализацию мероприятий по обеспечению жильем молодых семей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pPr>
            <w:r>
              <w:rPr>
                <w:sz w:val="24"/>
                <w:szCs w:val="24"/>
                <w:lang w:eastAsia="en-US"/>
              </w:rPr>
              <w:t>2 02 27576 05 0110 150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Субсидии бюджетам муниципальных районов на реализацию проектов комплексного развития сельских территорий (сельских агломераций) за счет средств федерального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2 02 27576 05 0220 150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Субсидии бюджетам муниципальных районов на реализацию проектов комплексного развития сельских территорий (сельских агломераций)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2 02 29999 05 0220 150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Прочие субсидии бюджетам муниципальных районов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2 02 30024 05 0220 150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2 02 35082 05 0110 150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федерального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val="en-US" w:eastAsia="en-US"/>
              </w:rPr>
            </w:pPr>
            <w:r>
              <w:rPr>
                <w:sz w:val="24"/>
                <w:szCs w:val="24"/>
                <w:lang w:val="en-US"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pPr>
            <w:r>
              <w:rPr>
                <w:sz w:val="24"/>
                <w:szCs w:val="24"/>
                <w:lang w:val="en-US" w:eastAsia="en-US"/>
              </w:rPr>
              <w:t>2 02 3</w:t>
            </w:r>
            <w:r>
              <w:rPr>
                <w:sz w:val="24"/>
                <w:szCs w:val="24"/>
                <w:lang w:eastAsia="en-US"/>
              </w:rPr>
              <w:t xml:space="preserve">5082 </w:t>
            </w:r>
            <w:r>
              <w:rPr>
                <w:sz w:val="24"/>
                <w:szCs w:val="24"/>
                <w:lang w:val="en-US" w:eastAsia="en-US"/>
              </w:rPr>
              <w:t>05 0</w:t>
            </w:r>
            <w:r>
              <w:rPr>
                <w:sz w:val="24"/>
                <w:szCs w:val="24"/>
                <w:lang w:eastAsia="en-US"/>
              </w:rPr>
              <w:t>22</w:t>
            </w:r>
            <w:r>
              <w:rPr>
                <w:sz w:val="24"/>
                <w:szCs w:val="24"/>
                <w:lang w:val="en-US" w:eastAsia="en-US"/>
              </w:rPr>
              <w:t>0 15</w:t>
            </w:r>
            <w:r>
              <w:rPr>
                <w:sz w:val="24"/>
                <w:szCs w:val="24"/>
                <w:lang w:eastAsia="en-US"/>
              </w:rPr>
              <w:t>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2 02 3512005 0110 150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bCs/>
                <w:kern w:val="2"/>
                <w:sz w:val="24"/>
                <w:szCs w:val="24"/>
                <w:lang w:eastAsia="en-US"/>
              </w:rPr>
              <w:t xml:space="preserve">Субвенции </w:t>
            </w:r>
            <w:r>
              <w:rPr>
                <w:sz w:val="24"/>
                <w:szCs w:val="24"/>
                <w:lang w:eastAsia="en-US"/>
              </w:rPr>
              <w:t>бюджетам муниципальных районов</w:t>
            </w:r>
            <w:r>
              <w:rPr>
                <w:bCs/>
                <w:kern w:val="2"/>
                <w:sz w:val="24"/>
                <w:szCs w:val="24"/>
                <w:lang w:eastAsia="en-US"/>
              </w:rPr>
              <w:t xml:space="preserve">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 за счет средств федерального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autoSpaceDE w:val="false"/>
              <w:spacing w:lineRule="auto" w:line="276"/>
              <w:jc w:val="center"/>
              <w:rPr>
                <w:sz w:val="24"/>
                <w:szCs w:val="24"/>
                <w:lang w:eastAsia="en-US"/>
              </w:rPr>
            </w:pPr>
            <w:r>
              <w:rPr>
                <w:sz w:val="24"/>
                <w:szCs w:val="24"/>
                <w:lang w:eastAsia="en-US"/>
              </w:rPr>
              <w:t>2 02 35135 05 0110 150</w:t>
            </w:r>
          </w:p>
          <w:p>
            <w:pPr>
              <w:pStyle w:val="Normal"/>
              <w:spacing w:lineRule="auto" w:line="276"/>
              <w:jc w:val="center"/>
              <w:rPr>
                <w:sz w:val="24"/>
                <w:szCs w:val="24"/>
                <w:lang w:eastAsia="en-US"/>
              </w:rPr>
            </w:pPr>
            <w:r>
              <w:rPr>
                <w:sz w:val="24"/>
                <w:szCs w:val="24"/>
                <w:lang w:eastAsia="en-US"/>
              </w:rPr>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Субвенции бюджетам муниципальных районов на обеспечение жильем отдельных категорий граждан, установленных Федеральным законом от 12 января 1995 года № 5-ФЗ «О ветеранах», за счет средств федерального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val="en-US" w:eastAsia="en-US"/>
              </w:rPr>
            </w:pPr>
            <w:r>
              <w:rPr>
                <w:sz w:val="24"/>
                <w:szCs w:val="24"/>
                <w:lang w:val="en-US"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2 02 45160 05 0220 150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2 04 05099 05 0000 150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Прочие безвозмездные поступления от негосударственных организаций в бюджеты муниципальных районов</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2 19 60010 05 0220 150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 за счет средств областного бюджета</w:t>
            </w:r>
          </w:p>
        </w:tc>
      </w:tr>
      <w:tr>
        <w:trPr/>
        <w:tc>
          <w:tcPr>
            <w:tcW w:w="136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487</w:t>
            </w:r>
          </w:p>
        </w:tc>
        <w:tc>
          <w:tcPr>
            <w:tcW w:w="296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sz w:val="24"/>
                <w:szCs w:val="24"/>
                <w:lang w:eastAsia="en-US"/>
              </w:rPr>
            </w:pPr>
            <w:r>
              <w:rPr>
                <w:sz w:val="24"/>
                <w:szCs w:val="24"/>
                <w:lang w:eastAsia="en-US"/>
              </w:rPr>
              <w:t>2 02 49999 05 0110 150</w:t>
            </w:r>
          </w:p>
        </w:tc>
        <w:tc>
          <w:tcPr>
            <w:tcW w:w="5242"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Прочие межбюджетные трансферты, передаваемые бюджетам муниципальных районов за счет средств федерального бюджета</w:t>
            </w:r>
          </w:p>
        </w:tc>
      </w:tr>
    </w:tbl>
    <w:p>
      <w:pPr>
        <w:pStyle w:val="Normal"/>
        <w:tabs>
          <w:tab w:val="clear" w:pos="720"/>
          <w:tab w:val="left" w:pos="5442" w:leader="none"/>
        </w:tabs>
        <w:jc w:val="right"/>
        <w:rPr>
          <w:sz w:val="28"/>
          <w:szCs w:val="28"/>
        </w:rPr>
      </w:pPr>
      <w:r>
        <w:br w:type="page"/>
      </w:r>
      <w:r>
        <w:rPr>
          <w:sz w:val="28"/>
          <w:szCs w:val="28"/>
        </w:rPr>
        <w:t xml:space="preserve">Приложение 3 </w:t>
      </w:r>
    </w:p>
    <w:p>
      <w:pPr>
        <w:pStyle w:val="Normal"/>
        <w:tabs>
          <w:tab w:val="clear" w:pos="720"/>
          <w:tab w:val="left" w:pos="5442" w:leader="none"/>
        </w:tabs>
        <w:jc w:val="right"/>
        <w:rPr>
          <w:sz w:val="28"/>
          <w:szCs w:val="28"/>
        </w:rPr>
      </w:pPr>
      <w:r>
        <w:rPr>
          <w:sz w:val="28"/>
          <w:szCs w:val="28"/>
        </w:rPr>
        <w:t xml:space="preserve">к решению Земского собрания </w:t>
      </w:r>
    </w:p>
    <w:p>
      <w:pPr>
        <w:pStyle w:val="Normal"/>
        <w:tabs>
          <w:tab w:val="clear" w:pos="720"/>
          <w:tab w:val="left" w:pos="5442" w:leader="none"/>
        </w:tabs>
        <w:jc w:val="right"/>
        <w:rPr>
          <w:sz w:val="28"/>
          <w:szCs w:val="28"/>
        </w:rPr>
      </w:pPr>
      <w:r>
        <w:rPr>
          <w:sz w:val="28"/>
          <w:szCs w:val="28"/>
        </w:rPr>
        <w:t xml:space="preserve"> </w:t>
      </w:r>
      <w:r>
        <w:rPr>
          <w:sz w:val="28"/>
          <w:szCs w:val="28"/>
        </w:rPr>
        <w:t>Шарангского муниципального района</w:t>
      </w:r>
    </w:p>
    <w:p>
      <w:pPr>
        <w:pStyle w:val="Normal"/>
        <w:tabs>
          <w:tab w:val="clear" w:pos="720"/>
          <w:tab w:val="left" w:pos="5442" w:leader="none"/>
        </w:tabs>
        <w:jc w:val="right"/>
        <w:rPr>
          <w:sz w:val="28"/>
          <w:szCs w:val="28"/>
        </w:rPr>
      </w:pPr>
      <w:r>
        <w:rPr>
          <w:sz w:val="28"/>
          <w:szCs w:val="28"/>
        </w:rPr>
        <w:t xml:space="preserve"> </w:t>
      </w:r>
      <w:r>
        <w:rPr>
          <w:sz w:val="28"/>
          <w:szCs w:val="28"/>
        </w:rPr>
        <w:t>«О районном бюджете на 2021  год  и на плановый период</w:t>
      </w:r>
    </w:p>
    <w:p>
      <w:pPr>
        <w:pStyle w:val="Normal"/>
        <w:tabs>
          <w:tab w:val="clear" w:pos="720"/>
          <w:tab w:val="left" w:pos="5442" w:leader="none"/>
        </w:tabs>
        <w:jc w:val="right"/>
        <w:rPr>
          <w:sz w:val="28"/>
          <w:szCs w:val="28"/>
        </w:rPr>
      </w:pPr>
      <w:r>
        <w:rPr>
          <w:sz w:val="28"/>
          <w:szCs w:val="28"/>
        </w:rPr>
        <w:t xml:space="preserve"> </w:t>
      </w:r>
      <w:r>
        <w:rPr>
          <w:sz w:val="28"/>
          <w:szCs w:val="28"/>
        </w:rPr>
        <w:t>2022 и 2023 годов»</w:t>
      </w:r>
    </w:p>
    <w:p>
      <w:pPr>
        <w:pStyle w:val="Normal"/>
        <w:tabs>
          <w:tab w:val="clear" w:pos="720"/>
          <w:tab w:val="left" w:pos="5442" w:leader="none"/>
        </w:tabs>
        <w:jc w:val="center"/>
        <w:rPr>
          <w:sz w:val="24"/>
          <w:szCs w:val="24"/>
        </w:rPr>
      </w:pPr>
      <w:r>
        <w:rPr>
          <w:sz w:val="24"/>
          <w:szCs w:val="24"/>
        </w:rPr>
      </w:r>
    </w:p>
    <w:p>
      <w:pPr>
        <w:pStyle w:val="Normal"/>
        <w:tabs>
          <w:tab w:val="clear" w:pos="720"/>
          <w:tab w:val="left" w:pos="5442" w:leader="none"/>
        </w:tabs>
        <w:jc w:val="center"/>
        <w:rPr>
          <w:b/>
          <w:b/>
          <w:sz w:val="24"/>
          <w:szCs w:val="24"/>
        </w:rPr>
      </w:pPr>
      <w:r>
        <w:rPr>
          <w:b/>
          <w:sz w:val="24"/>
          <w:szCs w:val="24"/>
        </w:rPr>
      </w:r>
    </w:p>
    <w:p>
      <w:pPr>
        <w:pStyle w:val="Normal"/>
        <w:tabs>
          <w:tab w:val="clear" w:pos="720"/>
          <w:tab w:val="left" w:pos="5442" w:leader="none"/>
        </w:tabs>
        <w:jc w:val="center"/>
        <w:rPr>
          <w:b/>
          <w:b/>
          <w:sz w:val="28"/>
          <w:szCs w:val="28"/>
        </w:rPr>
      </w:pPr>
      <w:r>
        <w:rPr>
          <w:b/>
          <w:sz w:val="28"/>
          <w:szCs w:val="28"/>
        </w:rPr>
        <w:t xml:space="preserve">Поступление доходов по группам, подгруппам и статьям </w:t>
      </w:r>
    </w:p>
    <w:p>
      <w:pPr>
        <w:pStyle w:val="Normal"/>
        <w:tabs>
          <w:tab w:val="clear" w:pos="720"/>
          <w:tab w:val="left" w:pos="5442" w:leader="none"/>
        </w:tabs>
        <w:jc w:val="center"/>
        <w:rPr>
          <w:b/>
          <w:b/>
          <w:sz w:val="28"/>
          <w:szCs w:val="28"/>
        </w:rPr>
      </w:pPr>
      <w:r>
        <w:rPr>
          <w:b/>
          <w:sz w:val="28"/>
          <w:szCs w:val="28"/>
        </w:rPr>
        <w:t>бюджетной классификации на 2021 год и на плановый период 2022 и 2023 годов</w:t>
      </w:r>
    </w:p>
    <w:p>
      <w:pPr>
        <w:pStyle w:val="Normal"/>
        <w:tabs>
          <w:tab w:val="clear" w:pos="720"/>
          <w:tab w:val="left" w:pos="5442" w:leader="none"/>
        </w:tabs>
        <w:jc w:val="right"/>
        <w:rPr>
          <w:b/>
          <w:b/>
          <w:sz w:val="24"/>
          <w:szCs w:val="24"/>
        </w:rPr>
      </w:pPr>
      <w:r>
        <w:rPr>
          <w:b/>
          <w:sz w:val="24"/>
          <w:szCs w:val="24"/>
        </w:rPr>
      </w:r>
    </w:p>
    <w:p>
      <w:pPr>
        <w:pStyle w:val="Normal"/>
        <w:tabs>
          <w:tab w:val="clear" w:pos="720"/>
          <w:tab w:val="left" w:pos="5442" w:leader="none"/>
        </w:tabs>
        <w:jc w:val="right"/>
        <w:rPr>
          <w:b/>
          <w:b/>
          <w:sz w:val="24"/>
          <w:szCs w:val="24"/>
        </w:rPr>
      </w:pPr>
      <w:r>
        <w:rPr>
          <w:sz w:val="24"/>
          <w:szCs w:val="24"/>
        </w:rPr>
        <w:t xml:space="preserve"> </w:t>
      </w:r>
      <w:r>
        <w:rPr>
          <w:sz w:val="24"/>
          <w:szCs w:val="24"/>
        </w:rPr>
        <w:t>(тыс. рублей)</w:t>
      </w:r>
    </w:p>
    <w:tbl>
      <w:tblPr>
        <w:tblW w:w="10490" w:type="dxa"/>
        <w:jc w:val="left"/>
        <w:tblInd w:w="-572" w:type="dxa"/>
        <w:tblLayout w:type="fixed"/>
        <w:tblCellMar>
          <w:top w:w="0" w:type="dxa"/>
          <w:left w:w="108" w:type="dxa"/>
          <w:bottom w:w="0" w:type="dxa"/>
          <w:right w:w="108" w:type="dxa"/>
        </w:tblCellMar>
      </w:tblPr>
      <w:tblGrid>
        <w:gridCol w:w="2694"/>
        <w:gridCol w:w="4211"/>
        <w:gridCol w:w="1176"/>
        <w:gridCol w:w="1233"/>
        <w:gridCol w:w="1176"/>
      </w:tblGrid>
      <w:tr>
        <w:trPr>
          <w:tblHeader w:val="true"/>
        </w:trPr>
        <w:tc>
          <w:tcPr>
            <w:tcW w:w="2694"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5442" w:leader="none"/>
              </w:tabs>
              <w:jc w:val="center"/>
              <w:rPr>
                <w:b/>
                <w:b/>
                <w:sz w:val="24"/>
                <w:szCs w:val="24"/>
              </w:rPr>
            </w:pPr>
            <w:r>
              <w:rPr>
                <w:b/>
                <w:sz w:val="24"/>
                <w:szCs w:val="24"/>
              </w:rPr>
              <w:t>Код бюджетной классификации Российской Федерации</w:t>
            </w:r>
          </w:p>
        </w:tc>
        <w:tc>
          <w:tcPr>
            <w:tcW w:w="4211"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5442" w:leader="none"/>
              </w:tabs>
              <w:jc w:val="center"/>
              <w:rPr>
                <w:b/>
                <w:b/>
                <w:sz w:val="24"/>
                <w:szCs w:val="24"/>
              </w:rPr>
            </w:pPr>
            <w:r>
              <w:rPr>
                <w:b/>
                <w:sz w:val="24"/>
                <w:szCs w:val="24"/>
              </w:rPr>
              <w:t>Наименование доходов</w:t>
            </w:r>
          </w:p>
        </w:tc>
        <w:tc>
          <w:tcPr>
            <w:tcW w:w="1176"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5442" w:leader="none"/>
              </w:tabs>
              <w:jc w:val="center"/>
              <w:rPr>
                <w:b/>
                <w:b/>
                <w:sz w:val="24"/>
                <w:szCs w:val="24"/>
              </w:rPr>
            </w:pPr>
            <w:r>
              <w:rPr>
                <w:b/>
                <w:sz w:val="24"/>
                <w:szCs w:val="24"/>
              </w:rPr>
              <w:t>2021 год</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5442" w:leader="none"/>
              </w:tabs>
              <w:jc w:val="center"/>
              <w:rPr>
                <w:b/>
                <w:b/>
                <w:sz w:val="24"/>
                <w:szCs w:val="24"/>
              </w:rPr>
            </w:pPr>
            <w:r>
              <w:rPr>
                <w:b/>
                <w:sz w:val="24"/>
                <w:szCs w:val="24"/>
              </w:rPr>
              <w:t>2022 год</w:t>
            </w:r>
          </w:p>
        </w:tc>
        <w:tc>
          <w:tcPr>
            <w:tcW w:w="1176"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5442" w:leader="none"/>
              </w:tabs>
              <w:jc w:val="center"/>
              <w:rPr>
                <w:b/>
                <w:b/>
                <w:sz w:val="24"/>
                <w:szCs w:val="24"/>
              </w:rPr>
            </w:pPr>
            <w:r>
              <w:rPr>
                <w:b/>
                <w:sz w:val="24"/>
                <w:szCs w:val="24"/>
              </w:rPr>
              <w:t>2023 год</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rPr>
                <w:b/>
                <w:b/>
                <w:sz w:val="24"/>
                <w:szCs w:val="24"/>
              </w:rPr>
            </w:pPr>
            <w:r>
              <w:rPr>
                <w:b/>
                <w:sz w:val="24"/>
                <w:szCs w:val="24"/>
              </w:rPr>
              <w:t>1 00 00000 00 0000 000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Налоговые и неналоговые доходы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114 012,0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111 721,5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119 512,0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1 01 00000 00 0000 000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1.1. Налоги на прибыль, доходы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92 031,4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98 290,6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105 361,3</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1 01 02000 01 0000 110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1.1.1.Налог на доходы физических лиц</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92 031,4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98 290,6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105 361,3</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1 01 02010 01 0000 110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1.1.1.1.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осуществляется в соответствии со статьями 227,227.1 и 228 Налогового кодекса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90 650,7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96 821,2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103 792,3</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1 01 02020 01 0000 110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1.1.1.2.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642,9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686,7</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736,1</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1 01 02030 01 0000 110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1.1.1.3. 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551,1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588,6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631,0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1 01 02040 01 0000 110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1.1.1.4. 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186,7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194,1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201,9</w:t>
            </w:r>
          </w:p>
        </w:tc>
      </w:tr>
      <w:tr>
        <w:trPr>
          <w:trHeight w:val="271"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1 05 00000 00 0000 000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1.2. Налоги на совокупный доход</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9 797,1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9 185,1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9 783,0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1 05 01000 01 0000 110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1.2.1. Налог, взимаемый в связи с применением упрощенной системы налогообложения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7 428,8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8 002,0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8 538,1</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1 05 01010 01 0000 110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1.2.1.1. Налог, взимаемый с налогоплательщиков, выбравших в качестве объекта налогообложения доходы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3 282,8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3 488,9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3 722,6</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1 05 01020 01 0000 110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1.2.1.2. Налог, взимаемый с налогоплательщиков, выбравших в качестве объекта налогообложения доходы, уменьшенные на величину расходов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4 146,0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4 513,1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4 815,5</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1 05 02000 02 0000 110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1.2.2. Единый налог на вмененный доход для отдельных видов деятельности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1 110,9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1 05 02010 02 0000 110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1.2.2.1. Единый налог на вмененный доход  для отдельных видов деятельности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1 110,9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1 05 03000 01 0000 110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lang w:val="en-US"/>
              </w:rPr>
            </w:pPr>
            <w:r>
              <w:rPr>
                <w:sz w:val="24"/>
                <w:szCs w:val="24"/>
              </w:rPr>
              <w:t>1.2.3. Единый сельскохозяйственный налог</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312,4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370,5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377,9</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1 05 03010 01 0000 110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lang w:val="en-US"/>
              </w:rPr>
            </w:pPr>
            <w:r>
              <w:rPr>
                <w:sz w:val="24"/>
                <w:szCs w:val="24"/>
              </w:rPr>
              <w:t>1.2.3.1.Единый сельскохозяйственный налог</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pPr>
            <w:r>
              <w:rPr>
                <w:sz w:val="24"/>
                <w:szCs w:val="24"/>
              </w:rPr>
              <w:t>312,4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370,5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377,9</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1 05 04000 02 0000 110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1.2.4. Налог, взимаемый в связи с применением патентной системы налогообложения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945,0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rPr>
                <w:sz w:val="24"/>
                <w:szCs w:val="24"/>
              </w:rPr>
            </w:pPr>
            <w:r>
              <w:rPr>
                <w:sz w:val="24"/>
                <w:szCs w:val="24"/>
              </w:rPr>
              <w:t xml:space="preserve">    </w:t>
            </w:r>
            <w:r>
              <w:rPr>
                <w:sz w:val="24"/>
                <w:szCs w:val="24"/>
              </w:rPr>
              <w:t>812,6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867,0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1 05 04020 02 0000 110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1.2.4.1. Налог, взимаемый в связи с применением патентной системы налогообложения, зачисляемый в бюджеты муниципальных районов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945,0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812,6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867,0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1 08 00000 00 0000 000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1.3. Государственная пошлина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836,5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870,0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904,8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1 08 03010 01 0000 110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1.3.1. 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836,5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870,0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904,8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1 11 00000 00 0000 000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1.4. Доходы от использования имущества, находящегося в государственной и муниципальной собственности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2 693,5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2 687,4</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2 794,8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1 11 05000 00 0000 120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 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2 568,2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2 686,4</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2 793,8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1 11 05010 00 0000 120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1.4.1.1. 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1 846,6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1 920,5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1 997,3</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1 11 05013 05 0000 120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1.4.1.1.1.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1 009,8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1 050,2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1 092,2</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1 11 05013 13 0000 120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1.4.1.1.2.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836,8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870,3</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905,1</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1 11 05020 00 0000 120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1.4.1.2. Доходы, получаемые в виде арендной платы за земли после разграничения государственной собственности на землю, а также средства от продажи права на заключение договоров аренды указанных земельных участков (за исключением земельных участков бюджетных и автономных учреждений)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161,1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142,9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148,6</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1 11 05025 05 0000 120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1.4.1.2.1. 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161,1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142,9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148,6</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1 11 05030 00 0000 120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1.4.1.3. Доходы от сдачи в аренду имущества, находящегося в оперативном управлении органов государственной власти, органов местного самоуправления, государственных внебюджетных фондов и созданных ими учреждений (за исключением имущества бюджетных и автономных учреждений)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560,5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623,0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647,9</w:t>
            </w:r>
          </w:p>
        </w:tc>
      </w:tr>
      <w:tr>
        <w:trPr>
          <w:trHeight w:val="709"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1 11 05035 05 0000 120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1.4.1.3.1. 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560,5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623,0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647,9</w:t>
            </w:r>
          </w:p>
        </w:tc>
      </w:tr>
      <w:tr>
        <w:trPr>
          <w:trHeight w:val="709"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1 11 07000 00 0000 120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1.4.2. Платежи от государственных и муниципальных унитарных предприятий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124,8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0,0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0,0</w:t>
            </w:r>
          </w:p>
        </w:tc>
      </w:tr>
      <w:tr>
        <w:trPr>
          <w:trHeight w:val="709"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1 11 07015 05 0000 120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1.4.2.1.Доходы от перечисления части прибыли, остающейся после уплаты налогов и иных обязательных платежей муниципальных унитарных предприятий, созданных муниципальными районами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124,8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1 11 09000 00 0000 120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1.4.3. Прочие доходы от использования имущества и прав, находящихся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1 11 09045 05 0000 120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1.4.3.1. 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1800" w:leader="none"/>
                <w:tab w:val="left" w:pos="5442" w:leader="none"/>
              </w:tabs>
              <w:jc w:val="both"/>
              <w:rPr>
                <w:b/>
                <w:b/>
                <w:sz w:val="24"/>
                <w:szCs w:val="24"/>
              </w:rPr>
            </w:pPr>
            <w:r>
              <w:rPr>
                <w:b/>
                <w:sz w:val="24"/>
                <w:szCs w:val="24"/>
              </w:rPr>
              <w:t>1 12 00000 00 0000 000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1.5. Платежи при пользовании природными ресурсами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5,3</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81,8</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85,1</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1 12 01000 01 0000 120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1.5.1. Плата за негативное воздействие на окружающую среду</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5,3</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pPr>
            <w:r>
              <w:rPr>
                <w:sz w:val="24"/>
                <w:szCs w:val="24"/>
              </w:rPr>
              <w:t>81,8</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85,1</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1 12 01010 01 0000 120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1.5.1.1. Плата за выбросы загрязняющих веществ в атмосферный воздух стационарными объектами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32,9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34,2</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1 12 01030 01 0000 120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1.5.1.2. Плата за сбросы загрязняющих веществ в водные объекты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5,3</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29,5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30,7</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1 12 01041 01 0000 120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1.5.1.3. Плата за размещение отходов производства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19,4</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20,2</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1 13 00000 00 0000 000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1.6. Доходы от оказания платных услуг (работ) и компенсации затрат государства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8 352,1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234,5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243,8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lang w:val="en-US"/>
              </w:rPr>
              <w:t>1</w:t>
            </w:r>
            <w:r>
              <w:rPr>
                <w:sz w:val="24"/>
                <w:szCs w:val="24"/>
              </w:rPr>
              <w:t xml:space="preserve"> </w:t>
            </w:r>
            <w:r>
              <w:rPr>
                <w:sz w:val="24"/>
                <w:szCs w:val="24"/>
                <w:lang w:val="en-US"/>
              </w:rPr>
              <w:t>13</w:t>
            </w:r>
            <w:r>
              <w:rPr>
                <w:sz w:val="24"/>
                <w:szCs w:val="24"/>
              </w:rPr>
              <w:t xml:space="preserve"> </w:t>
            </w:r>
            <w:r>
              <w:rPr>
                <w:sz w:val="24"/>
                <w:szCs w:val="24"/>
                <w:lang w:val="en-US"/>
              </w:rPr>
              <w:t>02000</w:t>
            </w:r>
            <w:r>
              <w:rPr>
                <w:sz w:val="24"/>
                <w:szCs w:val="24"/>
              </w:rPr>
              <w:t xml:space="preserve"> </w:t>
            </w:r>
            <w:r>
              <w:rPr>
                <w:sz w:val="24"/>
                <w:szCs w:val="24"/>
                <w:lang w:val="en-US"/>
              </w:rPr>
              <w:t>00</w:t>
            </w:r>
            <w:r>
              <w:rPr>
                <w:sz w:val="24"/>
                <w:szCs w:val="24"/>
              </w:rPr>
              <w:t xml:space="preserve"> </w:t>
            </w:r>
            <w:r>
              <w:rPr>
                <w:sz w:val="24"/>
                <w:szCs w:val="24"/>
                <w:lang w:val="en-US"/>
              </w:rPr>
              <w:t>0000</w:t>
            </w:r>
            <w:r>
              <w:rPr>
                <w:sz w:val="24"/>
                <w:szCs w:val="24"/>
              </w:rPr>
              <w:t xml:space="preserve"> </w:t>
            </w:r>
            <w:r>
              <w:rPr>
                <w:sz w:val="24"/>
                <w:szCs w:val="24"/>
                <w:lang w:val="en-US"/>
              </w:rPr>
              <w:t>130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1.6.1. Доходы от компенсации затрат государства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8 352,1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234,5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243,8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1 13 02995 05 0000 130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1.6.1.1. Прочие доходы от компенсации затрат бюджетов муниципальных районов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8 352,1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234,5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243,8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1 14 00000 00 0000 000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1.7. Доходы от продажи материальных и нематериальных активов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94,9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341,1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307,0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1 14 06000 00 0000 430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 xml:space="preserve">1.7.1. Доходы от продажи земельных участков, находящихся в государственной и муниципальной собственности </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94,9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251,1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226,0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1 14 06013 05 0000 430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1.7.1.1. 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51,2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78,0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70,2</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1 14 06013 13 0000 430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1.7.1.2. 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20,0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18,9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17,0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1 14 06025 05 0000 430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1.7.1.3. 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23,7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154,2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138,8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autoSpaceDE w:val="false"/>
              <w:rPr>
                <w:sz w:val="24"/>
                <w:szCs w:val="24"/>
              </w:rPr>
            </w:pPr>
            <w:r>
              <w:rPr>
                <w:sz w:val="24"/>
                <w:szCs w:val="24"/>
              </w:rPr>
              <w:t>1 14 13000 00 0000 000</w:t>
            </w:r>
          </w:p>
          <w:p>
            <w:pPr>
              <w:pStyle w:val="Normal"/>
              <w:tabs>
                <w:tab w:val="clear" w:pos="720"/>
                <w:tab w:val="left" w:pos="5442" w:leader="none"/>
              </w:tabs>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1.7.2. Доходы от приватизации имущества, находящегося в государственной и муниципальной собственности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90,0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81,0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1 14 13050 05 0000 410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1.7.2.1. Доходы от приватизации имущества, находящегося в собственности муниципальных районов, в части приватизации нефинансовых активов имущества казны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90,0</w:t>
            </w:r>
          </w:p>
          <w:p>
            <w:pPr>
              <w:pStyle w:val="Normal"/>
              <w:tabs>
                <w:tab w:val="clear" w:pos="720"/>
                <w:tab w:val="left" w:pos="5442" w:leader="none"/>
              </w:tabs>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81,0</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1 16 00000 00 0000 000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1.8. Штрафы, санкции, возмещение ущерба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200,7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31,0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32,2</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1 16 01053 01 0000 140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pPr>
            <w:r>
              <w:rPr>
                <w:sz w:val="24"/>
                <w:szCs w:val="24"/>
              </w:rPr>
              <w:t xml:space="preserve">1.8.1. Административные штрафы, установленные </w:t>
            </w:r>
            <w:hyperlink r:id="rId13">
              <w:r>
                <w:rPr>
                  <w:sz w:val="24"/>
                  <w:szCs w:val="24"/>
                </w:rPr>
                <w:t>Главой 5</w:t>
              </w:r>
            </w:hyperlink>
            <w:r>
              <w:rPr>
                <w:sz w:val="24"/>
                <w:szCs w:val="24"/>
              </w:rPr>
              <w:t xml:space="preserve"> Кодекса Российской Федерации об административных правонарушениях, за административные правонарушения, посягающие на права граждан, налагаемые мировыми судьями, комиссиями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3,1</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1 16 01063 01 0000 140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pPr>
            <w:r>
              <w:rPr>
                <w:sz w:val="24"/>
                <w:szCs w:val="24"/>
              </w:rPr>
              <w:t xml:space="preserve">1.8.2. Административные штрафы, установленные </w:t>
            </w:r>
            <w:hyperlink r:id="rId14">
              <w:r>
                <w:rPr>
                  <w:sz w:val="24"/>
                  <w:szCs w:val="24"/>
                </w:rPr>
                <w:t>Главой 6</w:t>
              </w:r>
            </w:hyperlink>
            <w:r>
              <w:rPr>
                <w:sz w:val="24"/>
                <w:szCs w:val="24"/>
              </w:rPr>
              <w:t xml:space="preserve"> Кодекса Российской Федерации об административных правонарушениях, за административные правонарушения, посягающие на здоровье, санитарно-эпидемиологическое благополучие населения и общественную нравственность, налагаемые мировыми судьями, комиссиями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12,2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2,6</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1 16 01073 01 0000 140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1.8.3. Административные штрафы, установленные главой 17 Кодекса Российской Федерации об административных правонарушениях, за административные правонарушения, посягающие на институты государственной власти, налагаемые мировыми судьями, комиссиями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26,6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rHeight w:val="978"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1 16 01083 01 0000 140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1.8.4. 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налагаемые мировыми судьями, комиссиями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33,5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2,8</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2,9</w:t>
            </w:r>
          </w:p>
        </w:tc>
      </w:tr>
      <w:tr>
        <w:trPr>
          <w:trHeight w:val="978"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1 16 01133 01 0000 140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1.8.5. Административные штрафы, установленные главой 13 Кодекса Российской Федерации об административных правонарушениях, за административные правонарушения в области связи и информации, налагаемые мировыми судьями, комиссиями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15,3</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rHeight w:val="978"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1 16 01143 01 0000 140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1.8.6. Административные штрафы, установленные главой 14 Кодекса Российской Федерации об административных правонарушениях, за административные правонарушения в области предпринимательской деятельности и деятельности саморегулируемых организаций, налагаемые мировыми судьями, комиссиями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15,0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rHeight w:val="978"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1 16 01153 01 0000 140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1.8.7. Административные штрафы, установленные главой 15 Кодекса Российской Федерации об административных правонарушениях, за административные правонарушения в области финансов, налогов и сборов, страхования, рынка ценных бумаг (за исключением штрафов, указанных в пункте 6 статьи 46 Бюджетного кодекса Российской Федерации), налагаемые мировыми судьями, комиссиями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rHeight w:val="978"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1 16 01173 01 0000 140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1.8.8. Административные штрафы, установленные главой 17 Кодекса Российской Федерации об административных правонарушениях, за административные правонарушения, посягающие на институты государственной власти, налагаемые мировыми судьями, комиссиями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0,5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rHeight w:val="978"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1 16 01193 01 0000 140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1.8.9. 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налагаемые мировыми судьями, комиссиями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5,3</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5,7</w:t>
            </w:r>
          </w:p>
        </w:tc>
      </w:tr>
      <w:tr>
        <w:trPr>
          <w:trHeight w:val="978"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1 16 01203 01 0000 140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1.8.10. 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41,0</w:t>
            </w:r>
          </w:p>
          <w:p>
            <w:pPr>
              <w:pStyle w:val="Normal"/>
              <w:tabs>
                <w:tab w:val="clear" w:pos="720"/>
                <w:tab w:val="left" w:pos="5442" w:leader="none"/>
              </w:tabs>
              <w:jc w:val="center"/>
              <w:rPr>
                <w:sz w:val="24"/>
                <w:szCs w:val="24"/>
              </w:rPr>
            </w:pPr>
            <w:r>
              <w:rPr>
                <w:sz w:val="24"/>
                <w:szCs w:val="24"/>
              </w:rPr>
            </w:r>
          </w:p>
          <w:p>
            <w:pPr>
              <w:pStyle w:val="Normal"/>
              <w:tabs>
                <w:tab w:val="clear" w:pos="720"/>
                <w:tab w:val="left" w:pos="5442" w:leader="none"/>
              </w:tabs>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17,2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17,9</w:t>
            </w:r>
          </w:p>
        </w:tc>
      </w:tr>
      <w:tr>
        <w:trPr>
          <w:trHeight w:val="978"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1 16 07010 05 0000 140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1.8.11. 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муниципального района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rHeight w:val="978"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1 16 10031 05 0000 140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1.8.12. Возмещение ущерба при возникновении страховых случаев, когда выгодоприобретателями выступают получатели средств бюджета муниципального района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18,1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rHeight w:val="978" w:hRule="atLeast"/>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1 16 11050 01 0000 140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1.8.13. Платежи по искам о возмещении вреда, причиненного окружающей среде, а также платежи, уплачиваемые при добровольном возмещении вреда, причиненного окружающей среде (за исключением вреда, причиненного окружающей среде на особо охраняемых природных территориях), подлежащие зачислению в бюджет муниципального образования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25,5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2 00 00000 00 0000 000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Безвозмездные поступления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591 439,7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436 953,1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491 937,3</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2 02 00000 00 0000 000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2.1. Безвозмездные поступления от других бюджетов бюджетной системы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573 666,6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436 953,1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491 937,3</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2 02 10000 00 0000 150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2.1.1. Дотации бюджетам субъектов Российской Федерации и муниципальных образований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182 360,2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156 191,0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138 989,7</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2 02 15001 05 0000 150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2.1.1.1. Дотации бюджетам муниципальных районов на выравнивание бюджетной обеспеченности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163 877,0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156 191,0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137 707,8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autoSpaceDE w:val="false"/>
              <w:rPr>
                <w:sz w:val="24"/>
                <w:szCs w:val="24"/>
              </w:rPr>
            </w:pPr>
            <w:r>
              <w:rPr>
                <w:sz w:val="24"/>
                <w:szCs w:val="24"/>
              </w:rPr>
              <w:t>2 02 15002 05 0000 150</w:t>
            </w:r>
          </w:p>
          <w:p>
            <w:pPr>
              <w:pStyle w:val="Normal"/>
              <w:tabs>
                <w:tab w:val="clear" w:pos="720"/>
                <w:tab w:val="left" w:pos="5442" w:leader="none"/>
              </w:tabs>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2.1.1.2. Дотации бюджетам муниципальных районов на поддержку мер по обеспечению сбалансированности бюджетов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18 483,2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1 281,9</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2 02 20000 00 0000 150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2.1.2. Субсидии бюджетам субъектов Российской Федерации и муниципальных образований (межбюджетные субсидии)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94 957,2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19 822,0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90 428,6</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autoSpaceDE w:val="false"/>
              <w:rPr>
                <w:sz w:val="24"/>
                <w:szCs w:val="24"/>
              </w:rPr>
            </w:pPr>
            <w:r>
              <w:rPr>
                <w:sz w:val="24"/>
                <w:szCs w:val="24"/>
              </w:rPr>
              <w:t>2 02 20077 05 0000 150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2.1.2.1. Субсидии бюджетам муниципальных районов на строительство, реконструкцию, проектно-изыскательские работы и разработку проектно-сметной документации объектов капитального строительства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325,0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15918,3</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rPr>
                <w:sz w:val="24"/>
                <w:szCs w:val="24"/>
              </w:rPr>
            </w:pPr>
            <w:r>
              <w:rPr>
                <w:sz w:val="24"/>
                <w:szCs w:val="24"/>
              </w:rPr>
              <w:t>2 02 20216 05 0000 150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jc w:val="both"/>
              <w:rPr>
                <w:sz w:val="24"/>
                <w:szCs w:val="24"/>
              </w:rPr>
            </w:pPr>
            <w:r>
              <w:rPr>
                <w:sz w:val="24"/>
                <w:szCs w:val="24"/>
              </w:rPr>
              <w:t xml:space="preserve">2.1.2.2. Субсидии бюджетам муниципальных районов на капитальный ремонт и ремонт автомобильных дорог общего пользования местного значения </w:t>
            </w:r>
          </w:p>
        </w:tc>
        <w:tc>
          <w:tcPr>
            <w:tcW w:w="1176" w:type="dxa"/>
            <w:tcBorders>
              <w:top w:val="single" w:sz="4" w:space="0" w:color="000000"/>
              <w:left w:val="single" w:sz="4" w:space="0" w:color="000000"/>
              <w:bottom w:val="single" w:sz="4" w:space="0" w:color="000000"/>
              <w:right w:val="single" w:sz="4" w:space="0" w:color="000000"/>
            </w:tcBorders>
          </w:tcPr>
          <w:p>
            <w:pPr>
              <w:pStyle w:val="Normal"/>
              <w:jc w:val="center"/>
              <w:rPr>
                <w:sz w:val="24"/>
                <w:szCs w:val="24"/>
              </w:rPr>
            </w:pPr>
            <w:r>
              <w:rPr>
                <w:sz w:val="24"/>
                <w:szCs w:val="24"/>
              </w:rPr>
              <w:t>5 277,0</w:t>
            </w:r>
          </w:p>
        </w:tc>
        <w:tc>
          <w:tcPr>
            <w:tcW w:w="1233" w:type="dxa"/>
            <w:tcBorders>
              <w:top w:val="single" w:sz="4" w:space="0" w:color="000000"/>
              <w:left w:val="single" w:sz="4" w:space="0" w:color="000000"/>
              <w:bottom w:val="single" w:sz="4" w:space="0" w:color="000000"/>
              <w:right w:val="single" w:sz="4" w:space="0" w:color="000000"/>
            </w:tcBorders>
          </w:tcPr>
          <w:p>
            <w:pPr>
              <w:pStyle w:val="Normal"/>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snapToGrid w:val="false"/>
              <w:jc w:val="center"/>
              <w:rPr>
                <w:sz w:val="24"/>
                <w:szCs w:val="24"/>
              </w:rPr>
            </w:pPr>
            <w:r>
              <w:rPr>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autoSpaceDE w:val="false"/>
              <w:rPr>
                <w:sz w:val="24"/>
                <w:szCs w:val="24"/>
              </w:rPr>
            </w:pPr>
            <w:r>
              <w:rPr>
                <w:sz w:val="24"/>
                <w:szCs w:val="24"/>
              </w:rPr>
              <w:t>2 02 20299 05 0000 150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2.1.2.3. Субсидии бюджетам муниципальных районов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7 628,8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9 355,8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autoSpaceDE w:val="false"/>
              <w:rPr/>
            </w:pPr>
            <w:r>
              <w:rPr>
                <w:sz w:val="24"/>
                <w:szCs w:val="24"/>
              </w:rPr>
              <w:t>2 02 20302 05 0000 150</w:t>
            </w:r>
          </w:p>
          <w:p>
            <w:pPr>
              <w:pStyle w:val="Normal"/>
              <w:tabs>
                <w:tab w:val="clear" w:pos="720"/>
                <w:tab w:val="left" w:pos="5442" w:leader="none"/>
              </w:tabs>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2.1.2.4. Субсидии бюджетам муниципальных районов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областного бюджета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256,2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311,8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autoSpaceDE w:val="false"/>
              <w:rPr>
                <w:sz w:val="24"/>
                <w:szCs w:val="24"/>
              </w:rPr>
            </w:pPr>
            <w:r>
              <w:rPr>
                <w:sz w:val="24"/>
                <w:szCs w:val="24"/>
              </w:rPr>
              <w:t>2 02 25304 05 0000 150</w:t>
            </w:r>
          </w:p>
          <w:p>
            <w:pPr>
              <w:pStyle w:val="Normal"/>
              <w:tabs>
                <w:tab w:val="clear" w:pos="720"/>
                <w:tab w:val="left" w:pos="5442" w:leader="none"/>
              </w:tabs>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2.1.2.5. Субсидии бюджетам муниципальных районов  на организацию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5 671,6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5 955,1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5 888,7</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2 02 25467 05 0000 150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2.1.2.6. 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599,2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540,4</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540,4</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2 02 25497 05 0000 150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2.1.2.7. Субсидии бюджетам муниципальных районов на осуществление социальных выплат молодым семьям на приобретение жилья или строительство индивидуального жилого дома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909,1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844,3</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945,9</w:t>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2 02 25519 05 0000150</w:t>
            </w:r>
          </w:p>
          <w:p>
            <w:pPr>
              <w:pStyle w:val="Normal"/>
              <w:tabs>
                <w:tab w:val="clear" w:pos="720"/>
                <w:tab w:val="left" w:pos="5442" w:leader="none"/>
              </w:tabs>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 xml:space="preserve">2.1.2.8.Субсидия бюджетам муниципальных районов на поддержку отрасли культуры </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43,4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2 02 25555 05 0000 150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2.1.2.9. 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2 809,1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2 809,1</w:t>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2 02 27576 05 0000 150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2.1.2.10. Субсидии бюджетам муниципальных районов на реализацию проектов комплексного развития сельских территорий (сельских агломераций)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29 965,0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restart"/>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2 02 29999 05 0000 150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 xml:space="preserve">2.1.2.11. Прочие субсидии бюджетам муниципальных районов, </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44 281,9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9 673,1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54 658,6</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в том числе:</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2.1.2.11.1. Субсидии на оказание частичной финансовой поддержки районных (городских) средств массовой информации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2 836,8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pPr>
            <w:r>
              <w:rPr>
                <w:sz w:val="24"/>
                <w:szCs w:val="24"/>
              </w:rPr>
              <w:t>2 836,8</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2 836,8</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2.1.2.11.2. Субсидии на выплату заработной платы с начислениями на нее работникам муниципальных учреждений  и органов местного самоуправления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18 320,5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41 514,2</w:t>
            </w:r>
          </w:p>
        </w:tc>
      </w:tr>
      <w:tr>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2.1.2.11.3. Субсидии на компенсацию части платежа по полученным гражданами-участниками социальной (льготной) ипотеки ипотечным жилищным кредитам (займам)</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53,4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13,2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2.1.2.11.4. Субсидии на обеспечение доступа к системе электронного документооборота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104,5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400,9</w:t>
            </w:r>
          </w:p>
        </w:tc>
      </w:tr>
      <w:tr>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2.1.2.11.5.  Субсидии на капитальный ремонт образовательных организаций Нижегородской области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3 408,5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5 121,7</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8 205,3</w:t>
            </w:r>
          </w:p>
        </w:tc>
      </w:tr>
      <w:tr>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2.1.2.11.6. 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1 701,4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1 701,4</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1 701,4</w:t>
            </w:r>
          </w:p>
        </w:tc>
      </w:tr>
      <w:tr>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2.1.2.11.7. Субсидии на реализацию проекта  инициативного бюджетирования «Вам решать»</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9 712,6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b/>
                <w:b/>
                <w:sz w:val="24"/>
                <w:szCs w:val="24"/>
              </w:rPr>
            </w:pPr>
            <w:r>
              <w:rPr>
                <w:b/>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2.1.2.11.8. Субсидии на оплату труда отдельным категориям работников муниципальных учреждений и органов местного самоуправления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4 144,2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b/>
                <w:b/>
                <w:sz w:val="24"/>
                <w:szCs w:val="24"/>
              </w:rPr>
            </w:pPr>
            <w:r>
              <w:rPr>
                <w:b/>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2.1.2.11.9. Субсидии на реализацию полномочий органов местного самоуправления по решению вопросов местного значения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4 000,0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2 02 30000 00 0000 150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2.1.3. Субвенции бюджетам субъектов Российской Федерации и муниципальных образований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258 527,5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227 730,3</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229 309,2</w:t>
            </w:r>
          </w:p>
        </w:tc>
      </w:tr>
      <w:tr>
        <w:trPr>
          <w:cantSplit w:val="true"/>
        </w:trPr>
        <w:tc>
          <w:tcPr>
            <w:tcW w:w="2694" w:type="dxa"/>
            <w:vMerge w:val="restart"/>
            <w:tcBorders>
              <w:top w:val="single" w:sz="4" w:space="0" w:color="000000"/>
              <w:left w:val="single" w:sz="4" w:space="0" w:color="000000"/>
              <w:bottom w:val="single" w:sz="4" w:space="0" w:color="000000"/>
              <w:right w:val="single" w:sz="4" w:space="0" w:color="000000"/>
            </w:tcBorders>
          </w:tcPr>
          <w:p>
            <w:pPr>
              <w:pStyle w:val="Normal"/>
              <w:tabs>
                <w:tab w:val="clear" w:pos="720"/>
                <w:tab w:val="left" w:pos="1808" w:leader="none"/>
                <w:tab w:val="left" w:pos="5442" w:leader="none"/>
              </w:tabs>
              <w:jc w:val="both"/>
              <w:rPr>
                <w:sz w:val="24"/>
                <w:szCs w:val="24"/>
              </w:rPr>
            </w:pPr>
            <w:r>
              <w:rPr>
                <w:sz w:val="24"/>
                <w:szCs w:val="24"/>
              </w:rPr>
              <w:t>2 02 30024 05 0000 150</w:t>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p>
            <w:pPr>
              <w:pStyle w:val="Normal"/>
              <w:tabs>
                <w:tab w:val="clear" w:pos="720"/>
                <w:tab w:val="left" w:pos="1808" w:leader="none"/>
                <w:tab w:val="left" w:pos="5442" w:leader="none"/>
              </w:tabs>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 Субвенции бюджетам муниципальных районов на выполнение передаваемых полномочий субъектов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216 425,6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186 939,1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188 433,8</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в том числе:</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 Субвенции на исполнение полномочий в сфере общего образования в муниципальных образовательных организациях</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97 079,2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96 954,9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96 954,9</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2.1.3.1.2. Субвенции на осуществление органами местного самоуправления муниципальных районов полномочий органов государственной власти Нижегородской области по расчету и предоставлению дотаций бюджетам поселений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32 201,9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25 599,7</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27 094,4</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2.1.3.1.3. Субвенции на осуществление государственных полномочий по поддержке сельскохозяйственного производства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4 360,9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4 331,7</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4 331,7</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2.1.3.1.4.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605,3</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602,6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602,6</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2.1.3.1.5.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473,0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469,7</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469,7</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2.1.3.1.6.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278,1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464,1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464,1</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2.1.3.1.7. Субвенции на исполнение полномочий в сфере общего образования в муниципальных дошкольных образовательных организациях</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51 335,1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50 385,5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50 385,5</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2.1.3.1.8.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468,7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465,4</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465,4</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2.1.3.1.9.Субвенции на осуществление полномочий по организации мероприятий при осуществлении деятельности по обращению с животными в части отлова и содержания животных без владельцев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88,0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2.1.3.1.10. Субвенции на компенсацию части расходов по приобретению путевки и предоставлению путевки с частичной оплатой за счет средств областного бюджета в организации, осуществляющие санаторно-курортное лечение детей в соответствии с имеющейся лицензией,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286,1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286,1</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2.1.3.1.11.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396,9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394,2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394,2</w:t>
            </w:r>
          </w:p>
        </w:tc>
      </w:tr>
      <w:tr>
        <w:trPr>
          <w:cantSplit w:val="true"/>
        </w:trPr>
        <w:tc>
          <w:tcPr>
            <w:tcW w:w="2694" w:type="dxa"/>
            <w:vMerge w:val="restart"/>
            <w:tcBorders>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2.1.3.1.12. Субвенции на исполнение полномочий по дополнительному финансовому обеспечению мероприятий по организации двухразового бесплатного питания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 в части финансирования стоимости наборов продуктов для организации питания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1 039,2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1 039,2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1 039,2</w:t>
            </w:r>
          </w:p>
        </w:tc>
      </w:tr>
      <w:tr>
        <w:trPr>
          <w:cantSplit w:val="true"/>
        </w:trPr>
        <w:tc>
          <w:tcPr>
            <w:tcW w:w="2694" w:type="dxa"/>
            <w:vMerge w:val="continue"/>
            <w:tcBorders>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2.1.3.1.13. Субвенции на проведение ремонта жилых помещений, собственниками которых являются дети-сироты и дети, оставшиеся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84,9</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continue"/>
            <w:tcBorders>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2.1.3.1.14.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191,0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300,5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300,5</w:t>
            </w:r>
          </w:p>
        </w:tc>
      </w:tr>
      <w:tr>
        <w:trPr>
          <w:cantSplit w:val="true"/>
        </w:trPr>
        <w:tc>
          <w:tcPr>
            <w:tcW w:w="2694" w:type="dxa"/>
            <w:vMerge w:val="continue"/>
            <w:tcBorders>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 xml:space="preserve">2.1.3.1.15. </w:t>
            </w:r>
            <w:r>
              <w:rPr>
                <w:bCs/>
                <w:kern w:val="2"/>
                <w:sz w:val="24"/>
                <w:szCs w:val="24"/>
              </w:rPr>
              <w:t>Субвенции на возмещение части затрат на приобретение оборудования и техники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26 193,3</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5 643,2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5 643,2</w:t>
            </w:r>
          </w:p>
        </w:tc>
      </w:tr>
      <w:tr>
        <w:trPr>
          <w:cantSplit w:val="true"/>
        </w:trPr>
        <w:tc>
          <w:tcPr>
            <w:tcW w:w="2694" w:type="dxa"/>
            <w:vMerge w:val="continue"/>
            <w:tcBorders>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2.1.3.1.16.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p>
            <w:pPr>
              <w:pStyle w:val="Normal"/>
              <w:tabs>
                <w:tab w:val="clear" w:pos="720"/>
                <w:tab w:val="left" w:pos="5442" w:leader="none"/>
              </w:tabs>
              <w:jc w:val="both"/>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2,3</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2,3</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2,3</w:t>
            </w:r>
          </w:p>
        </w:tc>
      </w:tr>
      <w:tr>
        <w:trPr>
          <w:cantSplit w:val="true"/>
        </w:trPr>
        <w:tc>
          <w:tcPr>
            <w:tcW w:w="2694" w:type="dxa"/>
            <w:vMerge w:val="continue"/>
            <w:tcBorders>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2.1.3.1.17. Субвенции на возмещение производителям зерновых культур части затрат на производство и реализацию зерновых культур</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256,2</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continue"/>
            <w:tcBorders>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2.1.3.1.18. Субвенции на возмещение части затрат, связанных с производством, реализацией и (или) отгрузкой на собственную переработку товарного поголовья коров специализированных мясных пород по ставке на 1 голову</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1 371,6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2 02 30029 05 0000 150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 xml:space="preserve">2.1.3.2. </w:t>
            </w:r>
            <w:r>
              <w:rPr>
                <w:bCs/>
                <w:kern w:val="2"/>
                <w:sz w:val="24"/>
                <w:szCs w:val="24"/>
              </w:rPr>
              <w:t>Субвенции бюджетам муниципальных районов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1676,7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2 024,2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2 024,2</w:t>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2 02 35082 05 0000 150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 xml:space="preserve">2.1.3.3. </w:t>
            </w:r>
            <w:r>
              <w:rPr>
                <w:bCs/>
                <w:kern w:val="2"/>
                <w:sz w:val="24"/>
                <w:szCs w:val="24"/>
              </w:rPr>
              <w:t>Субвенции</w:t>
            </w:r>
            <w:r>
              <w:rPr>
                <w:sz w:val="24"/>
                <w:szCs w:val="24"/>
              </w:rPr>
              <w:t xml:space="preserve"> бюджетам муниципальных районов</w:t>
            </w:r>
            <w:r>
              <w:rPr>
                <w:bCs/>
                <w:kern w:val="2"/>
                <w:sz w:val="24"/>
                <w:szCs w:val="24"/>
              </w:rPr>
              <w:t xml:space="preserve">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4 318,6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4 318,6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4 318,6</w:t>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2 02 35118 05 0000 150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 xml:space="preserve">2.1.3.4. </w:t>
            </w:r>
            <w:r>
              <w:rPr>
                <w:bCs/>
                <w:kern w:val="2"/>
                <w:sz w:val="24"/>
                <w:szCs w:val="24"/>
              </w:rPr>
              <w:t xml:space="preserve">Субвенции </w:t>
            </w:r>
            <w:r>
              <w:rPr>
                <w:sz w:val="24"/>
                <w:szCs w:val="24"/>
              </w:rPr>
              <w:t>бюджетам муниципальных районов</w:t>
            </w:r>
            <w:r>
              <w:rPr>
                <w:bCs/>
                <w:kern w:val="2"/>
                <w:sz w:val="24"/>
                <w:szCs w:val="24"/>
              </w:rPr>
              <w:t xml:space="preserve">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891,8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900,5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934,3</w:t>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2 02 35120 05 0000 150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 xml:space="preserve">2.1.3.5. </w:t>
            </w:r>
            <w:r>
              <w:rPr>
                <w:bCs/>
                <w:kern w:val="2"/>
                <w:sz w:val="24"/>
                <w:szCs w:val="24"/>
              </w:rPr>
              <w:t xml:space="preserve">Субвенции </w:t>
            </w:r>
            <w:r>
              <w:rPr>
                <w:sz w:val="24"/>
                <w:szCs w:val="24"/>
              </w:rPr>
              <w:t>бюджетам муниципальных районов</w:t>
            </w:r>
            <w:r>
              <w:rPr>
                <w:bCs/>
                <w:kern w:val="2"/>
                <w:sz w:val="24"/>
                <w:szCs w:val="24"/>
              </w:rPr>
              <w:t xml:space="preserve">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12,6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54,5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5,1</w:t>
            </w:r>
          </w:p>
        </w:tc>
      </w:tr>
      <w:tr>
        <w:trPr>
          <w:trHeight w:val="1666" w:hRule="atLeast"/>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autoSpaceDE w:val="false"/>
              <w:rPr>
                <w:sz w:val="24"/>
                <w:szCs w:val="24"/>
              </w:rPr>
            </w:pPr>
            <w:r>
              <w:rPr>
                <w:sz w:val="24"/>
                <w:szCs w:val="24"/>
              </w:rPr>
              <w:t>2 02 35135 05 0000 150</w:t>
            </w:r>
          </w:p>
          <w:p>
            <w:pPr>
              <w:pStyle w:val="Normal"/>
              <w:tabs>
                <w:tab w:val="clear" w:pos="720"/>
                <w:tab w:val="left" w:pos="5442" w:leader="none"/>
              </w:tabs>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2.1.3.6. Субвенции бюджетам муниципальных районов на обеспечение жильем отдельных категорий граждан, установленных Федеральным законом от 12 января 1995 года № 5-ФЗ «О ветеранах»</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pPr>
            <w:r>
              <w:rPr>
                <w:sz w:val="24"/>
                <w:szCs w:val="24"/>
              </w:rPr>
              <w:t>1 008,9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1 051,2</w:t>
            </w:r>
          </w:p>
        </w:tc>
      </w:tr>
      <w:tr>
        <w:trPr>
          <w:trHeight w:val="1666" w:hRule="atLeast"/>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2 02 35303 05 0000 150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2.1.3.7. Субвенции бюджетам муниципальных районов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7 847,1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7 847,1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7 847,1</w:t>
            </w:r>
          </w:p>
        </w:tc>
      </w:tr>
      <w:tr>
        <w:trPr>
          <w:trHeight w:val="1666" w:hRule="atLeast"/>
          <w:cantSplit w:val="true"/>
        </w:trPr>
        <w:tc>
          <w:tcPr>
            <w:tcW w:w="2694" w:type="dxa"/>
            <w:vMerge w:val="restart"/>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2 02 35502 05 0000 150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2.1.3.8. Субвенции бюджетам муниципальных районов на стимулирование развития приоритетных подотраслей агропромышленного комплекса и развития малых форм хозяйствования,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7 261,8</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11 588,9</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11 646,4</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в том числе:</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2.1.3.8.1.  Субвенции на возмещение части затрат на уплату процентов по кредитам, полученным в российских кредитных организациях, и займам, полученным в сельскохозяйственных кредитных потребительских кооперативах</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2.1.3.8.2.  Субвенции на возмещение части затрат, связанных с производством, реализацией и (или) отгрузкой на собственную переработку сельскохозяйственных культур по ставке на 1 гектар</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4 285,7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8 323,6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8 380,4</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2.1.3.8.3. Субвенции на возмещение части затрат, связанных с производством, реализацией и (или) отгрузкой на собственную переработку молока по ставке на 1 голову</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202,6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270,1</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270,1</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2.1.3.8.4. Субвенции на возмещение части затрат, связанных с производством, реализацией и (или) отгрузкой на собственную переработку товарного поголовья коров специализированных мясных пород по ставке на 1 голову</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2 773,5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2 995,2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2 995,2</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2.1.3.8.5.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0,7</w:t>
            </w:r>
          </w:p>
        </w:tc>
      </w:tr>
      <w:tr>
        <w:trPr>
          <w:cantSplit w:val="true"/>
        </w:trPr>
        <w:tc>
          <w:tcPr>
            <w:tcW w:w="2694" w:type="dxa"/>
            <w:vMerge w:val="restart"/>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2 02 35508 05 0000 150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2.1.3.9. Субвенции бюджетам муниципальных районов на поддержку сельскохозяйственного производства по отдельным подотраслям растениеводства и животноводства,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20 093,3</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13 048,5</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13 048,5</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autoSpaceDE w:val="false"/>
              <w:jc w:val="both"/>
              <w:rPr>
                <w:sz w:val="24"/>
                <w:szCs w:val="24"/>
              </w:rPr>
            </w:pPr>
            <w:r>
              <w:rPr>
                <w:sz w:val="24"/>
                <w:szCs w:val="24"/>
              </w:rPr>
              <w:t>в том числе:</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 xml:space="preserve">2.1.3.9.1. </w:t>
            </w:r>
            <w:r>
              <w:rPr>
                <w:bCs/>
                <w:kern w:val="2"/>
                <w:sz w:val="24"/>
                <w:szCs w:val="24"/>
              </w:rPr>
              <w:t>Субвенции на возмещение части затрат на поддержку элитного семеноводства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4 493,5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2 953,3</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2 953,3</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2.1.3.9.2. Субвенции на возмещение части затрат на поддержку племенного животноводства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9 147,7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1 720,0</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1 720,0</w:t>
            </w:r>
          </w:p>
        </w:tc>
      </w:tr>
      <w:tr>
        <w:trPr>
          <w:cantSplit w:val="true"/>
        </w:trPr>
        <w:tc>
          <w:tcPr>
            <w:tcW w:w="2694" w:type="dxa"/>
            <w:vMerge w:val="continue"/>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numPr>
                <w:ilvl w:val="0"/>
                <w:numId w:val="0"/>
              </w:numPr>
              <w:jc w:val="both"/>
              <w:outlineLvl w:val="0"/>
              <w:rPr>
                <w:sz w:val="24"/>
                <w:szCs w:val="24"/>
              </w:rPr>
            </w:pPr>
            <w:r>
              <w:rPr>
                <w:sz w:val="24"/>
                <w:szCs w:val="24"/>
              </w:rPr>
              <w:t xml:space="preserve">2.1.3.9.3. </w:t>
            </w:r>
            <w:r>
              <w:rPr>
                <w:bCs/>
                <w:kern w:val="2"/>
                <w:sz w:val="24"/>
                <w:szCs w:val="24"/>
              </w:rPr>
              <w:t>Субвенции на возмещение части затрат на поддержку собственного производства молока</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6 452,1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pPr>
            <w:r>
              <w:rPr>
                <w:sz w:val="24"/>
                <w:szCs w:val="24"/>
              </w:rPr>
              <w:t>8 375,2</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8 375,2</w:t>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2 02 40000 00 0000 150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2.1.4. Иные межбюджетные трансферты</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37 821,6</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33 209,8</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33 209,8</w:t>
            </w:r>
          </w:p>
        </w:tc>
      </w:tr>
      <w:tr>
        <w:trPr>
          <w:cantSplit w:val="true"/>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2 02 40014 05 0000 150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2.1.4.1. 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33 299,5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33 209,8</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33 209,8</w:t>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2 02 45160 05 0000 150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2.1.4.2. 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3 032,1</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2 02 49999 05 0000 150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2.1.4.3. Прочие межбюджетные трансферты, передаваемые бюджетам муниципальных районов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1 490,0</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b/>
                <w:sz w:val="24"/>
                <w:szCs w:val="24"/>
              </w:rPr>
              <w:t>2 04 00000 00 0000 150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2.2.  Безвозмездные поступления от негосударственных организаций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19 359,5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2 04 05099 05 0000 150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sz w:val="24"/>
                <w:szCs w:val="24"/>
              </w:rPr>
              <w:t>2.2.1. Прочие безвозмездные поступления от негосударственных организаций в бюджеты муниципальных районов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19 359,5</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2 18 00000 00 0000 150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2.3. Доходы бюджетов бюджетной системы Российской Федерации от возврата бюджетами бюджетной системы Российской Федерации остатков субсидий, субвенций и иных межбюджетных трансфертов, имеющих целевое назначение, прошлых лет, а также от возврата организациями остатков субсидий прошлых лет</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30,4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pPr>
            <w:r>
              <w:rPr>
                <w:sz w:val="24"/>
                <w:szCs w:val="24"/>
              </w:rPr>
              <w:t>2 18 60010 05 0000 150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2.3.1. Доходы бюджетов муниципальных районов от возврата прочих остатков субсидий, субвенций и иных межбюджетных трансфертов, имеющих целевое назначение, прошлых лет из бюджетов поселений</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30,4</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2 19 00000 00 0000 150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2.4. Возврат остатков субсидий, субвенций и иных межбюджетных трансфертов, имеющих целевое назначение, прошлых лет</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-1 616,7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b/>
                <w:b/>
                <w:sz w:val="24"/>
                <w:szCs w:val="24"/>
              </w:rPr>
            </w:pPr>
            <w:r>
              <w:rPr>
                <w:b/>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2 19 60010 05 0000 150</w:t>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sz w:val="24"/>
                <w:szCs w:val="24"/>
              </w:rPr>
            </w:pPr>
            <w:r>
              <w:rPr>
                <w:sz w:val="24"/>
                <w:szCs w:val="24"/>
              </w:rPr>
              <w:t>2.4.1. 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sz w:val="24"/>
                <w:szCs w:val="24"/>
              </w:rPr>
            </w:pPr>
            <w:r>
              <w:rPr>
                <w:sz w:val="24"/>
                <w:szCs w:val="24"/>
              </w:rPr>
              <w:t>-1 616,7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center"/>
              <w:rPr>
                <w:sz w:val="24"/>
                <w:szCs w:val="24"/>
              </w:rPr>
            </w:pPr>
            <w:r>
              <w:rPr>
                <w:sz w:val="24"/>
                <w:szCs w:val="24"/>
              </w:rPr>
            </w:r>
          </w:p>
        </w:tc>
      </w:tr>
      <w:tr>
        <w:trPr/>
        <w:tc>
          <w:tcPr>
            <w:tcW w:w="269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snapToGrid w:val="false"/>
              <w:jc w:val="both"/>
              <w:rPr>
                <w:sz w:val="24"/>
                <w:szCs w:val="24"/>
              </w:rPr>
            </w:pPr>
            <w:r>
              <w:rPr>
                <w:sz w:val="24"/>
                <w:szCs w:val="24"/>
              </w:rPr>
            </w:r>
          </w:p>
        </w:tc>
        <w:tc>
          <w:tcPr>
            <w:tcW w:w="4211"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both"/>
              <w:rPr>
                <w:b/>
                <w:b/>
                <w:sz w:val="24"/>
                <w:szCs w:val="24"/>
              </w:rPr>
            </w:pPr>
            <w:r>
              <w:rPr>
                <w:b/>
                <w:sz w:val="24"/>
                <w:szCs w:val="24"/>
              </w:rPr>
              <w:t>Всего доходов</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705 451,7</w:t>
            </w:r>
          </w:p>
        </w:tc>
        <w:tc>
          <w:tcPr>
            <w:tcW w:w="1233"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548 674,6</w:t>
            </w:r>
          </w:p>
        </w:tc>
        <w:tc>
          <w:tcPr>
            <w:tcW w:w="1176"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42" w:leader="none"/>
              </w:tabs>
              <w:jc w:val="center"/>
              <w:rPr>
                <w:b/>
                <w:b/>
                <w:sz w:val="24"/>
                <w:szCs w:val="24"/>
              </w:rPr>
            </w:pPr>
            <w:r>
              <w:rPr>
                <w:b/>
                <w:sz w:val="24"/>
                <w:szCs w:val="24"/>
              </w:rPr>
              <w:t>611 449,3</w:t>
            </w:r>
          </w:p>
        </w:tc>
      </w:tr>
    </w:tbl>
    <w:p>
      <w:pPr>
        <w:pStyle w:val="Normal"/>
        <w:tabs>
          <w:tab w:val="clear" w:pos="720"/>
          <w:tab w:val="left" w:pos="567" w:leader="none"/>
        </w:tabs>
        <w:jc w:val="right"/>
        <w:rPr>
          <w:sz w:val="24"/>
          <w:szCs w:val="24"/>
        </w:rPr>
      </w:pPr>
      <w:r>
        <w:rPr>
          <w:sz w:val="24"/>
          <w:szCs w:val="24"/>
        </w:rPr>
      </w:r>
      <w:r>
        <w:br w:type="page"/>
      </w:r>
    </w:p>
    <w:p>
      <w:pPr>
        <w:pStyle w:val="Normal"/>
        <w:tabs>
          <w:tab w:val="clear" w:pos="720"/>
          <w:tab w:val="left" w:pos="567" w:leader="none"/>
        </w:tabs>
        <w:jc w:val="right"/>
        <w:rPr>
          <w:sz w:val="28"/>
          <w:szCs w:val="28"/>
        </w:rPr>
      </w:pPr>
      <w:r>
        <w:rPr>
          <w:sz w:val="28"/>
          <w:szCs w:val="28"/>
        </w:rPr>
        <w:t xml:space="preserve">Приложение 4 </w:t>
      </w:r>
    </w:p>
    <w:p>
      <w:pPr>
        <w:pStyle w:val="Normal"/>
        <w:jc w:val="right"/>
        <w:rPr/>
      </w:pPr>
      <w:r>
        <w:rPr>
          <w:sz w:val="28"/>
          <w:szCs w:val="28"/>
        </w:rPr>
        <w:t xml:space="preserve"> </w:t>
      </w:r>
      <w:r>
        <w:rPr>
          <w:sz w:val="28"/>
          <w:szCs w:val="28"/>
        </w:rPr>
        <w:t>к решению Земского собрания</w:t>
      </w:r>
    </w:p>
    <w:p>
      <w:pPr>
        <w:pStyle w:val="Normal"/>
        <w:jc w:val="right"/>
        <w:rPr>
          <w:sz w:val="28"/>
          <w:szCs w:val="28"/>
        </w:rPr>
      </w:pPr>
      <w:r>
        <w:rPr>
          <w:sz w:val="28"/>
          <w:szCs w:val="28"/>
        </w:rPr>
        <w:t>Шарангского муниципального района</w:t>
      </w:r>
    </w:p>
    <w:p>
      <w:pPr>
        <w:pStyle w:val="Normal"/>
        <w:tabs>
          <w:tab w:val="clear" w:pos="720"/>
          <w:tab w:val="left" w:pos="5442" w:leader="none"/>
        </w:tabs>
        <w:jc w:val="right"/>
        <w:rPr/>
      </w:pPr>
      <w:r>
        <w:rPr>
          <w:sz w:val="28"/>
          <w:szCs w:val="28"/>
        </w:rPr>
        <w:t>«О районном бюджете на 2021 год и на плановый период 2022 и 2023 годов»</w:t>
      </w:r>
    </w:p>
    <w:p>
      <w:pPr>
        <w:pStyle w:val="Normal"/>
        <w:tabs>
          <w:tab w:val="clear" w:pos="720"/>
          <w:tab w:val="left" w:pos="5442" w:leader="none"/>
        </w:tabs>
        <w:jc w:val="right"/>
        <w:rPr>
          <w:sz w:val="24"/>
          <w:szCs w:val="24"/>
        </w:rPr>
      </w:pPr>
      <w:r>
        <w:rPr>
          <w:sz w:val="24"/>
          <w:szCs w:val="24"/>
        </w:rPr>
      </w:r>
    </w:p>
    <w:p>
      <w:pPr>
        <w:pStyle w:val="Normal"/>
        <w:rPr>
          <w:sz w:val="24"/>
          <w:szCs w:val="24"/>
        </w:rPr>
      </w:pPr>
      <w:r>
        <w:rPr>
          <w:sz w:val="24"/>
          <w:szCs w:val="24"/>
        </w:rPr>
      </w:r>
    </w:p>
    <w:p>
      <w:pPr>
        <w:pStyle w:val="ConsPlusTitle"/>
        <w:widowControl/>
        <w:numPr>
          <w:ilvl w:val="0"/>
          <w:numId w:val="0"/>
        </w:numPr>
        <w:jc w:val="center"/>
        <w:outlineLvl w:val="0"/>
        <w:rPr>
          <w:rFonts w:ascii="Times New Roman" w:hAnsi="Times New Roman" w:cs="Times New Roman"/>
          <w:sz w:val="24"/>
          <w:szCs w:val="24"/>
        </w:rPr>
      </w:pPr>
      <w:r>
        <w:rPr>
          <w:rFonts w:cs="Times New Roman" w:ascii="Times New Roman" w:hAnsi="Times New Roman"/>
          <w:sz w:val="24"/>
          <w:szCs w:val="24"/>
        </w:rPr>
        <w:t xml:space="preserve">Источники финансирования дефицита </w:t>
      </w:r>
    </w:p>
    <w:p>
      <w:pPr>
        <w:pStyle w:val="ConsPlusTitle"/>
        <w:jc w:val="center"/>
        <w:rPr>
          <w:rFonts w:ascii="Times New Roman" w:hAnsi="Times New Roman" w:cs="Times New Roman"/>
          <w:sz w:val="24"/>
          <w:szCs w:val="24"/>
        </w:rPr>
      </w:pPr>
      <w:r>
        <w:rPr>
          <w:rFonts w:cs="Times New Roman" w:ascii="Times New Roman" w:hAnsi="Times New Roman"/>
          <w:sz w:val="24"/>
          <w:szCs w:val="24"/>
        </w:rPr>
        <w:t xml:space="preserve">районного бюджета на 2021 год и на плановый </w:t>
      </w:r>
    </w:p>
    <w:p>
      <w:pPr>
        <w:pStyle w:val="ConsPlusTitle"/>
        <w:widowControl/>
        <w:jc w:val="center"/>
        <w:rPr>
          <w:rFonts w:ascii="Times New Roman" w:hAnsi="Times New Roman" w:cs="Times New Roman"/>
          <w:b w:val="false"/>
          <w:b w:val="false"/>
          <w:bCs w:val="false"/>
          <w:sz w:val="24"/>
          <w:szCs w:val="24"/>
        </w:rPr>
      </w:pPr>
      <w:r>
        <w:rPr>
          <w:rFonts w:cs="Times New Roman" w:ascii="Times New Roman" w:hAnsi="Times New Roman"/>
          <w:sz w:val="24"/>
          <w:szCs w:val="24"/>
        </w:rPr>
        <w:t>период 2022 и 2023 годов</w:t>
      </w:r>
    </w:p>
    <w:p>
      <w:pPr>
        <w:pStyle w:val="ConsPlusTitle"/>
        <w:widowControl/>
        <w:jc w:val="center"/>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r>
    </w:p>
    <w:p>
      <w:pPr>
        <w:pStyle w:val="Normal"/>
        <w:ind w:firstLine="360"/>
        <w:jc w:val="right"/>
        <w:rPr/>
      </w:pPr>
      <w:r>
        <w:rPr/>
        <w:t>( тыс. рублей)</w:t>
      </w:r>
    </w:p>
    <w:tbl>
      <w:tblPr>
        <w:tblW w:w="10065" w:type="dxa"/>
        <w:jc w:val="left"/>
        <w:tblInd w:w="-431" w:type="dxa"/>
        <w:tblLayout w:type="fixed"/>
        <w:tblCellMar>
          <w:top w:w="0" w:type="dxa"/>
          <w:left w:w="108" w:type="dxa"/>
          <w:bottom w:w="0" w:type="dxa"/>
          <w:right w:w="108" w:type="dxa"/>
        </w:tblCellMar>
      </w:tblPr>
      <w:tblGrid>
        <w:gridCol w:w="5388"/>
        <w:gridCol w:w="1615"/>
        <w:gridCol w:w="1503"/>
        <w:gridCol w:w="1559"/>
      </w:tblGrid>
      <w:tr>
        <w:trPr>
          <w:tblHeader w:val="true"/>
          <w:trHeight w:val="70" w:hRule="atLeast"/>
        </w:trPr>
        <w:tc>
          <w:tcPr>
            <w:tcW w:w="538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sz w:val="24"/>
                <w:szCs w:val="24"/>
                <w:lang w:eastAsia="en-US"/>
              </w:rPr>
            </w:pPr>
            <w:r>
              <w:rPr>
                <w:b/>
                <w:sz w:val="24"/>
                <w:szCs w:val="24"/>
                <w:lang w:eastAsia="en-US"/>
              </w:rPr>
              <w:t>Наименование</w:t>
            </w:r>
          </w:p>
        </w:tc>
        <w:tc>
          <w:tcPr>
            <w:tcW w:w="161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sz w:val="24"/>
                <w:szCs w:val="24"/>
                <w:lang w:eastAsia="en-US"/>
              </w:rPr>
            </w:pPr>
            <w:r>
              <w:rPr>
                <w:b/>
                <w:sz w:val="24"/>
                <w:szCs w:val="24"/>
                <w:lang w:eastAsia="en-US"/>
              </w:rPr>
              <w:t>2021 год</w:t>
            </w:r>
          </w:p>
        </w:tc>
        <w:tc>
          <w:tcPr>
            <w:tcW w:w="150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sz w:val="24"/>
                <w:szCs w:val="24"/>
                <w:lang w:eastAsia="en-US"/>
              </w:rPr>
            </w:pPr>
            <w:r>
              <w:rPr>
                <w:b/>
                <w:sz w:val="24"/>
                <w:szCs w:val="24"/>
                <w:lang w:eastAsia="en-US"/>
              </w:rPr>
              <w:t>2022 год</w:t>
            </w:r>
          </w:p>
        </w:tc>
        <w:tc>
          <w:tcPr>
            <w:tcW w:w="15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sz w:val="24"/>
                <w:szCs w:val="24"/>
                <w:lang w:eastAsia="en-US"/>
              </w:rPr>
            </w:pPr>
            <w:r>
              <w:rPr>
                <w:b/>
                <w:sz w:val="24"/>
                <w:szCs w:val="24"/>
                <w:lang w:eastAsia="en-US"/>
              </w:rPr>
              <w:t>2023 год</w:t>
            </w:r>
          </w:p>
        </w:tc>
      </w:tr>
      <w:tr>
        <w:trPr/>
        <w:tc>
          <w:tcPr>
            <w:tcW w:w="538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rPr>
                <w:bCs/>
                <w:sz w:val="24"/>
                <w:szCs w:val="24"/>
                <w:lang w:eastAsia="en-US"/>
              </w:rPr>
            </w:pPr>
            <w:r>
              <w:rPr>
                <w:bCs/>
                <w:sz w:val="24"/>
                <w:szCs w:val="24"/>
                <w:lang w:eastAsia="en-US"/>
              </w:rPr>
              <w:t>Изменение остатков средств на счетах по учету средств бюджета</w:t>
            </w:r>
          </w:p>
        </w:tc>
        <w:tc>
          <w:tcPr>
            <w:tcW w:w="1615" w:type="dxa"/>
            <w:tcBorders>
              <w:top w:val="single" w:sz="4" w:space="0" w:color="000000"/>
              <w:left w:val="single" w:sz="4" w:space="0" w:color="000000"/>
              <w:bottom w:val="single" w:sz="4" w:space="0" w:color="000000"/>
              <w:right w:val="single" w:sz="4" w:space="0" w:color="000000"/>
            </w:tcBorders>
            <w:vAlign w:val="bottom"/>
          </w:tcPr>
          <w:p>
            <w:pPr>
              <w:pStyle w:val="Normal"/>
              <w:spacing w:lineRule="auto" w:line="276"/>
              <w:jc w:val="right"/>
              <w:rPr>
                <w:bCs/>
                <w:sz w:val="24"/>
                <w:szCs w:val="24"/>
                <w:lang w:eastAsia="en-US"/>
              </w:rPr>
            </w:pPr>
            <w:r>
              <w:rPr>
                <w:bCs/>
                <w:sz w:val="24"/>
                <w:szCs w:val="24"/>
                <w:lang w:eastAsia="en-US"/>
              </w:rPr>
              <w:t>9 984,7</w:t>
            </w:r>
          </w:p>
        </w:tc>
        <w:tc>
          <w:tcPr>
            <w:tcW w:w="1503" w:type="dxa"/>
            <w:tcBorders>
              <w:top w:val="single" w:sz="4" w:space="0" w:color="000000"/>
              <w:left w:val="single" w:sz="4" w:space="0" w:color="000000"/>
              <w:bottom w:val="single" w:sz="4" w:space="0" w:color="000000"/>
              <w:right w:val="single" w:sz="4" w:space="0" w:color="000000"/>
            </w:tcBorders>
            <w:vAlign w:val="bottom"/>
          </w:tcPr>
          <w:p>
            <w:pPr>
              <w:pStyle w:val="Normal"/>
              <w:spacing w:lineRule="auto" w:line="276"/>
              <w:jc w:val="right"/>
              <w:rPr>
                <w:bCs/>
                <w:sz w:val="24"/>
                <w:szCs w:val="24"/>
                <w:lang w:eastAsia="en-US"/>
              </w:rPr>
            </w:pPr>
            <w:r>
              <w:rPr>
                <w:bCs/>
                <w:sz w:val="24"/>
                <w:szCs w:val="24"/>
                <w:lang w:eastAsia="en-US"/>
              </w:rPr>
              <w:t>0,0</w:t>
            </w:r>
          </w:p>
        </w:tc>
        <w:tc>
          <w:tcPr>
            <w:tcW w:w="1559" w:type="dxa"/>
            <w:tcBorders>
              <w:top w:val="single" w:sz="4" w:space="0" w:color="000000"/>
              <w:left w:val="single" w:sz="4" w:space="0" w:color="000000"/>
              <w:bottom w:val="single" w:sz="4" w:space="0" w:color="000000"/>
              <w:right w:val="single" w:sz="4" w:space="0" w:color="000000"/>
            </w:tcBorders>
            <w:vAlign w:val="bottom"/>
          </w:tcPr>
          <w:p>
            <w:pPr>
              <w:pStyle w:val="Normal"/>
              <w:spacing w:lineRule="auto" w:line="276"/>
              <w:jc w:val="right"/>
              <w:rPr>
                <w:bCs/>
                <w:sz w:val="24"/>
                <w:szCs w:val="24"/>
                <w:lang w:eastAsia="en-US"/>
              </w:rPr>
            </w:pPr>
            <w:r>
              <w:rPr>
                <w:bCs/>
                <w:sz w:val="24"/>
                <w:szCs w:val="24"/>
                <w:lang w:eastAsia="en-US"/>
              </w:rPr>
              <w:t>0,0</w:t>
            </w:r>
          </w:p>
        </w:tc>
      </w:tr>
      <w:tr>
        <w:trPr/>
        <w:tc>
          <w:tcPr>
            <w:tcW w:w="538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rPr>
                <w:bCs/>
                <w:sz w:val="24"/>
                <w:szCs w:val="24"/>
                <w:lang w:eastAsia="en-US"/>
              </w:rPr>
            </w:pPr>
            <w:r>
              <w:rPr>
                <w:b/>
                <w:bCs/>
                <w:sz w:val="24"/>
                <w:szCs w:val="24"/>
                <w:lang w:eastAsia="en-US"/>
              </w:rPr>
              <w:t>ВСЕГО источников финансирования дефицита бюджета</w:t>
            </w:r>
          </w:p>
        </w:tc>
        <w:tc>
          <w:tcPr>
            <w:tcW w:w="1615" w:type="dxa"/>
            <w:tcBorders>
              <w:top w:val="single" w:sz="4" w:space="0" w:color="000000"/>
              <w:left w:val="single" w:sz="4" w:space="0" w:color="000000"/>
              <w:bottom w:val="single" w:sz="4" w:space="0" w:color="000000"/>
              <w:right w:val="single" w:sz="4" w:space="0" w:color="000000"/>
            </w:tcBorders>
            <w:vAlign w:val="bottom"/>
          </w:tcPr>
          <w:p>
            <w:pPr>
              <w:pStyle w:val="Normal"/>
              <w:spacing w:lineRule="auto" w:line="276"/>
              <w:jc w:val="right"/>
              <w:rPr>
                <w:b/>
                <w:b/>
                <w:bCs/>
                <w:sz w:val="24"/>
                <w:szCs w:val="24"/>
                <w:lang w:eastAsia="en-US"/>
              </w:rPr>
            </w:pPr>
            <w:r>
              <w:rPr>
                <w:b/>
                <w:bCs/>
                <w:sz w:val="24"/>
                <w:szCs w:val="24"/>
                <w:lang w:eastAsia="en-US"/>
              </w:rPr>
              <w:t>9 984,7</w:t>
            </w:r>
          </w:p>
        </w:tc>
        <w:tc>
          <w:tcPr>
            <w:tcW w:w="1503" w:type="dxa"/>
            <w:tcBorders>
              <w:top w:val="single" w:sz="4" w:space="0" w:color="000000"/>
              <w:left w:val="single" w:sz="4" w:space="0" w:color="000000"/>
              <w:bottom w:val="single" w:sz="4" w:space="0" w:color="000000"/>
              <w:right w:val="single" w:sz="4" w:space="0" w:color="000000"/>
            </w:tcBorders>
            <w:vAlign w:val="bottom"/>
          </w:tcPr>
          <w:p>
            <w:pPr>
              <w:pStyle w:val="Normal"/>
              <w:spacing w:lineRule="auto" w:line="276"/>
              <w:jc w:val="right"/>
              <w:rPr>
                <w:b/>
                <w:b/>
                <w:bCs/>
                <w:sz w:val="24"/>
                <w:szCs w:val="24"/>
                <w:lang w:eastAsia="en-US"/>
              </w:rPr>
            </w:pPr>
            <w:r>
              <w:rPr>
                <w:b/>
                <w:bCs/>
                <w:sz w:val="24"/>
                <w:szCs w:val="24"/>
                <w:lang w:eastAsia="en-US"/>
              </w:rPr>
              <w:t>0,0</w:t>
            </w:r>
          </w:p>
        </w:tc>
        <w:tc>
          <w:tcPr>
            <w:tcW w:w="1559" w:type="dxa"/>
            <w:tcBorders>
              <w:top w:val="single" w:sz="4" w:space="0" w:color="000000"/>
              <w:left w:val="single" w:sz="4" w:space="0" w:color="000000"/>
              <w:bottom w:val="single" w:sz="4" w:space="0" w:color="000000"/>
              <w:right w:val="single" w:sz="4" w:space="0" w:color="000000"/>
            </w:tcBorders>
            <w:vAlign w:val="bottom"/>
          </w:tcPr>
          <w:p>
            <w:pPr>
              <w:pStyle w:val="Normal"/>
              <w:spacing w:lineRule="auto" w:line="276"/>
              <w:jc w:val="right"/>
              <w:rPr>
                <w:b/>
                <w:b/>
                <w:bCs/>
                <w:sz w:val="24"/>
                <w:szCs w:val="24"/>
                <w:lang w:eastAsia="en-US"/>
              </w:rPr>
            </w:pPr>
            <w:r>
              <w:rPr>
                <w:b/>
                <w:bCs/>
                <w:sz w:val="24"/>
                <w:szCs w:val="24"/>
                <w:lang w:eastAsia="en-US"/>
              </w:rPr>
              <w:t>0,0</w:t>
            </w:r>
          </w:p>
        </w:tc>
      </w:tr>
    </w:tbl>
    <w:p>
      <w:pPr>
        <w:sectPr>
          <w:type w:val="nextPage"/>
          <w:pgSz w:w="11906" w:h="16838"/>
          <w:pgMar w:left="1701" w:right="850" w:gutter="0" w:header="0" w:top="1134" w:footer="0" w:bottom="1134"/>
          <w:pgNumType w:fmt="decimal"/>
          <w:formProt w:val="false"/>
          <w:titlePg/>
          <w:textDirection w:val="lrTb"/>
          <w:docGrid w:type="default" w:linePitch="272" w:charSpace="0"/>
        </w:sectPr>
      </w:pPr>
    </w:p>
    <w:p>
      <w:pPr>
        <w:pStyle w:val="Normal"/>
        <w:jc w:val="right"/>
        <w:rPr>
          <w:sz w:val="28"/>
          <w:szCs w:val="28"/>
        </w:rPr>
      </w:pPr>
      <w:r>
        <w:rPr>
          <w:sz w:val="28"/>
          <w:szCs w:val="28"/>
        </w:rPr>
        <w:t>Приложение 5</w:t>
      </w:r>
    </w:p>
    <w:p>
      <w:pPr>
        <w:pStyle w:val="Normal"/>
        <w:jc w:val="right"/>
        <w:rPr>
          <w:sz w:val="28"/>
          <w:szCs w:val="28"/>
        </w:rPr>
      </w:pPr>
      <w:r>
        <w:rPr>
          <w:sz w:val="28"/>
          <w:szCs w:val="28"/>
        </w:rPr>
        <w:t>к решению Земского собрания</w:t>
      </w:r>
    </w:p>
    <w:p>
      <w:pPr>
        <w:pStyle w:val="Normal"/>
        <w:jc w:val="right"/>
        <w:rPr>
          <w:sz w:val="28"/>
          <w:szCs w:val="28"/>
        </w:rPr>
      </w:pPr>
      <w:r>
        <w:rPr>
          <w:sz w:val="28"/>
          <w:szCs w:val="28"/>
        </w:rPr>
        <w:t>Шарангского муниципального района</w:t>
      </w:r>
    </w:p>
    <w:p>
      <w:pPr>
        <w:pStyle w:val="Normal"/>
        <w:jc w:val="right"/>
        <w:rPr>
          <w:sz w:val="28"/>
          <w:szCs w:val="28"/>
        </w:rPr>
      </w:pPr>
      <w:r>
        <w:rPr>
          <w:sz w:val="28"/>
          <w:szCs w:val="28"/>
        </w:rPr>
        <w:t xml:space="preserve">«О районном бюджете на 2021 год и </w:t>
      </w:r>
    </w:p>
    <w:p>
      <w:pPr>
        <w:pStyle w:val="Normal"/>
        <w:jc w:val="right"/>
        <w:rPr>
          <w:sz w:val="28"/>
          <w:szCs w:val="28"/>
        </w:rPr>
      </w:pPr>
      <w:r>
        <w:rPr>
          <w:sz w:val="28"/>
          <w:szCs w:val="28"/>
        </w:rPr>
        <w:t>на плановый период 2022 и 2023 годов»</w:t>
      </w:r>
    </w:p>
    <w:p>
      <w:pPr>
        <w:pStyle w:val="Normal"/>
        <w:overflowPunct w:val="false"/>
        <w:autoSpaceDE w:val="false"/>
        <w:jc w:val="center"/>
        <w:textAlignment w:val="baseline"/>
        <w:rPr>
          <w:b/>
          <w:b/>
          <w:kern w:val="2"/>
          <w:sz w:val="28"/>
          <w:szCs w:val="28"/>
        </w:rPr>
      </w:pPr>
      <w:r>
        <w:rPr>
          <w:b/>
          <w:kern w:val="2"/>
          <w:sz w:val="28"/>
          <w:szCs w:val="28"/>
        </w:rPr>
      </w:r>
    </w:p>
    <w:p>
      <w:pPr>
        <w:pStyle w:val="Normal"/>
        <w:overflowPunct w:val="false"/>
        <w:autoSpaceDE w:val="false"/>
        <w:jc w:val="center"/>
        <w:textAlignment w:val="baseline"/>
        <w:rPr>
          <w:b/>
          <w:b/>
          <w:kern w:val="2"/>
          <w:sz w:val="28"/>
          <w:szCs w:val="28"/>
        </w:rPr>
      </w:pPr>
      <w:r>
        <w:rPr>
          <w:b/>
          <w:kern w:val="2"/>
          <w:sz w:val="28"/>
          <w:szCs w:val="28"/>
        </w:rPr>
        <w:t>Распределение бюджетных ассигнований по целевым статьям</w:t>
      </w:r>
    </w:p>
    <w:p>
      <w:pPr>
        <w:pStyle w:val="Normal"/>
        <w:overflowPunct w:val="false"/>
        <w:autoSpaceDE w:val="false"/>
        <w:jc w:val="center"/>
        <w:textAlignment w:val="baseline"/>
        <w:rPr>
          <w:b/>
          <w:b/>
          <w:kern w:val="2"/>
          <w:sz w:val="28"/>
          <w:szCs w:val="28"/>
        </w:rPr>
      </w:pPr>
      <w:r>
        <w:rPr>
          <w:b/>
          <w:kern w:val="2"/>
          <w:sz w:val="28"/>
          <w:szCs w:val="28"/>
        </w:rPr>
        <w:t xml:space="preserve"> </w:t>
      </w:r>
      <w:r>
        <w:rPr>
          <w:b/>
          <w:kern w:val="2"/>
          <w:sz w:val="28"/>
          <w:szCs w:val="28"/>
        </w:rPr>
        <w:t>(муниципальным программам и непрограммным направлениям деятельности),</w:t>
      </w:r>
    </w:p>
    <w:p>
      <w:pPr>
        <w:pStyle w:val="Normal"/>
        <w:overflowPunct w:val="false"/>
        <w:autoSpaceDE w:val="false"/>
        <w:jc w:val="center"/>
        <w:textAlignment w:val="baseline"/>
        <w:rPr>
          <w:b/>
          <w:b/>
          <w:kern w:val="2"/>
          <w:sz w:val="28"/>
          <w:szCs w:val="28"/>
        </w:rPr>
      </w:pPr>
      <w:r>
        <w:rPr>
          <w:b/>
          <w:kern w:val="2"/>
          <w:sz w:val="28"/>
          <w:szCs w:val="28"/>
        </w:rPr>
        <w:t xml:space="preserve"> </w:t>
      </w:r>
      <w:r>
        <w:rPr>
          <w:b/>
          <w:kern w:val="2"/>
          <w:sz w:val="28"/>
          <w:szCs w:val="28"/>
        </w:rPr>
        <w:t>группам видов расходов классификации расходов бюджета на 2021 год</w:t>
      </w:r>
    </w:p>
    <w:p>
      <w:pPr>
        <w:pStyle w:val="Normal"/>
        <w:overflowPunct w:val="false"/>
        <w:autoSpaceDE w:val="false"/>
        <w:jc w:val="center"/>
        <w:textAlignment w:val="baseline"/>
        <w:rPr>
          <w:b/>
          <w:b/>
          <w:kern w:val="2"/>
          <w:sz w:val="28"/>
          <w:szCs w:val="28"/>
        </w:rPr>
      </w:pPr>
      <w:r>
        <w:rPr>
          <w:b/>
          <w:kern w:val="2"/>
          <w:sz w:val="28"/>
          <w:szCs w:val="28"/>
        </w:rPr>
        <w:t xml:space="preserve"> </w:t>
      </w:r>
      <w:r>
        <w:rPr>
          <w:b/>
          <w:kern w:val="2"/>
          <w:sz w:val="28"/>
          <w:szCs w:val="28"/>
        </w:rPr>
        <w:t>и на плановый период 2022 и 2023 годов</w:t>
      </w:r>
    </w:p>
    <w:p>
      <w:pPr>
        <w:pStyle w:val="Normal"/>
        <w:ind w:left="540" w:hanging="0"/>
        <w:jc w:val="right"/>
        <w:rPr>
          <w:b/>
          <w:b/>
          <w:kern w:val="2"/>
          <w:sz w:val="24"/>
          <w:szCs w:val="24"/>
        </w:rPr>
      </w:pPr>
      <w:r>
        <w:rPr>
          <w:b/>
          <w:kern w:val="2"/>
          <w:sz w:val="24"/>
          <w:szCs w:val="24"/>
        </w:rPr>
      </w:r>
    </w:p>
    <w:p>
      <w:pPr>
        <w:pStyle w:val="Normal"/>
        <w:ind w:left="540" w:hanging="0"/>
        <w:jc w:val="right"/>
        <w:rPr/>
      </w:pPr>
      <w:r>
        <w:rPr/>
        <w:t>(тыс.рублей)</w:t>
      </w:r>
    </w:p>
    <w:tbl>
      <w:tblPr>
        <w:tblW w:w="15183" w:type="dxa"/>
        <w:jc w:val="left"/>
        <w:tblInd w:w="-20" w:type="dxa"/>
        <w:tblLayout w:type="fixed"/>
        <w:tblCellMar>
          <w:top w:w="0" w:type="dxa"/>
          <w:left w:w="108" w:type="dxa"/>
          <w:bottom w:w="0" w:type="dxa"/>
          <w:right w:w="108" w:type="dxa"/>
        </w:tblCellMar>
      </w:tblPr>
      <w:tblGrid>
        <w:gridCol w:w="8166"/>
        <w:gridCol w:w="1663"/>
        <w:gridCol w:w="1188"/>
        <w:gridCol w:w="1331"/>
        <w:gridCol w:w="1417"/>
        <w:gridCol w:w="1418"/>
      </w:tblGrid>
      <w:tr>
        <w:trPr>
          <w:tblHeader w:val="true"/>
          <w:trHeight w:val="300" w:hRule="atLeast"/>
        </w:trPr>
        <w:tc>
          <w:tcPr>
            <w:tcW w:w="816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Наименование</w:t>
            </w:r>
          </w:p>
        </w:tc>
        <w:tc>
          <w:tcPr>
            <w:tcW w:w="2851" w:type="dxa"/>
            <w:gridSpan w:val="2"/>
            <w:tcBorders>
              <w:top w:val="single" w:sz="4" w:space="0" w:color="000000"/>
              <w:bottom w:val="single" w:sz="4" w:space="0" w:color="000000"/>
              <w:right w:val="single" w:sz="4" w:space="0" w:color="000000"/>
            </w:tcBorders>
            <w:vAlign w:val="center"/>
          </w:tcPr>
          <w:p>
            <w:pPr>
              <w:pStyle w:val="Normal"/>
              <w:jc w:val="center"/>
              <w:rPr/>
            </w:pPr>
            <w:r>
              <w:rPr>
                <w:b/>
                <w:bCs/>
                <w:color w:val="000000"/>
                <w:sz w:val="24"/>
                <w:szCs w:val="24"/>
              </w:rPr>
              <w:t>Код бюджетной классификации </w:t>
            </w:r>
          </w:p>
        </w:tc>
        <w:tc>
          <w:tcPr>
            <w:tcW w:w="1331" w:type="dxa"/>
            <w:vMerge w:val="restart"/>
            <w:tcBorders>
              <w:top w:val="single" w:sz="8" w:space="0" w:color="000000"/>
              <w:left w:val="single" w:sz="8" w:space="0" w:color="000000"/>
              <w:bottom w:val="single" w:sz="8" w:space="0" w:color="000000"/>
              <w:right w:val="single" w:sz="8" w:space="0" w:color="000000"/>
            </w:tcBorders>
            <w:vAlign w:val="center"/>
          </w:tcPr>
          <w:p>
            <w:pPr>
              <w:pStyle w:val="Normal"/>
              <w:jc w:val="center"/>
              <w:rPr>
                <w:b/>
                <w:b/>
                <w:bCs/>
                <w:color w:val="000000"/>
                <w:sz w:val="24"/>
                <w:szCs w:val="24"/>
              </w:rPr>
            </w:pPr>
            <w:r>
              <w:rPr>
                <w:b/>
                <w:bCs/>
                <w:color w:val="000000"/>
                <w:sz w:val="24"/>
                <w:szCs w:val="24"/>
              </w:rPr>
              <w:t>2021 год</w:t>
            </w:r>
          </w:p>
        </w:tc>
        <w:tc>
          <w:tcPr>
            <w:tcW w:w="1417"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2022 год</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2023 год</w:t>
            </w:r>
          </w:p>
        </w:tc>
      </w:tr>
      <w:tr>
        <w:trPr>
          <w:tblHeader w:val="true"/>
          <w:trHeight w:val="945" w:hRule="atLeast"/>
        </w:trPr>
        <w:tc>
          <w:tcPr>
            <w:tcW w:w="816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66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Целевая статья расходов</w:t>
            </w:r>
          </w:p>
        </w:tc>
        <w:tc>
          <w:tcPr>
            <w:tcW w:w="118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Вид расходов</w:t>
            </w:r>
          </w:p>
        </w:tc>
        <w:tc>
          <w:tcPr>
            <w:tcW w:w="1331" w:type="dxa"/>
            <w:vMerge w:val="continue"/>
            <w:tcBorders>
              <w:top w:val="single" w:sz="8" w:space="0" w:color="000000"/>
              <w:left w:val="single" w:sz="8" w:space="0" w:color="000000"/>
              <w:bottom w:val="single" w:sz="8" w:space="0" w:color="000000"/>
              <w:right w:val="single" w:sz="8" w:space="0" w:color="000000"/>
            </w:tcBorders>
            <w:vAlign w:val="center"/>
          </w:tcPr>
          <w:p>
            <w:pPr>
              <w:pStyle w:val="Normal"/>
              <w:snapToGrid w:val="false"/>
              <w:jc w:val="center"/>
              <w:rPr>
                <w:b/>
                <w:b/>
                <w:bCs/>
                <w:color w:val="000000"/>
                <w:sz w:val="24"/>
                <w:szCs w:val="24"/>
              </w:rPr>
            </w:pPr>
            <w:r>
              <w:rPr>
                <w:b/>
                <w:bCs/>
                <w:color w:val="000000"/>
                <w:sz w:val="24"/>
                <w:szCs w:val="24"/>
              </w:rPr>
            </w:r>
          </w:p>
        </w:tc>
        <w:tc>
          <w:tcPr>
            <w:tcW w:w="141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jc w:val="center"/>
              <w:rPr>
                <w:b/>
                <w:b/>
                <w:bCs/>
                <w:color w:val="000000"/>
                <w:sz w:val="24"/>
                <w:szCs w:val="24"/>
              </w:rPr>
            </w:pPr>
            <w:r>
              <w:rPr>
                <w:b/>
                <w:bCs/>
                <w:color w:val="000000"/>
                <w:sz w:val="24"/>
                <w:szCs w:val="24"/>
              </w:rPr>
            </w:r>
          </w:p>
        </w:tc>
        <w:tc>
          <w:tcPr>
            <w:tcW w:w="141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jc w:val="center"/>
              <w:rPr>
                <w:b/>
                <w:b/>
                <w:bCs/>
                <w:color w:val="000000"/>
                <w:sz w:val="24"/>
                <w:szCs w:val="24"/>
              </w:rPr>
            </w:pPr>
            <w:r>
              <w:rPr>
                <w:b/>
                <w:bCs/>
                <w:color w:val="000000"/>
                <w:sz w:val="24"/>
                <w:szCs w:val="24"/>
              </w:rPr>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bCs/>
                <w:color w:val="000000"/>
                <w:sz w:val="24"/>
                <w:szCs w:val="24"/>
              </w:rPr>
            </w:pPr>
            <w:r>
              <w:rPr>
                <w:b/>
                <w:bCs/>
                <w:color w:val="000000"/>
                <w:sz w:val="24"/>
                <w:szCs w:val="24"/>
              </w:rPr>
              <w:t>Муниципальные программы</w:t>
            </w:r>
          </w:p>
        </w:tc>
        <w:tc>
          <w:tcPr>
            <w:tcW w:w="166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118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33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660 815,4</w:t>
            </w:r>
          </w:p>
        </w:tc>
        <w:tc>
          <w:tcPr>
            <w:tcW w:w="141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495 832,8</w:t>
            </w:r>
          </w:p>
        </w:tc>
        <w:tc>
          <w:tcPr>
            <w:tcW w:w="14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548 172,9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bCs/>
                <w:color w:val="000000"/>
                <w:sz w:val="24"/>
                <w:szCs w:val="24"/>
              </w:rPr>
            </w:pPr>
            <w:r>
              <w:rPr>
                <w:b/>
                <w:bCs/>
                <w:color w:val="000000"/>
                <w:sz w:val="24"/>
                <w:szCs w:val="24"/>
              </w:rPr>
              <w:t>Муниципальная программа "Профилактика преступлений и иных правонарушений в Шарангском муниципальном районе на 2021-2025 годы"</w:t>
            </w:r>
          </w:p>
        </w:tc>
        <w:tc>
          <w:tcPr>
            <w:tcW w:w="1663"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01.0.00.00000</w:t>
            </w:r>
          </w:p>
        </w:tc>
        <w:tc>
          <w:tcPr>
            <w:tcW w:w="118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33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15,0</w:t>
            </w:r>
          </w:p>
        </w:tc>
        <w:tc>
          <w:tcPr>
            <w:tcW w:w="141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15,0</w:t>
            </w:r>
          </w:p>
        </w:tc>
        <w:tc>
          <w:tcPr>
            <w:tcW w:w="14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Улучшение межведомственного взаимодействия правоохранительных органов, органов местного самоуправления и общественности в борьбе с преступностью</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01.0.03.00000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01.0.03.05020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01.0.03.05020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"Развитие предпринимательства и туризма в Шарангском муниципальном районе Нижегородской области на 2021-2025 годы"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02.0.00.00000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300,0</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300,0</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300,0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Эффективная кредитно-финансовая инвестиционная поддержка субъектов малого предпринимательства</w:t>
            </w:r>
          </w:p>
        </w:tc>
        <w:tc>
          <w:tcPr>
            <w:tcW w:w="1663" w:type="dxa"/>
            <w:tcBorders>
              <w:bottom w:val="single" w:sz="4" w:space="0" w:color="000000"/>
              <w:right w:val="single" w:sz="4" w:space="0" w:color="000000"/>
            </w:tcBorders>
            <w:vAlign w:val="center"/>
          </w:tcPr>
          <w:p>
            <w:pPr>
              <w:pStyle w:val="Normal"/>
              <w:jc w:val="center"/>
              <w:rPr/>
            </w:pPr>
            <w:r>
              <w:rPr>
                <w:sz w:val="24"/>
                <w:szCs w:val="24"/>
              </w:rPr>
              <w:t>02.0.01.00000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Субсидия на поддержку малого предпринимательства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02.0.01.02290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02.0.01.02290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«Обеспечение граждан Шарангского района доступным и комфортным жильем на период 2021-2023 годы»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04.0.00.00000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1 179,3</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1 288,0</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1 363,2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«Обеспечение жильем молодых семей в Шарангском р-не на период 2021-2023 годы»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04.1.00.00000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1 072,5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1 261,6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1 363,2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Государственная поддержка молодых семей Шарангского района в решении жилищной проблемы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04.1.01.00000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1 071,0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1 260,1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1 361,7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социальных выплат молодым семьям на приобретение (строительство) жилья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04.1.01.L4970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1 071,0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1 260,1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1 361,7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Социальное обеспечение и иные выплаты населению</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04.1.01.L4970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1 071,0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1 260,1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1 361,7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Компенсация процентной ставки по кредитам, выданным до 31.12.2006 года в рамках РЦП "Молодой семье - доступное жилье" на 2005 - 2010 годы, утвержденной решением ЗС Шарангского р-на от 15.04.2005 г. №15</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04.1.03.00000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социальных выплат гражданам на оплату части процентной ставки по кредитам на строительство (приобретение) жилья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04.1.03.10060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Социальное обеспечение и иные выплаты населению</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04.1.03.10060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«Ипотечное жилищное кредитование населения Шарангского района на период 2021-2023 годы»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04.2.00.00000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106,8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26,4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04.2.02.00000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106,8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26,4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компенсацию части платежа по полученным гражданами - участниками социальной (льготной) ипотеки ипотечным жилищным кредитам (займам)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04.2.02.S2270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106,8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26,4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Социальное обеспечение и иные выплаты населению</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04.2.02.S2270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106,8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26,4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«Противодействие коррупции в Шарангском муниципальном районе на 2021-2025 годы»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05.0.00.00000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10,0</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10,0</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10,0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Организация на территории Шарангского муниципального района антикоррупционного просвещения, обучения и воспитания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05.0.03.00000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Организация обучения по программам повышения квалификации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05.0.03.20401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05.0.03.20401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pPr>
            <w:r>
              <w:rPr>
                <w:sz w:val="24"/>
                <w:szCs w:val="24"/>
              </w:rPr>
              <w:t>05.0.03.20401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9,5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«Развитие транспортной системы в Шарангском муниципальном районе Нижегородской области в 2021-2025 годы»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06.0.00.00000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11 725,7</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5,0</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Формирование у детей навыков безопасного поведения на дорогах</w:t>
            </w:r>
          </w:p>
        </w:tc>
        <w:tc>
          <w:tcPr>
            <w:tcW w:w="1663" w:type="dxa"/>
            <w:tcBorders>
              <w:bottom w:val="single" w:sz="4" w:space="0" w:color="000000"/>
              <w:right w:val="single" w:sz="4" w:space="0" w:color="000000"/>
            </w:tcBorders>
            <w:vAlign w:val="center"/>
          </w:tcPr>
          <w:p>
            <w:pPr>
              <w:pStyle w:val="Normal"/>
              <w:jc w:val="center"/>
              <w:rPr/>
            </w:pPr>
            <w:r>
              <w:rPr>
                <w:sz w:val="24"/>
                <w:szCs w:val="24"/>
              </w:rPr>
              <w:t>06.1.02.00000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Организация и проведение районных детских конкурсных программ по профилактике детского дорожно-транспортного травматизма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06.1.02.07080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06.1.02.07080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Ремонт и содержание автомобильных дорог общего пользования в Шарангском муниципальном районе</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06.2.00.00000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11 719,8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Содержание автомобильных дорог общего пользования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06.2.02.00000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1 172,5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Содержание автомобильных дорог общего пользования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06.2.02.07080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1 172,5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06.2.02.07080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140,4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06.2.02.07080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1 032,1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капитальный ремонт и ремонт автомобильных дорог общего пользования местного значения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06.2.03.00000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10 547,3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капитальный ремонт и ремонт автомобильных дорог общего пользования местного значения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06.2.03.S2210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5 547,3</w:t>
            </w:r>
          </w:p>
        </w:tc>
        <w:tc>
          <w:tcPr>
            <w:tcW w:w="1417" w:type="dxa"/>
            <w:tcBorders>
              <w:bottom w:val="single" w:sz="4" w:space="0" w:color="000000"/>
              <w:right w:val="single" w:sz="4" w:space="0" w:color="000000"/>
            </w:tcBorders>
            <w:vAlign w:val="center"/>
          </w:tcPr>
          <w:p>
            <w:pPr>
              <w:pStyle w:val="Normal"/>
              <w:jc w:val="center"/>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06.2.03.S2210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5 547,3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реализацию полномочий органов местного самоуправления по решению вопросов местного значения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06.2.03.S2650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5 000,0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06.2.03.S2650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5 000,0</w:t>
            </w:r>
          </w:p>
        </w:tc>
        <w:tc>
          <w:tcPr>
            <w:tcW w:w="1417" w:type="dxa"/>
            <w:tcBorders>
              <w:bottom w:val="single" w:sz="4" w:space="0" w:color="000000"/>
              <w:right w:val="single" w:sz="4" w:space="0" w:color="000000"/>
            </w:tcBorders>
            <w:vAlign w:val="center"/>
          </w:tcPr>
          <w:p>
            <w:pPr>
              <w:pStyle w:val="Normal"/>
              <w:jc w:val="center"/>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"Построение и развитие аппаратно-программного комплекса "Безопасный город" в Шарангском муниципальном районе на 2019-2021 годы"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07.0.00.00000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76,2</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76,2</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76,2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своевременного оповещения и информирования населения техническими средствами оповещения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07.0.03.04100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76,2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76,2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76,2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07.0.03.04100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76,2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76,2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76,2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08.0.00.00000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3 633,4</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3 547,3</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3 547,3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Защита населения от чрезвычайных ситуаций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08.1.00.00000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3 633,4</w:t>
            </w:r>
          </w:p>
        </w:tc>
        <w:tc>
          <w:tcPr>
            <w:tcW w:w="1417" w:type="dxa"/>
            <w:tcBorders>
              <w:bottom w:val="single" w:sz="4" w:space="0" w:color="000000"/>
              <w:right w:val="single" w:sz="4" w:space="0" w:color="000000"/>
            </w:tcBorders>
            <w:vAlign w:val="center"/>
          </w:tcPr>
          <w:p>
            <w:pPr>
              <w:pStyle w:val="Normal"/>
              <w:jc w:val="center"/>
              <w:rPr/>
            </w:pPr>
            <w:r>
              <w:rPr>
                <w:sz w:val="24"/>
                <w:szCs w:val="24"/>
              </w:rPr>
              <w:t>3 547,3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3 547,3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необходимых условий для безопасной жизнедеятельности и устойчивого социально-экономического развития Шарангского муниципального района Нижегородской области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08.1.02.00000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3 633,4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3 547,3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3 547,3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деятельности ЕДДС</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08.1.02.02990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3 318,5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3 347,3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3 347,3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08.1.02.02990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2 573,7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2 602,5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2 602,5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08.1.02.02990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744,8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744,8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744,8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08.1.02.21801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08.1.02.21801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08.1.02.S2190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114,9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pPr>
            <w:r>
              <w:rPr>
                <w:sz w:val="24"/>
                <w:szCs w:val="24"/>
              </w:rPr>
              <w:t>08.1.02.S2190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114,9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«Развитие пассажирского транспорта на территории Шарангского муниципального района Нижегородской области на 2020 - 2024 годы»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09.0.00.00000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7 557,7</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1 100,0</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4 100,0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09.0.01.00000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7 557,7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1 100,0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4 100,0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Поддержка и развитие пассажирского транспорта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09.0.01.04080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7 557,7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1 100,0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4 100,0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pPr>
            <w:r>
              <w:rPr>
                <w:sz w:val="24"/>
                <w:szCs w:val="24"/>
              </w:rPr>
              <w:t>09.0.01.04080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7 557,7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1 100,0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4 100,0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"Социальная поддержка граждан Шарангского муниципального района Нижегородской области на 2021-2025 годы"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10.0.00.00000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234,0</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234,0</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234,0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"Социальная поддержка семей"</w:t>
            </w:r>
          </w:p>
        </w:tc>
        <w:tc>
          <w:tcPr>
            <w:tcW w:w="1663" w:type="dxa"/>
            <w:tcBorders>
              <w:bottom w:val="single" w:sz="4" w:space="0" w:color="000000"/>
              <w:right w:val="single" w:sz="4" w:space="0" w:color="000000"/>
            </w:tcBorders>
            <w:vAlign w:val="center"/>
          </w:tcPr>
          <w:p>
            <w:pPr>
              <w:pStyle w:val="Normal"/>
              <w:jc w:val="center"/>
              <w:rPr/>
            </w:pPr>
            <w:r>
              <w:rPr>
                <w:sz w:val="24"/>
                <w:szCs w:val="24"/>
              </w:rPr>
              <w:t>10.1.00.00000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Мероприятия в области социальной политики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10.1.01.00000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Проведение районных мероприятий в области социальной политики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10.1.01.10010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10.1.01.10010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"Старшее поколение и социальная поддержка инвалидов"</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10.2.00.00000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Мероприятия в области социальной политики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10.2.01.00000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Проведение районных мероприятий в области социальной политики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10.2.01.10010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10.2.01.10010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"Ветераны боевых действий"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10.3.00.00000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Мероприятия в области социальной политики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10.3.01.00000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pPr>
            <w:r>
              <w:rPr>
                <w:sz w:val="24"/>
                <w:szCs w:val="24"/>
              </w:rPr>
              <w:t>Проведение районных мероприятий в области социальной политики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10.3.01.10010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10.3.01.10010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"Развитие агропромышленного комплекса Шарангского муниципального района Нижегородской области"</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11.0.00.00000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87 618,1</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35 086,3</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35 143,8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"Развитие сельского хозяйства, пищевой и перерабатывающей промышленности Шарангского муниципального района Нижегородской области" до 2025 года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55 593,3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30 754,6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30 812,1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Развитие производства продукции растениеводства (субсидирование части затрат)</w:t>
            </w:r>
          </w:p>
        </w:tc>
        <w:tc>
          <w:tcPr>
            <w:tcW w:w="1663" w:type="dxa"/>
            <w:tcBorders>
              <w:bottom w:val="single" w:sz="4" w:space="0" w:color="000000"/>
              <w:right w:val="single" w:sz="4" w:space="0" w:color="000000"/>
            </w:tcBorders>
            <w:vAlign w:val="center"/>
          </w:tcPr>
          <w:p>
            <w:pPr>
              <w:pStyle w:val="Normal"/>
              <w:jc w:val="center"/>
              <w:rPr/>
            </w:pPr>
            <w:r>
              <w:rPr>
                <w:sz w:val="24"/>
                <w:szCs w:val="24"/>
              </w:rPr>
              <w:t>11.1.01.00000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9 035,4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11 276,9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11 334,4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Возмещение производителям зерновых культур части затрат на производство и реализацию зерновых культур</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11.1.01.R3680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256,2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11.1.01.R3680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256,2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11.1.01.R5020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4 285,7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8 323,6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8 381,1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11.1.01.R5020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4 285,7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8 323,6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8 381,1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Поддержка сельскохозяйственного производства по отдельным подотраслям растениеводства и животноводства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11.1.01.R5080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4 493,5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2 953,3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2 953,3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11.1.01.R5080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4 493,5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2 953,3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2 953,3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Развитие производства продукции животноводства (субсидирование части затрат)</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19 947,5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13 360,5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13 360,5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663" w:type="dxa"/>
            <w:tcBorders>
              <w:bottom w:val="single" w:sz="4" w:space="0" w:color="000000"/>
              <w:right w:val="single" w:sz="4" w:space="0" w:color="000000"/>
            </w:tcBorders>
            <w:vAlign w:val="center"/>
          </w:tcPr>
          <w:p>
            <w:pPr>
              <w:pStyle w:val="Normal"/>
              <w:jc w:val="center"/>
              <w:rPr/>
            </w:pPr>
            <w:r>
              <w:rPr>
                <w:sz w:val="24"/>
                <w:szCs w:val="24"/>
              </w:rPr>
              <w:t>11.1.02.R5020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2 976,1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3 265,3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3 265,3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11.1.02.R5020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2 976,1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3 265,3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3 265,3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Поддержка сельскохозяйственного производства по отдельным подотраслям растениеводства и животноводства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11.1.02.R5080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15 599,8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10 095,2</w:t>
            </w:r>
          </w:p>
        </w:tc>
        <w:tc>
          <w:tcPr>
            <w:tcW w:w="1418" w:type="dxa"/>
            <w:tcBorders>
              <w:bottom w:val="single" w:sz="4" w:space="0" w:color="000000"/>
              <w:right w:val="single" w:sz="4" w:space="0" w:color="000000"/>
            </w:tcBorders>
            <w:vAlign w:val="center"/>
          </w:tcPr>
          <w:p>
            <w:pPr>
              <w:pStyle w:val="Normal"/>
              <w:jc w:val="center"/>
              <w:rPr/>
            </w:pPr>
            <w:r>
              <w:rPr>
                <w:sz w:val="24"/>
                <w:szCs w:val="24"/>
              </w:rPr>
              <w:t>10 095,2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11.1.02.R5080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15 599,8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10 095,2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10 095,2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pPr>
            <w:r>
              <w:rPr>
                <w:sz w:val="24"/>
                <w:szCs w:val="24"/>
              </w:rPr>
              <w:t>Возмещение производителям, осуществляющим разведение и (или) содержание молочного крупного скота ,части затрат на приобретение кормов для молочного крупного скота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11.1.02.R6690</w:t>
            </w:r>
          </w:p>
        </w:tc>
        <w:tc>
          <w:tcPr>
            <w:tcW w:w="1188" w:type="dxa"/>
            <w:tcBorders>
              <w:bottom w:val="single" w:sz="4" w:space="0" w:color="000000"/>
              <w:right w:val="single" w:sz="4" w:space="0" w:color="000000"/>
            </w:tcBorders>
            <w:vAlign w:val="center"/>
          </w:tcPr>
          <w:p>
            <w:pPr>
              <w:pStyle w:val="Normal"/>
              <w:jc w:val="center"/>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1 371,6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11.1.02.R6690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1 371,6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Обновление парка сельскохозяйственной техники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11.1.09.00000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26 193,4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5 643,2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5 643,2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возмещение части затрат на приобретение оборудования и техники за счет средств областного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11.1.09.73220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26 193,4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5 643,2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5 643,2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11.1.09.73220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26 193,4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5 643,2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5 643,2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Финансовая поддержка сельхозпредприятий Шарангского муниципального района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11.1.11.00000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pPr>
            <w:r>
              <w:rPr>
                <w:sz w:val="24"/>
                <w:szCs w:val="24"/>
              </w:rPr>
              <w:t>417,0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474,0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474,0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Финансовая поддержка сельхозпредприятий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11.1.11.04050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417,0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474,0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474,0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11.1.11.04050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11.1.11.04050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384,0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444,0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444,0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"Комплексное развитие сельских территорий Шарангского муниципального района Нижегородской области" до 2025 года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11.2.00.00000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27 593,9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Строительство (реконструкция) в сельской местности объектов социальной и инженерной инфраструктуры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11.2.22.04050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1 120,0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Капитальные вложения в объекты государственной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11.2.22.04050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1 120,0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Строительство (реконструкция) в сельской местности объектов социальной и инженерной инфраструктуры, объектов сельскохозяйственного назначения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11.2.22.L5760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26 473,9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Капитальные вложения в объекты государственной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11.2.22.L5760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26 473,9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"Обеспечение реализации муниципальной программы"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11.4.00.00000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4 430,9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4 331,7</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4 331,7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выполнения целей, задач и показателей муниципальной программы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11.4.01.00000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4 430,9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4 331,7</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4 331,7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функций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11.4.01.20401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11.4.01.20401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осуществление полномочий по поддержке сельскохозяйственного производства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11.4.01.73030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4 360,9</w:t>
            </w:r>
          </w:p>
        </w:tc>
        <w:tc>
          <w:tcPr>
            <w:tcW w:w="1417" w:type="dxa"/>
            <w:tcBorders>
              <w:bottom w:val="single" w:sz="4" w:space="0" w:color="000000"/>
              <w:right w:val="single" w:sz="4" w:space="0" w:color="000000"/>
            </w:tcBorders>
            <w:vAlign w:val="center"/>
          </w:tcPr>
          <w:p>
            <w:pPr>
              <w:pStyle w:val="Normal"/>
              <w:jc w:val="center"/>
              <w:rPr/>
            </w:pPr>
            <w:r>
              <w:rPr>
                <w:sz w:val="24"/>
                <w:szCs w:val="24"/>
              </w:rPr>
              <w:t>4 331,7</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4 331,7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11.4.01.73030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3 852,6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3 894,6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3 894,6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11.4.01.73030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508,3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436,6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436,6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11.4.01.73030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"Противодействие терроризму и профилактика экстремизма в Шарангском муниципальном районе на 2021-2023 годы"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12.0.00.00000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454,1</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285,1</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285,1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pPr>
            <w:r>
              <w:rPr>
                <w:sz w:val="24"/>
                <w:szCs w:val="24"/>
              </w:rPr>
              <w:t>Усиление антитеррористической защищенности объектов образования, социальной сферы и мест массового пребывания людей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12.0.02.00000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454,1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285,1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285,1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12.0.02.07010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454,1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285,1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285,1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12.0.02.07010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454,1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285,1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285,1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"Развитие культуры Шарангского муниципального района на 2021-2025 годы"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13.0.00.00000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76 122,8</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74 293,0</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74 293,0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"Развитие библиотечно-информационного обслуживания населения"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13.1.00.00000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15 163,2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15 411,2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15 411,2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Увеличение объемов комплектования библиотечных фондов</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13.1.01.00000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396,2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Увеличение объемов комплектования библиотечных фондов</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13.1.01.08010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350,0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13.1.01.08010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350,0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поддержку отрасли культуры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13.1.01.L519F</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46,2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13.1.01.L519F</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46,2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Реализация планов мероприятий по противопожарной безопасности муниципальных учреждений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13.1.02.00000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Выполнение мероприятий по противопожарной безопасности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13.1.02.08030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13.1.02.08030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деятельности организации библиотечного обслуживания населения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13.1.03.00000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14 753,9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14 998,1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14 998,1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деятельности организации библиотечного обслуживания населения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13.1.03.08000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14 753,9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14 998,1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14 998,1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13.1.03.08000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14 753,9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14 998,1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14 998,1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"Организация культурно-массовых мероприятий"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13.2.00.00000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15 416,0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14 324,8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14 324,8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Реализация планов мероприятий по противопожарной безопасности муниципальных учреждений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13.2.01.00000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Выполнение мероприятий по противопожарной безопасности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13.2.01.08030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13.2.01.08030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деятельности по организации и проведению культурно-массовых мероприятий РДК</w:t>
            </w:r>
          </w:p>
        </w:tc>
        <w:tc>
          <w:tcPr>
            <w:tcW w:w="1663" w:type="dxa"/>
            <w:tcBorders>
              <w:bottom w:val="single" w:sz="4" w:space="0" w:color="000000"/>
              <w:right w:val="single" w:sz="4" w:space="0" w:color="000000"/>
            </w:tcBorders>
            <w:vAlign w:val="center"/>
          </w:tcPr>
          <w:p>
            <w:pPr>
              <w:pStyle w:val="Normal"/>
              <w:jc w:val="center"/>
              <w:rPr/>
            </w:pPr>
            <w:r>
              <w:rPr>
                <w:sz w:val="24"/>
                <w:szCs w:val="24"/>
              </w:rPr>
              <w:t>13.2.02.00000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15 404,0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14 312,8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14 312,8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деятельности по организации и проведению культурно-массовых мероприятий РДК</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13.2.02.08000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15 404,0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14 312,8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1 872,1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13.2.02.08000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15 404,0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14 312,8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1 872,1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13.2.02.S2090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12 440,7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13.2.02.S2090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12 440,7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"Организация культурно-массовых мероприятий в сельских учреждениях культуры"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13.3.00.00000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19 841,7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19 422,4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19 422,4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Реализация планов мероприятий по противопожарной безопасности муниципальных учреждений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13.3.01.00000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Выполнение мероприятий по противопожарной безопасности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13.3.01.08030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13.3.01.08030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деятельности по организации и проведению культурно-массовых мероприятий ШЦКС</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13.3.02.00000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19 114,2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18 776,5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18 776,5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деятельности по организации и проведению культурно-массовых мероприятий ШЦКС</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13.3.02.08000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18 704,4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18 776,5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7 836,8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13.3.02.08000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18 704,4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18 776,5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7 836,8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13.3.02.S2090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10 939,7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13.3.02.S2090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10 939,7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13.3.02.S2190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409,8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13.3.02.S2190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409,8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Укрепление материально- технической базы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13.3.03.00000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638,2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556,6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556,6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13.3.03.L4670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638,2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556,6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556,6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13.3.03.L4670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638,2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556,6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556,6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"Развитие сферы музейной деятельности"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13.4.00.00000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pPr>
            <w:r>
              <w:rPr>
                <w:sz w:val="24"/>
                <w:szCs w:val="24"/>
              </w:rPr>
              <w:t>1 993,5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2 034,3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2 034,3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Реализация планов мероприятий по противопожарной безопасности муниципальных учреждений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13.4.01.00000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Выполнение мероприятий по противопожарной безопасности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13.4.01.08030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13.4.01.08030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13.4.02.00000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1 987,5</w:t>
            </w:r>
          </w:p>
        </w:tc>
        <w:tc>
          <w:tcPr>
            <w:tcW w:w="1417" w:type="dxa"/>
            <w:tcBorders>
              <w:bottom w:val="single" w:sz="4" w:space="0" w:color="000000"/>
              <w:right w:val="single" w:sz="4" w:space="0" w:color="000000"/>
            </w:tcBorders>
            <w:vAlign w:val="center"/>
          </w:tcPr>
          <w:p>
            <w:pPr>
              <w:pStyle w:val="Normal"/>
              <w:jc w:val="center"/>
              <w:rPr/>
            </w:pPr>
            <w:r>
              <w:rPr>
                <w:sz w:val="24"/>
                <w:szCs w:val="24"/>
              </w:rPr>
              <w:t>2 028,3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2 028,3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13.4.02.08000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1 987,5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2 028,3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2 028,3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13.4.02.08000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1 987,5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2 028,3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2 028,3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"Повышение качества и доступности услуг в сфере дополнительного образования"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13.5.00.00000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10 060,7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10 163,9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10 163,9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Реализация планов мероприятий по противопожарной безопасности муниципальных образовательных учреждений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13.5.01.00000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46,2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Выполнение мероприятий по противопожарной безопасности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13.5.01.08030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46,2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13.5.01.08030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46,2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услуг по предоставлению дополнительного образования детям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13.5.02.00000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10 014,5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10 123,9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10 123,9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услуги по предоставлению дополнительного образования детям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13.5.02.08000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9 951,8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10 123,9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10 123,9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13.5.02.08000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9 951,8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10 123,9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10 123,9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13.5.02.S2190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62,7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13.5.02.S2190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62,7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"Обеспечение реализации муниципальной программы"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13.6.00.00000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13 647,7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12 936,4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12 936,4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Административно- правовое сопровождение реализации программы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13.6.01.00000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1 282,0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1 237,0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1 237,0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функций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13.6.01.20401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1 282,0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1 237,0</w:t>
            </w:r>
          </w:p>
        </w:tc>
        <w:tc>
          <w:tcPr>
            <w:tcW w:w="1418" w:type="dxa"/>
            <w:tcBorders>
              <w:bottom w:val="single" w:sz="4" w:space="0" w:color="000000"/>
              <w:right w:val="single" w:sz="4" w:space="0" w:color="000000"/>
            </w:tcBorders>
            <w:vAlign w:val="center"/>
          </w:tcPr>
          <w:p>
            <w:pPr>
              <w:pStyle w:val="Normal"/>
              <w:jc w:val="center"/>
              <w:rPr/>
            </w:pPr>
            <w:r>
              <w:rPr>
                <w:sz w:val="24"/>
                <w:szCs w:val="24"/>
              </w:rPr>
              <w:t>1 237,0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13.6.01.20401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1 186,7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1 190,1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1 190,1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13.6.01.20401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95,3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46,9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46,9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Бухгалтерское и хозяйственное обслуживание</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13.6.02.00000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12 365,7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11 699,4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11 699,4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Бухгалтерское и хозяйственное обслуживание</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13.6.02.45299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pPr>
            <w:r>
              <w:rPr>
                <w:sz w:val="24"/>
                <w:szCs w:val="24"/>
              </w:rPr>
              <w:t>11 875,0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11 699,4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11 699,4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13.6.02.45299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11 611,6</w:t>
            </w:r>
          </w:p>
        </w:tc>
        <w:tc>
          <w:tcPr>
            <w:tcW w:w="1417" w:type="dxa"/>
            <w:tcBorders>
              <w:bottom w:val="single" w:sz="4" w:space="0" w:color="000000"/>
              <w:right w:val="single" w:sz="4" w:space="0" w:color="000000"/>
            </w:tcBorders>
            <w:vAlign w:val="center"/>
          </w:tcPr>
          <w:p>
            <w:pPr>
              <w:pStyle w:val="Normal"/>
              <w:jc w:val="center"/>
              <w:rPr/>
            </w:pPr>
            <w:r>
              <w:rPr>
                <w:sz w:val="24"/>
                <w:szCs w:val="24"/>
              </w:rPr>
              <w:t>11 332,3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11 332,3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13.6.02.45299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263,4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367,1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367,1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13.6.02.S2190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490,7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13.6.02.S2190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pPr>
            <w:r>
              <w:rPr>
                <w:sz w:val="24"/>
                <w:szCs w:val="24"/>
              </w:rPr>
              <w:t>490,7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"Управление муниципальными финансами Шарангского муниципального района"</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14.0.00.00000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79 297,3</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46 895,9</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62 393,2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"Организация и совершенствование бюджетного процесса Шарангского муниципального района"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14.1.00.00000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2 000,0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Резервные фонды местных администраций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14.1.40.07005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2 000,0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14.1.40.07005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417,2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14.1.40.07005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1 582,8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14.2.00.00000</w:t>
            </w:r>
          </w:p>
        </w:tc>
        <w:tc>
          <w:tcPr>
            <w:tcW w:w="1188" w:type="dxa"/>
            <w:tcBorders>
              <w:bottom w:val="single" w:sz="4" w:space="0" w:color="000000"/>
              <w:right w:val="single" w:sz="4" w:space="0" w:color="000000"/>
            </w:tcBorders>
            <w:vAlign w:val="center"/>
          </w:tcPr>
          <w:p>
            <w:pPr>
              <w:pStyle w:val="Normal"/>
              <w:jc w:val="center"/>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66 296,6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35 292,8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50 790,1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14.2.10.00000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54 388,0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31 271,1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46 734,6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14.2.10.04516</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4 154,2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14.2.10.04516</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4 154,2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Выравнивание бюджетной обеспеченности поселений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14.2.10.05161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33 501,9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26 899,7</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28 394,4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14.2.10.05161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33 501,9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26 899,7</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28 394,4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межбюджетные трансферты на поддержку мер по обеспечению сбалансированности бюджетов поселений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14.2.10.05213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16 731,9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4 371,4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18 340,2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14.2.10.05213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16 731,9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4 371,4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18 340,2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Повышение финансовой самостоятельности бюджетов поселений района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11 908,6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900,5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934,3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иных межбюджетных трансфертов из фонда поддержки территорий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14.2.20.22000</w:t>
            </w:r>
          </w:p>
        </w:tc>
        <w:tc>
          <w:tcPr>
            <w:tcW w:w="1188" w:type="dxa"/>
            <w:tcBorders>
              <w:bottom w:val="single" w:sz="4" w:space="0" w:color="000000"/>
              <w:right w:val="single" w:sz="4" w:space="0" w:color="000000"/>
            </w:tcBorders>
            <w:vAlign w:val="center"/>
          </w:tcPr>
          <w:p>
            <w:pPr>
              <w:pStyle w:val="Normal"/>
              <w:jc w:val="center"/>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97,6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14.2.20.22000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97,6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14.2.20.51180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891,8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900,5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934,3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14.2.20.51180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891,8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900,5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934,3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межбюджетные трансферты на 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деятельности"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14.2.20.74800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14.2.20.74800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606,6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606,6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реализацию проекта инициативного бюджетирования "Вам решать!" (обустройство детской спортивной площадки на ул.Фруктовая в р.п.Шаранга Шарангского муниципального района Нижегородской области)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1 048,5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1 048,5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реализацию проекта инициативного бюджетирования "Вам решать!" (ремонт автомобильной дороги по ул.Колхозная в с.Большая Рудка)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14.2.20.S2602</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2 179,0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14.2.20.S2602</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2 179,0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реализацию проекта инициативного бюджетирования "Вам решать!" (ремонт автомобильной дороги в с.Большое Устинское, ул .Садовая, ул.Советская от д.1 до д.15)</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974,3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974,3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реализацию проекта инициативного бюджетирования "Вам решать!" (обустройство детской площадки в д.Козлянур Шарангского муниципального района )</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14.2.20.S2604</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14.2.20.S2604</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реализацию проекта инициативного бюджетирования "Вам решать!" (благоустройство сквера у памятника воинам землякам в д.Мосуново погибшим ВОВ)</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169,1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169,1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реализацию проекта инициативного бюджетирования "Вам решать!" (благоустройство территории зоны отдыха в д.Черномуж Шарангского района Нижегородской области)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14.2.20.S2606</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735,6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14.2.20.S2606</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735,6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реализацию проекта инициативного бюджетирования "Вам решать!" (обустройство детской площадки в д.Поздеево Шарангского муниципального района )</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14.2.20.S2607</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361,5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14.2.20.S2607</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361,5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реализацию проекта инициативного бюджетирования "Вам решать!" (ремонт участков автомобильной дороги в д.Поздеево Шарангского муниципального района )</w:t>
            </w:r>
          </w:p>
        </w:tc>
        <w:tc>
          <w:tcPr>
            <w:tcW w:w="1663" w:type="dxa"/>
            <w:tcBorders>
              <w:bottom w:val="single" w:sz="4" w:space="0" w:color="000000"/>
              <w:right w:val="single" w:sz="4" w:space="0" w:color="000000"/>
            </w:tcBorders>
            <w:vAlign w:val="center"/>
          </w:tcPr>
          <w:p>
            <w:pPr>
              <w:pStyle w:val="Normal"/>
              <w:jc w:val="center"/>
              <w:rPr/>
            </w:pPr>
            <w:r>
              <w:rPr>
                <w:sz w:val="24"/>
                <w:szCs w:val="24"/>
              </w:rPr>
              <w:t>14.2.20.S2608</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1 416,0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14.2.20.S2608</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1 416,0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реализацию проекта инициативного бюджетирования "Вам решать!" (обустройство кладбища в с.Старая Рудка )</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824,8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824,8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реализацию проекта инициативного бюджетирования "Вам решать!" (ремонт участков автодороги по ул.Родниковая в р.п.Шаранга Шарангского муниципального района Нижегородской области )</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14.2.20.S260A</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pPr>
            <w:r>
              <w:rPr>
                <w:sz w:val="24"/>
                <w:szCs w:val="24"/>
              </w:rPr>
              <w:t>1 803,8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14.2.20.S260A</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1 803,8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поддержку государственных программ субъектов РФ и муниципальных программ формирования современной городской среды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14.2.F2.55550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3 121,2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3 121,2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14.2.F2.55550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3 121,2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3 121,2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"Обеспечение реализации муниципальной программы"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14.4.00.00000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11 000,7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10 603,1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10 603,1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деятельности финансового управления администрации Шарангского муниципального района</w:t>
            </w:r>
          </w:p>
        </w:tc>
        <w:tc>
          <w:tcPr>
            <w:tcW w:w="1663" w:type="dxa"/>
            <w:tcBorders>
              <w:bottom w:val="single" w:sz="4" w:space="0" w:color="000000"/>
              <w:right w:val="single" w:sz="4" w:space="0" w:color="000000"/>
            </w:tcBorders>
            <w:vAlign w:val="center"/>
          </w:tcPr>
          <w:p>
            <w:pPr>
              <w:pStyle w:val="Normal"/>
              <w:jc w:val="center"/>
              <w:rPr/>
            </w:pPr>
            <w:r>
              <w:rPr>
                <w:sz w:val="24"/>
                <w:szCs w:val="24"/>
              </w:rPr>
              <w:t>14.4.01.00000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11 000,7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10 603,1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10 603,1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функций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14.4.01.20401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11 000,7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10 603,1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10 603,1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14.4.01.20401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10 085,2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9 611,1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9 611,1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14.4.01.20401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915,5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992,0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992,0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«Развитие физической культуры и спорта Шарангского муниципального района на 2020 - 2024 годы»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15.0.00.00000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53 797,3</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46 701,9</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50 599,6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"Развитие физической культуры и массового спорта"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15.1.00.00000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51 748,7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44 700,7</w:t>
            </w:r>
          </w:p>
        </w:tc>
        <w:tc>
          <w:tcPr>
            <w:tcW w:w="1418" w:type="dxa"/>
            <w:tcBorders>
              <w:bottom w:val="single" w:sz="4" w:space="0" w:color="000000"/>
              <w:right w:val="single" w:sz="4" w:space="0" w:color="000000"/>
            </w:tcBorders>
            <w:vAlign w:val="center"/>
          </w:tcPr>
          <w:p>
            <w:pPr>
              <w:pStyle w:val="Normal"/>
              <w:jc w:val="center"/>
              <w:rPr/>
            </w:pPr>
            <w:r>
              <w:rPr>
                <w:sz w:val="24"/>
                <w:szCs w:val="24"/>
              </w:rPr>
              <w:t>48 598,4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Проведение физкультурно-массовых мероприятий среди различных категорий населения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15.1.01.00000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286,7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286,7</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286,7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Мероприятия в области спорта и физической культуры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15.1.01.11020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286,7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286,7</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286,7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15.1.01.11020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173,0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173,0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173,0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15.1.01.11020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113,7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113,7</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113,7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деятельности муниципальных учреждений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15.1.02.00000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51 462,0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44 414,0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48 311,7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выполнения МАУ"ФОК в р.п.Шаранга Нижегородской области" муниципального задания по оказанию услуг</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15.1.02.11120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28 172,6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44 414,0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19 093,1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15.1.02.11120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28 172,6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44 414,0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19 093,1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15.1.02.S2090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22 900,6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29 218,6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15.1.02.S2090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22 900,6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29 218,6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15.1.02.S2190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388,8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15.1.02.S2190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388,8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"Развитие спорта высших достижений и системы подготовки спортивного резерва"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15.2.00.00000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Проведение межрайонных , областных соревнований, обеспечение участия спортсменов в официальных соревнованиях</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15.2.01.00000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Мероприятия в области спорта и физической культуры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15.2.01.11020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15.2.01.11020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147,0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147,0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147,0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15.2.01.11020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279,3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279,3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279,3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"Обеспечение реализации муниципальной программы"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15.3.00.00000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1 622,3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1 574,9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1 574,9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реализации муниципальной программы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15.3.01.00000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1 622,3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1 574,9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1 574,9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реализации муниципальной программы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15.3.01.11220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1 602,3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1 574,9</w:t>
            </w:r>
          </w:p>
        </w:tc>
        <w:tc>
          <w:tcPr>
            <w:tcW w:w="1418" w:type="dxa"/>
            <w:tcBorders>
              <w:bottom w:val="single" w:sz="4" w:space="0" w:color="000000"/>
              <w:right w:val="single" w:sz="4" w:space="0" w:color="000000"/>
            </w:tcBorders>
            <w:vAlign w:val="center"/>
          </w:tcPr>
          <w:p>
            <w:pPr>
              <w:pStyle w:val="Normal"/>
              <w:jc w:val="center"/>
              <w:rPr/>
            </w:pPr>
            <w:r>
              <w:rPr>
                <w:sz w:val="24"/>
                <w:szCs w:val="24"/>
              </w:rPr>
              <w:t>1 574,9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15.3.01.11220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902,3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874,1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874,1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15.3.01.11220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700,8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700,8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15.3.01.S2190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pPr>
            <w:r>
              <w:rPr>
                <w:sz w:val="24"/>
                <w:szCs w:val="24"/>
              </w:rPr>
              <w:t>20,0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15.3.01.S2190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"Развитие образования Шарангского муниципального района"</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16.0.00.00000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323 407,0</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285 382,3</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288 561,8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"Развитие общего образования"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231 351,1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226 036,4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226 040,7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Создание механизмов мотивации педагогов к повышению качества работы и непрерывному профессиональному развитию</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16.1.06.00000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7 945,1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7 847,1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7 847,1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16.1.06.53030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7 847,1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7 847,1</w:t>
            </w:r>
          </w:p>
        </w:tc>
        <w:tc>
          <w:tcPr>
            <w:tcW w:w="1418" w:type="dxa"/>
            <w:tcBorders>
              <w:bottom w:val="single" w:sz="4" w:space="0" w:color="000000"/>
              <w:right w:val="single" w:sz="4" w:space="0" w:color="000000"/>
            </w:tcBorders>
            <w:vAlign w:val="center"/>
          </w:tcPr>
          <w:p>
            <w:pPr>
              <w:pStyle w:val="Normal"/>
              <w:jc w:val="center"/>
              <w:rPr/>
            </w:pPr>
            <w:r>
              <w:rPr>
                <w:sz w:val="24"/>
                <w:szCs w:val="24"/>
              </w:rPr>
              <w:t>7 847,1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16.1.06.53030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7 847,1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7 847,1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7 847,1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межбюджетные трансферты на поощрение муниципальных управленческих команд в 2021 году</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16.1.06.5549F</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98,0</w:t>
            </w:r>
          </w:p>
        </w:tc>
        <w:tc>
          <w:tcPr>
            <w:tcW w:w="1417" w:type="dxa"/>
            <w:tcBorders>
              <w:bottom w:val="single" w:sz="4" w:space="0" w:color="000000"/>
              <w:right w:val="single" w:sz="4" w:space="0" w:color="000000"/>
            </w:tcBorders>
            <w:vAlign w:val="center"/>
          </w:tcPr>
          <w:p>
            <w:pPr>
              <w:pStyle w:val="Normal"/>
              <w:jc w:val="center"/>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16.1.06.5549F</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98,0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16.1.07.00000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221 428,0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217 637,8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217 642,1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деятельности вводимых в эксплуатацию новых объектов</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16.1.07.42000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447,9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pPr>
            <w:r>
              <w:rPr>
                <w:sz w:val="24"/>
                <w:szCs w:val="24"/>
              </w:rPr>
              <w:t>16.1.07.42000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447,9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16.1.07.42099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40 216,4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39 676,9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39 676,9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16.1.07.42099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40 216,4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39 676,9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39 676,9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16.1.07.42199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29 089,8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28 835,4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28 839,7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16.1.07.42199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29 089,8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28 835,4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28 839,7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16.1.07.73070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96 889,2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96 754,9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96 754,9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16.1.07.73070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96 889,2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96 754,9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96 754,9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16.1.07.73080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51 335,1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50 385,5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50 385,5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16.1.07.73080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51 335,1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50 385,5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50 385,5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16.1.07.S2190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1 251,1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16.1.07.S2190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1 251,1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16.1.07.S2490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2 198,5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1 985,1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1 985,1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16.1.07.S2490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2 198,5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1 985,1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1 985,1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деятельности общеобразовательных учреждений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16.1.08.00000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432,0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551,5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551,5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16.1.08.42199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51,0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51,0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51,0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16.1.08.42199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51,0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51,0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51,0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16.1.08.73070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190,0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16.1.08.73070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190,0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16.1.08.73140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191,0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300,5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300,5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16.1.08.73140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191,0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300,5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300,5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иных межбюджетных трансфертов на финансовое обеспечение деятельности центров образования цифрового и гуманитарного профилей "Точка роста"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16.1.E1.74590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1 532,6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16.1.E1.74590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1 532,6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Предупреждение распространения, профилактики, диагностика и лечение от новой коронавирусной инфекции (COVID-19)</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16.1.С1.00000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13,4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16.1.С1.42099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12,4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16.1.С1.42099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12,4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16.1.С1.42199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16.1.С1.42199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"Развитие дополнительного образования и воспитания детей"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12 621,3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14 019,4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14 019,4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деятельности учреждений по внешкольной работе с детьми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8 466,9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10 198,5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10 198,5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16.2.02.42399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8 393,8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10 198,5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10 198,5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16.2.02.42399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8 393,8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10 198,5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10 198,5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16.2.02.S2190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73,1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16.2.02.S2190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73,1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Оздоровление детей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16.2.09.00000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1 253,1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2 034,1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2 034,1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Организация отдыха и оздоровления детей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16.2.09.43101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1 253,1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1 748,0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1 748,0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Социальное обеспечение и иные выплаты населению</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16.2.09.43101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464,4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464,4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16.2.09.43101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1 253,1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1 283,6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1 283,6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16.2.09.73320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286,1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286,1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16.2.09.73320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13,6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13,6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Социальное обеспечение и иные выплаты населению</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16.2.09.73320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272,5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272,5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Функционирование модели персонифицированного финансирования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16.2.13.00000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2 901,3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1 786,8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1 786,8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функционирования модели персонифицированного финансирования дополнительного образования детей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16.2.13.42399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2 901,3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1 786,8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1 786,8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16.2.13.42399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2 901,3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1 751,8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1 751,8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16.2.13.42399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«Патриотическое воспитание детей Шарангского муниципального района»</w:t>
            </w:r>
          </w:p>
        </w:tc>
        <w:tc>
          <w:tcPr>
            <w:tcW w:w="1663" w:type="dxa"/>
            <w:tcBorders>
              <w:bottom w:val="single" w:sz="4" w:space="0" w:color="000000"/>
              <w:right w:val="single" w:sz="4" w:space="0" w:color="000000"/>
            </w:tcBorders>
            <w:vAlign w:val="center"/>
          </w:tcPr>
          <w:p>
            <w:pPr>
              <w:pStyle w:val="Normal"/>
              <w:jc w:val="center"/>
              <w:rPr/>
            </w:pPr>
            <w:r>
              <w:rPr>
                <w:sz w:val="24"/>
                <w:szCs w:val="24"/>
              </w:rPr>
              <w:t>16.4.00.00000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75,1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Проведение комплекса мероприятий по патриотическому воспитанию у детей Шарангского муниципального района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16.4.08.00000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75,1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16.4.08.42199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75,1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16.4.08.42199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75,1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"Ресурсное обеспечение сферы образования в Шарангском муниципальном районе"</w:t>
            </w:r>
          </w:p>
        </w:tc>
        <w:tc>
          <w:tcPr>
            <w:tcW w:w="1663" w:type="dxa"/>
            <w:tcBorders>
              <w:bottom w:val="single" w:sz="4" w:space="0" w:color="000000"/>
              <w:right w:val="single" w:sz="4" w:space="0" w:color="000000"/>
            </w:tcBorders>
            <w:vAlign w:val="center"/>
          </w:tcPr>
          <w:p>
            <w:pPr>
              <w:pStyle w:val="Normal"/>
              <w:jc w:val="center"/>
              <w:rPr/>
            </w:pPr>
            <w:r>
              <w:rPr>
                <w:sz w:val="24"/>
                <w:szCs w:val="24"/>
              </w:rPr>
              <w:t>16.5.00.00000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39 859,3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6 981,5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10 227,4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Муниципальные педагогические конференции, торжественные мероприятия с педагогами, праздничные приемы, юбилейные мероприятия подведомственных ОУ</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16.5.03.00000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16.5.03.42199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16.5.03.42199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pPr>
            <w:r>
              <w:rPr>
                <w:sz w:val="24"/>
                <w:szCs w:val="24"/>
              </w:rPr>
              <w:t>Укрепление материально-технической базы, ремонт ОУ</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16.5.04.00000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38 542,9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5 675,9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8 921,8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оборудованием и инвентарем в целях ввода в эксплуатацию новых объектов</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16.5.04.42000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6 162,4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pPr>
            <w:r>
              <w:rPr>
                <w:sz w:val="24"/>
                <w:szCs w:val="24"/>
              </w:rPr>
              <w:t>16.5.04.42000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6 162,4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Укрепление материально- технической базы, ремонт МБДОУ</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16.5.04.42099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986,7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16.5.04.42099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986,7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Укрепление материально-технической базы, ремонт МБОУ</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16.5.04.42199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3 811,7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16.5.04.42199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3 811,7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приобретение школьных автобусов в лизинг</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16.5.04.42620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284,6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284,6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284,6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16.5.04.42620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284,6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284,6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284,6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реализацию проектов комплексного развития сельских территорий (сельских агломераций)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16.5.04.L5760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23 709,6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Капитальные вложения в объекты государственной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16.5.04.L5760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23 709,6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капитальный ремонт образовательных организаций , реализующих общеобразовательные программы Нижегородской области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16.5.04.S2180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3 587,9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5 391,3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8 637,2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16.5.04.S2180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3 587,9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5 391,3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8 637,2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Реализация планов мероприятий противопожарной безопасности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16.5.05.00000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974,4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963,6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963,6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16.5.05.42099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564,0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553,2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553,2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16.5.05.42099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564,0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553,2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553,2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16.5.05.42199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377,4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377,4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377,4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16.5.05.42199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377,4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377,4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377,4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16.5.05.42399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16.5.05.42399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«Социально-правовая защита детей в Шарангском муниципальном районе»</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9 547,2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10 348,5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10 277,8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Совершенствование системы социально-правовой защиты детей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pPr>
            <w:r>
              <w:rPr>
                <w:sz w:val="24"/>
                <w:szCs w:val="24"/>
              </w:rPr>
              <w:t>9 547,2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10 348,5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10 277,8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16.6.01.42199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16.6.01.42199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pPr>
            <w:r>
              <w:rPr>
                <w:sz w:val="24"/>
                <w:szCs w:val="24"/>
              </w:rPr>
              <w:t>10,0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16.6.01.73020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468,7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465,4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465,4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16.6.01.73020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440,7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437,4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437,4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16.6.01.73020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28,0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28,0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28,0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16.6.01.73110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1 676,7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2 024,2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2 024,2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16.6.01.73110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24,7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29,9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29,9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Социальное обеспечение и иные выплаты населению</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16.6.01.73110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1 652,0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1 994,3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1 994,3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 же за детьми с туберкулезной интоксикацией , обучающимися в муниципальных образовательных организациях, реализующих образовательные программы дошкольного образования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16.6.01.73170</w:t>
            </w:r>
          </w:p>
        </w:tc>
        <w:tc>
          <w:tcPr>
            <w:tcW w:w="1188" w:type="dxa"/>
            <w:tcBorders>
              <w:bottom w:val="single" w:sz="4" w:space="0" w:color="000000"/>
              <w:right w:val="single" w:sz="4" w:space="0" w:color="000000"/>
            </w:tcBorders>
            <w:vAlign w:val="center"/>
          </w:tcPr>
          <w:p>
            <w:pPr>
              <w:pStyle w:val="Normal"/>
              <w:jc w:val="center"/>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278,1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464,1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464,1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16.6.01.73170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278,1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464,1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464,1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16.6.01.73180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1 039,2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1 039,2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1 039,2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16.6.01.73180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1 039,2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1 039,2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1 039,2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организацию бесплатного горячего питания обучающихся, получающих начальное общее образование в муниципальных образовательных организациях</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16.6.01.L3040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6 074,5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6 345,6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6 274,9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16.6.01.L3040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6 074,5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6 345,6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6 274,9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«Молодежь»</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16.7.00.00000</w:t>
            </w:r>
          </w:p>
        </w:tc>
        <w:tc>
          <w:tcPr>
            <w:tcW w:w="1188" w:type="dxa"/>
            <w:tcBorders>
              <w:bottom w:val="single" w:sz="4" w:space="0" w:color="000000"/>
              <w:right w:val="single" w:sz="4" w:space="0" w:color="000000"/>
            </w:tcBorders>
            <w:vAlign w:val="center"/>
          </w:tcPr>
          <w:p>
            <w:pPr>
              <w:pStyle w:val="Normal"/>
              <w:jc w:val="center"/>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Комплекс мероприятий, направленных на становление духовно-нравственного и патриотического воспитания молодежи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16.7.02.00000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1663" w:type="dxa"/>
            <w:tcBorders>
              <w:bottom w:val="single" w:sz="4" w:space="0" w:color="000000"/>
              <w:right w:val="single" w:sz="4" w:space="0" w:color="000000"/>
            </w:tcBorders>
            <w:vAlign w:val="center"/>
          </w:tcPr>
          <w:p>
            <w:pPr>
              <w:pStyle w:val="Normal"/>
              <w:jc w:val="center"/>
              <w:rPr/>
            </w:pPr>
            <w:r>
              <w:rPr>
                <w:sz w:val="24"/>
                <w:szCs w:val="24"/>
              </w:rPr>
              <w:t>16.7.02.42199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16.7.02.42199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Подпрограмма « Обеспечение реализации муниципальной программы»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16.8.00.00000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29 883,0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27 850,5</w:t>
            </w:r>
          </w:p>
        </w:tc>
        <w:tc>
          <w:tcPr>
            <w:tcW w:w="1418" w:type="dxa"/>
            <w:tcBorders>
              <w:bottom w:val="single" w:sz="4" w:space="0" w:color="000000"/>
              <w:right w:val="single" w:sz="4" w:space="0" w:color="000000"/>
            </w:tcBorders>
            <w:vAlign w:val="center"/>
          </w:tcPr>
          <w:p>
            <w:pPr>
              <w:pStyle w:val="Normal"/>
              <w:jc w:val="center"/>
              <w:rPr/>
            </w:pPr>
            <w:r>
              <w:rPr>
                <w:sz w:val="24"/>
                <w:szCs w:val="24"/>
              </w:rPr>
              <w:t>27 850,5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Содержание аппарата 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16.8.01.00000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3 495,6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3 515,1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3 515,1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функций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16.8.01.20401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3 495,6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3 515,1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3 515,1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16.8.01.20401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3 459,2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3 478,7</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3 478,7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pPr>
            <w:r>
              <w:rPr>
                <w:sz w:val="24"/>
                <w:szCs w:val="24"/>
              </w:rPr>
              <w:t>16.8.01.20401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36,4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36,4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36,4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16.8.02.00000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605,3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602,6</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602,6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16.8.02.73010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605,3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602,6</w:t>
            </w:r>
          </w:p>
        </w:tc>
        <w:tc>
          <w:tcPr>
            <w:tcW w:w="1418" w:type="dxa"/>
            <w:tcBorders>
              <w:bottom w:val="single" w:sz="4" w:space="0" w:color="000000"/>
              <w:right w:val="single" w:sz="4" w:space="0" w:color="000000"/>
            </w:tcBorders>
            <w:vAlign w:val="center"/>
          </w:tcPr>
          <w:p>
            <w:pPr>
              <w:pStyle w:val="Normal"/>
              <w:jc w:val="center"/>
              <w:rPr/>
            </w:pPr>
            <w:r>
              <w:rPr>
                <w:sz w:val="24"/>
                <w:szCs w:val="24"/>
              </w:rPr>
              <w:t>602,6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16.8.02.73010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409,8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394,9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394,9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16.8.02.73010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195,5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207,7</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207,7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16.8.04.00000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25 782,1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23 732,8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23 732,8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Учебно-методические кабинеты, централизованные бухгалтерии и группы хозяйственного обслуживания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16.8.04.45299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25 136,9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23 732,8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23 732,8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16.8.04.45299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22 369,1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21 296,4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21 296,4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16.8.04.45299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pPr>
            <w:r>
              <w:rPr>
                <w:sz w:val="24"/>
                <w:szCs w:val="24"/>
              </w:rPr>
              <w:t>2 761,9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2 436,4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2 436,4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16.8.04.45299</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16.8.04.S2190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645,2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16.8.04.S2190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645,2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"Экология Шарангского муниципального района на 2021 - 2025 годы"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17.0.00.00000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94,8</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94,8</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94,8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Охрана окружающей среды от загрязнения отходами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17.3.00.00000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94,8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94,8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94,8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Услуги по расчету платы за негативное воздействие на окружающую среду</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17.3.09.00000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pPr>
            <w:r>
              <w:rPr>
                <w:sz w:val="24"/>
                <w:szCs w:val="24"/>
              </w:rPr>
              <w:t>94,8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94,8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94,8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Мероприятия в области охраны окружающей среды (кроме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86,3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86,3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86,3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81,5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81,5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81,5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Мероприятия в области охраны окружающей среды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17.3.09.20401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8,5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8,5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17.3.09.20401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8,5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8,5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«Профилактика безнадзорности и правонарушений несовершеннолетних в Шарангском муниципальном районе на 2021-2023 годы»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18.0.00.00000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25,0</w:t>
            </w:r>
          </w:p>
        </w:tc>
        <w:tc>
          <w:tcPr>
            <w:tcW w:w="1417" w:type="dxa"/>
            <w:tcBorders>
              <w:bottom w:val="single" w:sz="4" w:space="0" w:color="000000"/>
              <w:right w:val="single" w:sz="4" w:space="0" w:color="000000"/>
            </w:tcBorders>
            <w:vAlign w:val="center"/>
          </w:tcPr>
          <w:p>
            <w:pPr>
              <w:pStyle w:val="Normal"/>
              <w:jc w:val="center"/>
              <w:rPr/>
            </w:pPr>
            <w:r>
              <w:rPr>
                <w:b/>
                <w:sz w:val="24"/>
                <w:szCs w:val="24"/>
              </w:rPr>
              <w:t>25,0</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25,0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Организация проведения мероприятий, направленных на профилактику правонарушений и преступлений несовершеннолетних</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18.1.00.00000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Организация проведения мероприятий, направленных на профилактику правонарушений и преступлений несовершеннолетних</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18.1.01.00000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Организация конкурсов , соревнований и фестиваля по профилактике правонарушений и преступлений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18.1.01.14010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18.1.01.14010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"Переселение граждан из аварийного жилищного фонда на территории Шарангского муниципального района, в том числе с учетом необходимости развития малоэтажного жилищного строительства на 2019-2023 годы"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20.0.00.00000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8 027,7</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88,0</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9 802,6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мероприятий по переселению граждан из аварийного жилищного фонда (2 этап)</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20.2.00.03503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78,7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pPr>
            <w:r>
              <w:rPr>
                <w:sz w:val="24"/>
                <w:szCs w:val="24"/>
              </w:rPr>
              <w:t>20.2.00.03503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78,7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мероприятий по переселению граждан из аварийного жилищного фонда за счет средств корпорации - Фонда содействия реформированию жилищно-коммунального хозяйства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20.3.F3.67483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3 552,5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Капитальные вложения в объекты государственной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20.3.F3.67483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3 552,5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мероприятий по переселению граждан из аварийного жилищного фонда за счет средств областного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20.3.F3.67484</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120,3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Капитальные вложения в объекты государственной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20.3.F3.67484</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120,3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мероприятий по переселению граждан из аварийного жилищного фонда за счет средств местного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20.3.F3.6748S</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30,1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Капитальные вложения в объекты государственной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20.3.F3.6748S</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30,1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мероприятий по переселению граждан из аварийного жилищного фонда за счет средств корпорации - Фонда содействия реформированию жилищно-коммунального хозяйства</w:t>
            </w:r>
          </w:p>
        </w:tc>
        <w:tc>
          <w:tcPr>
            <w:tcW w:w="1663" w:type="dxa"/>
            <w:tcBorders>
              <w:bottom w:val="single" w:sz="4" w:space="0" w:color="000000"/>
              <w:right w:val="single" w:sz="4" w:space="0" w:color="000000"/>
            </w:tcBorders>
            <w:vAlign w:val="center"/>
          </w:tcPr>
          <w:p>
            <w:pPr>
              <w:pStyle w:val="Normal"/>
              <w:jc w:val="center"/>
              <w:rPr/>
            </w:pPr>
            <w:r>
              <w:rPr>
                <w:sz w:val="24"/>
                <w:szCs w:val="24"/>
              </w:rPr>
              <w:t>20.4.F3.67483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4 076,2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9 355,8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Капитальные вложения в объекты государственной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20.4.F3.67483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4 076,2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9 355,8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мероприятий по переселению граждан из аварийного жилищного фонда за счет средств областного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20.4.F3.67484</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135,9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311,8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Капитальные вложения в объекты государственной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20.4.F3.67484</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135,9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311,8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мероприятий по переселению граждан из аварийного жилищного фонда за счет средств местного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20.4.F3.6748S</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34,0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38,0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Капитальные вложения в объекты государственной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20.4.F3.6748S</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34,0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38,0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мероприятий по переселению граждан из аварийного жилищного фонда за счет средств местного бюджета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20.5.F3.6748S</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85,0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Капитальные вложения в объекты государственной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20.5.F3.6748S</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85,0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21.0.00.00000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455,0</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405,0</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1 405,0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21.1.00.00000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455,0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405,0</w:t>
            </w:r>
          </w:p>
        </w:tc>
        <w:tc>
          <w:tcPr>
            <w:tcW w:w="1418" w:type="dxa"/>
            <w:tcBorders>
              <w:bottom w:val="single" w:sz="4" w:space="0" w:color="000000"/>
              <w:right w:val="single" w:sz="4" w:space="0" w:color="000000"/>
            </w:tcBorders>
            <w:vAlign w:val="center"/>
          </w:tcPr>
          <w:p>
            <w:pPr>
              <w:pStyle w:val="Normal"/>
              <w:jc w:val="center"/>
              <w:rPr/>
            </w:pPr>
            <w:r>
              <w:rPr>
                <w:sz w:val="24"/>
                <w:szCs w:val="24"/>
              </w:rPr>
              <w:t>1 405,0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 а также качественное развитие процесса разграничения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21.1.01.00000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pPr>
            <w:r>
              <w:rPr>
                <w:sz w:val="24"/>
                <w:szCs w:val="24"/>
              </w:rPr>
              <w:t>50,0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Оценка недвижимости, признание прав и регулирование отношений по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21.1.01.90020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21.1.01.90020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418" w:type="dxa"/>
            <w:tcBorders>
              <w:bottom w:val="single" w:sz="4" w:space="0" w:color="000000"/>
              <w:right w:val="single" w:sz="4" w:space="0" w:color="000000"/>
            </w:tcBorders>
            <w:vAlign w:val="center"/>
          </w:tcPr>
          <w:p>
            <w:pPr>
              <w:pStyle w:val="Normal"/>
              <w:jc w:val="center"/>
              <w:rPr/>
            </w:pPr>
            <w:r>
              <w:rPr>
                <w:sz w:val="24"/>
                <w:szCs w:val="24"/>
              </w:rPr>
              <w:t>50,0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Проведение кадастровых работ, разработка проектов планировки и межевания, изготовление топографических съемок, публикация в СМИ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21.1.02.00000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405,0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355,0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1 355,0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Мероприятия по землеустройству и землепользованию</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21.1.02.03403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405,0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355,0</w:t>
            </w:r>
          </w:p>
        </w:tc>
        <w:tc>
          <w:tcPr>
            <w:tcW w:w="1418" w:type="dxa"/>
            <w:tcBorders>
              <w:bottom w:val="single" w:sz="4" w:space="0" w:color="000000"/>
              <w:right w:val="single" w:sz="4" w:space="0" w:color="000000"/>
            </w:tcBorders>
            <w:vAlign w:val="center"/>
          </w:tcPr>
          <w:p>
            <w:pPr>
              <w:pStyle w:val="Normal"/>
              <w:jc w:val="center"/>
              <w:rPr/>
            </w:pPr>
            <w:r>
              <w:rPr>
                <w:sz w:val="24"/>
                <w:szCs w:val="24"/>
              </w:rPr>
              <w:t>1 355,0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21.1.02.03403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405,0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355,0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1 355,0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1663" w:type="dxa"/>
            <w:tcBorders>
              <w:bottom w:val="single" w:sz="4" w:space="0" w:color="000000"/>
              <w:right w:val="single" w:sz="4" w:space="0" w:color="000000"/>
            </w:tcBorders>
            <w:vAlign w:val="center"/>
          </w:tcPr>
          <w:p>
            <w:pPr>
              <w:pStyle w:val="Normal"/>
              <w:jc w:val="center"/>
              <w:rPr/>
            </w:pPr>
            <w:r>
              <w:rPr>
                <w:b/>
                <w:sz w:val="24"/>
                <w:szCs w:val="24"/>
              </w:rPr>
              <w:t>22.0.00.00000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6 785,0</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0,0</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15 918,3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Проектно-изыскательские работы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22.0.01.00000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3 700,0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15 918,3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Бюджетные инвестиции в объекты капитального строительства собственности муниципальных образований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22.0.01.01020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3 700,0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Капитальные вложения в объекты государственной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22.0.01.01020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3 700,0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Реализация мероприятий в рамках адресной инвестиционной программы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22.0.01.S2450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15 918,3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Капитальные вложения в объекты государственной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22.0.01.S2450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15 918,3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Прочее</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22.0.03.00000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3 085,0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Мероприятия в области коммунального хозяйства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22.0.03.03515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2 760,0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22.0.03.03515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380,0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Капитальные вложения в объекты государственной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22.0.03.03515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1 430,0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22.0.03.03515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950,0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проектирование и строительство (реконструкцию) автомобильных дорог общего пользования местного значения муниципальных образований Нижегородской области, в том числе на строительство объектов скоростного внеуличного транспорта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22.0.03.S2200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325,0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pPr>
            <w:r>
              <w:rPr>
                <w:sz w:val="24"/>
                <w:szCs w:val="24"/>
              </w:rPr>
              <w:t>22.0.03.S2200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325,0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sz w:val="24"/>
                <w:szCs w:val="24"/>
              </w:rPr>
            </w:pPr>
            <w:r>
              <w:rPr>
                <w:b/>
                <w:sz w:val="24"/>
                <w:szCs w:val="24"/>
              </w:rPr>
              <w:t>Непрограммные расходы</w:t>
            </w:r>
          </w:p>
        </w:tc>
        <w:tc>
          <w:tcPr>
            <w:tcW w:w="1663" w:type="dxa"/>
            <w:tcBorders>
              <w:bottom w:val="single" w:sz="4" w:space="0" w:color="000000"/>
              <w:right w:val="single" w:sz="4" w:space="0" w:color="000000"/>
            </w:tcBorders>
            <w:vAlign w:val="center"/>
          </w:tcPr>
          <w:p>
            <w:pPr>
              <w:pStyle w:val="Normal"/>
              <w:jc w:val="center"/>
              <w:rPr>
                <w:b/>
                <w:b/>
                <w:sz w:val="24"/>
                <w:szCs w:val="24"/>
              </w:rPr>
            </w:pPr>
            <w:r>
              <w:rPr>
                <w:b/>
                <w:sz w:val="24"/>
                <w:szCs w:val="24"/>
              </w:rPr>
              <w:t>88.0.00.00000</w:t>
            </w:r>
          </w:p>
        </w:tc>
        <w:tc>
          <w:tcPr>
            <w:tcW w:w="1188" w:type="dxa"/>
            <w:tcBorders>
              <w:bottom w:val="single" w:sz="4" w:space="0" w:color="000000"/>
              <w:right w:val="single" w:sz="4" w:space="0" w:color="000000"/>
            </w:tcBorders>
            <w:vAlign w:val="center"/>
          </w:tcPr>
          <w:p>
            <w:pPr>
              <w:pStyle w:val="Normal"/>
              <w:jc w:val="center"/>
              <w:rPr>
                <w:b/>
                <w:b/>
                <w:sz w:val="24"/>
                <w:szCs w:val="24"/>
              </w:rPr>
            </w:pPr>
            <w:r>
              <w:rPr>
                <w:b/>
                <w:sz w:val="24"/>
                <w:szCs w:val="24"/>
              </w:rPr>
              <w:t>000</w:t>
            </w:r>
          </w:p>
        </w:tc>
        <w:tc>
          <w:tcPr>
            <w:tcW w:w="1331" w:type="dxa"/>
            <w:tcBorders>
              <w:bottom w:val="single" w:sz="4" w:space="0" w:color="000000"/>
              <w:right w:val="single" w:sz="4" w:space="0" w:color="000000"/>
            </w:tcBorders>
            <w:vAlign w:val="center"/>
          </w:tcPr>
          <w:p>
            <w:pPr>
              <w:pStyle w:val="Normal"/>
              <w:jc w:val="center"/>
              <w:rPr>
                <w:b/>
                <w:b/>
                <w:sz w:val="24"/>
                <w:szCs w:val="24"/>
              </w:rPr>
            </w:pPr>
            <w:r>
              <w:rPr>
                <w:b/>
                <w:sz w:val="24"/>
                <w:szCs w:val="24"/>
              </w:rPr>
              <w:t>54 621,0</w:t>
            </w:r>
          </w:p>
        </w:tc>
        <w:tc>
          <w:tcPr>
            <w:tcW w:w="1417" w:type="dxa"/>
            <w:tcBorders>
              <w:bottom w:val="single" w:sz="4" w:space="0" w:color="000000"/>
              <w:right w:val="single" w:sz="4" w:space="0" w:color="000000"/>
            </w:tcBorders>
            <w:vAlign w:val="center"/>
          </w:tcPr>
          <w:p>
            <w:pPr>
              <w:pStyle w:val="Normal"/>
              <w:jc w:val="center"/>
              <w:rPr>
                <w:b/>
                <w:b/>
                <w:sz w:val="24"/>
                <w:szCs w:val="24"/>
              </w:rPr>
            </w:pPr>
            <w:r>
              <w:rPr>
                <w:b/>
                <w:sz w:val="24"/>
                <w:szCs w:val="24"/>
              </w:rPr>
              <w:t>45 341,8</w:t>
            </w:r>
          </w:p>
        </w:tc>
        <w:tc>
          <w:tcPr>
            <w:tcW w:w="1418" w:type="dxa"/>
            <w:tcBorders>
              <w:bottom w:val="single" w:sz="4" w:space="0" w:color="000000"/>
              <w:right w:val="single" w:sz="4" w:space="0" w:color="000000"/>
            </w:tcBorders>
            <w:vAlign w:val="center"/>
          </w:tcPr>
          <w:p>
            <w:pPr>
              <w:pStyle w:val="Normal"/>
              <w:jc w:val="center"/>
              <w:rPr>
                <w:b/>
                <w:b/>
                <w:sz w:val="24"/>
                <w:szCs w:val="24"/>
              </w:rPr>
            </w:pPr>
            <w:r>
              <w:rPr>
                <w:b/>
                <w:sz w:val="24"/>
                <w:szCs w:val="24"/>
              </w:rPr>
              <w:t>48 676,4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Непрограммное направление деятельности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54 621,0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45 341,8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48 676,4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Содержание аппарата 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34 481,1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29 947,3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30 918,2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Глава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88.8.01.20300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88.8.01.20300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обеспечение функций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24 874,7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23 126,7</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24 097,6</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18 816,4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18 455,5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18 455,4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pPr>
            <w:r>
              <w:rPr>
                <w:sz w:val="24"/>
                <w:szCs w:val="24"/>
              </w:rPr>
              <w:t>6 038,3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4 671,2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5 642,2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88.8.01.20401</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межбюджетные трансферты на поощрение муниципальных управленческих команд в 2021 году</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88.8.01.5549F</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1 312,0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88.8.01.5549F</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1 192,0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88.8.01.5549F</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120,0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88.8.01.73040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473,0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469,7</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469,7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88.8.01.73040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458,7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440,7</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440,7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88.8.01.73040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14,3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29,0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29,0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88.8.01.73060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396,9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394,2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394,2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88.8.01.73060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366,2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363,5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363,5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88.8.01.73060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30,7</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30,7</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30,7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Прочие выплаты по обязательствам муниципального образования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88.8.01.92035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1 160,1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959,1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959,1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88.8.01.92035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pPr>
            <w:r>
              <w:rPr>
                <w:sz w:val="24"/>
                <w:szCs w:val="24"/>
              </w:rPr>
              <w:t>1 142,1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906,1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906,1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Социальное обеспечение и иные выплаты населению</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88.8.01.92035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35,0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35,0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88.8.01.92035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18,0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18,0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18,0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Учреждения по обеспечению хозяйственного обслуживания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88.8.01.93990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4 228,4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3 078,7</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3 078,7</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88.8.01.93990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2 921,1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2 922,3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2 922,3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88.8.01.93990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1 307,3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156,4</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156,4</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117,1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88.8.01.S2190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117,1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межбюджетных трансфертов вышестоящих бюджетов</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88.8.05.00000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902,5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54,5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иных межбюджетных трансфертов из фонда поддержки территорий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88.8.05.22000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801,9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Социальное обеспечение и иные выплаты населению</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88.8.05.22000</w:t>
            </w:r>
          </w:p>
        </w:tc>
        <w:tc>
          <w:tcPr>
            <w:tcW w:w="1188" w:type="dxa"/>
            <w:tcBorders>
              <w:bottom w:val="single" w:sz="4" w:space="0" w:color="000000"/>
              <w:right w:val="single" w:sz="4" w:space="0" w:color="000000"/>
            </w:tcBorders>
            <w:vAlign w:val="center"/>
          </w:tcPr>
          <w:p>
            <w:pPr>
              <w:pStyle w:val="Normal"/>
              <w:jc w:val="center"/>
              <w:rPr/>
            </w:pPr>
            <w:r>
              <w:rPr>
                <w:sz w:val="24"/>
                <w:szCs w:val="24"/>
              </w:rPr>
              <w:t>300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88.8.05.22000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731,9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88.8.05.51200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12,6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54,5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88.8.05.51200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12,6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54,5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pPr>
            <w:r>
              <w:rPr>
                <w:sz w:val="24"/>
                <w:szCs w:val="24"/>
              </w:rPr>
              <w:t>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 а также по организации проведения мероприятий по предупреждению и ликвидации болезней животных, их лечению, защите населения от болезней, общих для человека и животных</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88.8.05.73310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88,0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88.8.05.73310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88,0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Прочие непрограммные расходы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88.8.06.00000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19 237,4</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15 340,0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17 753,2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Бюджетные инвестиции в объекты капитального строительства собственности муниципальных образований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88.8.06.01020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45,6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Капитальные вложения в объекты государственной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88.8.06.01020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45,6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Капитальный ремонт муниципального жилищного фонда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88.8.06.03502</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175,8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205,9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175,8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88.8.06.03502</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175,8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205,9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175,8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Мероприятия в области жилищного хозяйства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88.8.06.03503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148,3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88.8.06.03503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148,3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Мероприятия в области водного хозяйства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88.8.06.03506</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75,2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88.8.06.03506</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75,2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88.8.06.03513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964,2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964,2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964,2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88.8.06.03513</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964,2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964,2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964,2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Мероприятия в области коммунального хозяйства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88.8.06.03515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4 444,5</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108,2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108,2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88.8.06.03515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4 336,3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88.8.06.03515</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108,2</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108,2</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108,2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Мероприятия в области социальной политики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88.8.06.05140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3 437,0</w:t>
            </w:r>
          </w:p>
        </w:tc>
        <w:tc>
          <w:tcPr>
            <w:tcW w:w="1417" w:type="dxa"/>
            <w:tcBorders>
              <w:bottom w:val="single" w:sz="4" w:space="0" w:color="000000"/>
              <w:right w:val="single" w:sz="4" w:space="0" w:color="000000"/>
            </w:tcBorders>
            <w:vAlign w:val="center"/>
          </w:tcPr>
          <w:p>
            <w:pPr>
              <w:pStyle w:val="Normal"/>
              <w:jc w:val="center"/>
              <w:rPr/>
            </w:pPr>
            <w:r>
              <w:rPr>
                <w:sz w:val="24"/>
                <w:szCs w:val="24"/>
              </w:rPr>
              <w:t>3 387,0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5 387,0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Социальное обеспечение и иные выплаты населению</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88.8.06.05140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3 437,0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3 387,0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5 387,0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Субсидии отдельным общественным организациям и иным некоммерческим объединениям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88.8.06.14050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88.8.06.14050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обеспечение жильем отдельных категорий граждан, установленных ФЗ от 12 января 1995 года №5-ФЗ "О ветеранах"</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88.8.06.51350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1 008,9</w:t>
            </w:r>
          </w:p>
        </w:tc>
        <w:tc>
          <w:tcPr>
            <w:tcW w:w="1418" w:type="dxa"/>
            <w:tcBorders>
              <w:bottom w:val="single" w:sz="4" w:space="0" w:color="000000"/>
              <w:right w:val="single" w:sz="4" w:space="0" w:color="000000"/>
            </w:tcBorders>
            <w:vAlign w:val="center"/>
          </w:tcPr>
          <w:p>
            <w:pPr>
              <w:pStyle w:val="Normal"/>
              <w:jc w:val="center"/>
              <w:rPr/>
            </w:pPr>
            <w:r>
              <w:rPr>
                <w:sz w:val="24"/>
                <w:szCs w:val="24"/>
              </w:rPr>
              <w:t>1 051,2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Социальное обеспечение и иные выплаты населению</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88.8.06.51350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1 008,9</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1 051,2</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межбюджетные трансферты на поощрение муниципальных управленческих команд в 2021 году</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88.8.06.5549F</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Межбюджетные трансферты</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88.8.06.5549F</w:t>
            </w:r>
          </w:p>
        </w:tc>
        <w:tc>
          <w:tcPr>
            <w:tcW w:w="1188" w:type="dxa"/>
            <w:tcBorders>
              <w:bottom w:val="single" w:sz="4" w:space="0" w:color="000000"/>
              <w:right w:val="single" w:sz="4" w:space="0" w:color="000000"/>
            </w:tcBorders>
            <w:vAlign w:val="center"/>
          </w:tcPr>
          <w:p>
            <w:pPr>
              <w:pStyle w:val="Normal"/>
              <w:jc w:val="center"/>
              <w:rPr/>
            </w:pPr>
            <w:r>
              <w:rPr>
                <w:sz w:val="24"/>
                <w:szCs w:val="24"/>
              </w:rPr>
              <w:t>500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88.8.06.73050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pPr>
            <w:r>
              <w:rPr>
                <w:sz w:val="24"/>
                <w:szCs w:val="24"/>
              </w:rPr>
              <w:t>2,3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88.8.06.73050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проведение ремонта жилых помещений собственниками которых являются дети-сироты и дети, оставшихся без попечения родителей, а так же лица из числа детей –сирот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88.8.06.73120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84,9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88.8.06.73120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84,9</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88.8.06.R0820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4 318,6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4 318,5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4 318,5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Капитальные вложения в объекты государственной (муниципальной) собственности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88.8.06.R0820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31" w:type="dxa"/>
            <w:tcBorders>
              <w:bottom w:val="single" w:sz="4" w:space="0" w:color="000000"/>
              <w:right w:val="single" w:sz="4" w:space="0" w:color="000000"/>
            </w:tcBorders>
            <w:vAlign w:val="center"/>
          </w:tcPr>
          <w:p>
            <w:pPr>
              <w:pStyle w:val="Normal"/>
              <w:jc w:val="center"/>
              <w:rPr/>
            </w:pPr>
            <w:r>
              <w:rPr>
                <w:sz w:val="24"/>
                <w:szCs w:val="24"/>
              </w:rPr>
              <w:t>4 318,6</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4 318,5</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4 318,5</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Субсидия СМИ</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88.8.06.S2050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5 261,1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5 261,1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5 261,1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Иные бюджетные ассигнования</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88.8.06.S2050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5 261,1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5 261,1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5 261,1</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Обеспечение доступа к системе электронного документооборота</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88.8.06.S2300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162,1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46,1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447,0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sz w:val="24"/>
                <w:szCs w:val="24"/>
              </w:rPr>
            </w:pPr>
            <w:r>
              <w:rPr>
                <w:sz w:val="24"/>
                <w:szCs w:val="24"/>
              </w:rPr>
              <w:t>Закупка товаров, работ и услуг для обеспечения государственных (муниципальных) нужд</w:t>
            </w:r>
          </w:p>
        </w:tc>
        <w:tc>
          <w:tcPr>
            <w:tcW w:w="1663" w:type="dxa"/>
            <w:tcBorders>
              <w:bottom w:val="single" w:sz="4" w:space="0" w:color="000000"/>
              <w:right w:val="single" w:sz="4" w:space="0" w:color="000000"/>
            </w:tcBorders>
            <w:vAlign w:val="center"/>
          </w:tcPr>
          <w:p>
            <w:pPr>
              <w:pStyle w:val="Normal"/>
              <w:jc w:val="center"/>
              <w:rPr>
                <w:sz w:val="24"/>
                <w:szCs w:val="24"/>
              </w:rPr>
            </w:pPr>
            <w:r>
              <w:rPr>
                <w:sz w:val="24"/>
                <w:szCs w:val="24"/>
              </w:rPr>
              <w:t>88.8.06.S2300</w:t>
            </w:r>
          </w:p>
        </w:tc>
        <w:tc>
          <w:tcPr>
            <w:tcW w:w="118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331" w:type="dxa"/>
            <w:tcBorders>
              <w:bottom w:val="single" w:sz="4" w:space="0" w:color="000000"/>
              <w:right w:val="single" w:sz="4" w:space="0" w:color="000000"/>
            </w:tcBorders>
            <w:vAlign w:val="center"/>
          </w:tcPr>
          <w:p>
            <w:pPr>
              <w:pStyle w:val="Normal"/>
              <w:jc w:val="center"/>
              <w:rPr>
                <w:sz w:val="24"/>
                <w:szCs w:val="24"/>
              </w:rPr>
            </w:pPr>
            <w:r>
              <w:rPr>
                <w:sz w:val="24"/>
                <w:szCs w:val="24"/>
              </w:rPr>
              <w:t>162,1</w:t>
            </w:r>
          </w:p>
        </w:tc>
        <w:tc>
          <w:tcPr>
            <w:tcW w:w="1417" w:type="dxa"/>
            <w:tcBorders>
              <w:bottom w:val="single" w:sz="4" w:space="0" w:color="000000"/>
              <w:right w:val="single" w:sz="4" w:space="0" w:color="000000"/>
            </w:tcBorders>
            <w:vAlign w:val="center"/>
          </w:tcPr>
          <w:p>
            <w:pPr>
              <w:pStyle w:val="Normal"/>
              <w:jc w:val="center"/>
              <w:rPr>
                <w:sz w:val="24"/>
                <w:szCs w:val="24"/>
              </w:rPr>
            </w:pPr>
            <w:r>
              <w:rPr>
                <w:sz w:val="24"/>
                <w:szCs w:val="24"/>
              </w:rPr>
              <w:t>46,1</w:t>
            </w:r>
          </w:p>
        </w:tc>
        <w:tc>
          <w:tcPr>
            <w:tcW w:w="1418" w:type="dxa"/>
            <w:tcBorders>
              <w:bottom w:val="single" w:sz="4" w:space="0" w:color="000000"/>
              <w:right w:val="single" w:sz="4" w:space="0" w:color="000000"/>
            </w:tcBorders>
            <w:vAlign w:val="center"/>
          </w:tcPr>
          <w:p>
            <w:pPr>
              <w:pStyle w:val="Normal"/>
              <w:jc w:val="center"/>
              <w:rPr>
                <w:sz w:val="24"/>
                <w:szCs w:val="24"/>
              </w:rPr>
            </w:pPr>
            <w:r>
              <w:rPr>
                <w:sz w:val="24"/>
                <w:szCs w:val="24"/>
              </w:rPr>
              <w:t>447,0</w:t>
            </w:r>
          </w:p>
        </w:tc>
      </w:tr>
      <w:tr>
        <w:trPr>
          <w:trHeight w:val="23" w:hRule="atLeast"/>
        </w:trPr>
        <w:tc>
          <w:tcPr>
            <w:tcW w:w="8166" w:type="dxa"/>
            <w:tcBorders>
              <w:left w:val="single" w:sz="4" w:space="0" w:color="000000"/>
              <w:bottom w:val="single" w:sz="4" w:space="0" w:color="000000"/>
              <w:right w:val="single" w:sz="4" w:space="0" w:color="000000"/>
            </w:tcBorders>
            <w:vAlign w:val="center"/>
          </w:tcPr>
          <w:p>
            <w:pPr>
              <w:pStyle w:val="Normal"/>
              <w:rPr>
                <w:b/>
                <w:b/>
                <w:bCs/>
                <w:color w:val="000000"/>
                <w:sz w:val="24"/>
                <w:szCs w:val="24"/>
              </w:rPr>
            </w:pPr>
            <w:r>
              <w:rPr>
                <w:b/>
                <w:bCs/>
                <w:color w:val="000000"/>
                <w:sz w:val="24"/>
                <w:szCs w:val="24"/>
              </w:rPr>
              <w:t>Всего</w:t>
            </w:r>
          </w:p>
        </w:tc>
        <w:tc>
          <w:tcPr>
            <w:tcW w:w="1663" w:type="dxa"/>
            <w:tcBorders>
              <w:bottom w:val="single" w:sz="4" w:space="0" w:color="000000"/>
              <w:right w:val="single" w:sz="4" w:space="0" w:color="000000"/>
            </w:tcBorders>
            <w:vAlign w:val="center"/>
          </w:tcPr>
          <w:p>
            <w:pPr>
              <w:pStyle w:val="Normal"/>
              <w:snapToGrid w:val="false"/>
              <w:jc w:val="center"/>
              <w:rPr>
                <w:b/>
                <w:b/>
                <w:bCs/>
                <w:color w:val="000000"/>
                <w:sz w:val="24"/>
                <w:szCs w:val="24"/>
              </w:rPr>
            </w:pPr>
            <w:r>
              <w:rPr>
                <w:b/>
                <w:bCs/>
                <w:color w:val="000000"/>
                <w:sz w:val="24"/>
                <w:szCs w:val="24"/>
              </w:rPr>
            </w:r>
          </w:p>
        </w:tc>
        <w:tc>
          <w:tcPr>
            <w:tcW w:w="118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331"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715 436,4</w:t>
            </w:r>
          </w:p>
        </w:tc>
        <w:tc>
          <w:tcPr>
            <w:tcW w:w="1417"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541 174,6</w:t>
            </w:r>
          </w:p>
        </w:tc>
        <w:tc>
          <w:tcPr>
            <w:tcW w:w="141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596 849,3</w:t>
            </w:r>
          </w:p>
        </w:tc>
      </w:tr>
    </w:tbl>
    <w:p>
      <w:pPr>
        <w:pStyle w:val="Normal"/>
        <w:rPr/>
      </w:pPr>
      <w:r>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20"/>
          <w:tab w:val="left" w:pos="567" w:leader="none"/>
        </w:tabs>
        <w:jc w:val="right"/>
        <w:rPr>
          <w:b/>
          <w:b/>
          <w:sz w:val="28"/>
          <w:szCs w:val="28"/>
        </w:rPr>
      </w:pPr>
      <w:r>
        <w:rPr>
          <w:sz w:val="28"/>
          <w:szCs w:val="28"/>
        </w:rPr>
        <w:t xml:space="preserve">Приложение 6 </w:t>
      </w:r>
    </w:p>
    <w:p>
      <w:pPr>
        <w:pStyle w:val="Normal"/>
        <w:jc w:val="right"/>
        <w:rPr>
          <w:sz w:val="28"/>
          <w:szCs w:val="28"/>
        </w:rPr>
      </w:pPr>
      <w:r>
        <w:rPr>
          <w:sz w:val="28"/>
          <w:szCs w:val="28"/>
        </w:rPr>
        <w:t>к решению Земского собрания</w:t>
      </w:r>
    </w:p>
    <w:p>
      <w:pPr>
        <w:pStyle w:val="Normal"/>
        <w:jc w:val="right"/>
        <w:rPr>
          <w:sz w:val="28"/>
          <w:szCs w:val="28"/>
        </w:rPr>
      </w:pPr>
      <w:r>
        <w:rPr>
          <w:sz w:val="28"/>
          <w:szCs w:val="28"/>
        </w:rPr>
        <w:t>Шарангского муниципального района</w:t>
      </w:r>
    </w:p>
    <w:p>
      <w:pPr>
        <w:pStyle w:val="Normal"/>
        <w:jc w:val="right"/>
        <w:rPr>
          <w:sz w:val="28"/>
          <w:szCs w:val="28"/>
        </w:rPr>
      </w:pPr>
      <w:r>
        <w:rPr>
          <w:sz w:val="28"/>
          <w:szCs w:val="28"/>
        </w:rPr>
        <w:t xml:space="preserve">«О районном бюджете на 2021 год и </w:t>
      </w:r>
    </w:p>
    <w:p>
      <w:pPr>
        <w:pStyle w:val="Normal"/>
        <w:jc w:val="right"/>
        <w:rPr>
          <w:sz w:val="28"/>
          <w:szCs w:val="28"/>
        </w:rPr>
      </w:pPr>
      <w:r>
        <w:rPr>
          <w:sz w:val="28"/>
          <w:szCs w:val="28"/>
        </w:rPr>
        <w:t>на плановый период  2022 и 2023 годов»</w:t>
      </w:r>
    </w:p>
    <w:p>
      <w:pPr>
        <w:pStyle w:val="Normal"/>
        <w:jc w:val="right"/>
        <w:rPr>
          <w:color w:val="FF0000"/>
          <w:sz w:val="28"/>
          <w:szCs w:val="28"/>
        </w:rPr>
      </w:pPr>
      <w:r>
        <w:rPr>
          <w:color w:val="FF0000"/>
          <w:sz w:val="28"/>
          <w:szCs w:val="28"/>
        </w:rPr>
      </w:r>
    </w:p>
    <w:p>
      <w:pPr>
        <w:pStyle w:val="Normal"/>
        <w:jc w:val="right"/>
        <w:rPr>
          <w:color w:val="FF0000"/>
          <w:sz w:val="28"/>
          <w:szCs w:val="28"/>
        </w:rPr>
      </w:pPr>
      <w:r>
        <w:rPr>
          <w:color w:val="FF0000"/>
          <w:sz w:val="28"/>
          <w:szCs w:val="28"/>
        </w:rPr>
      </w:r>
    </w:p>
    <w:p>
      <w:pPr>
        <w:pStyle w:val="Normal"/>
        <w:jc w:val="center"/>
        <w:rPr>
          <w:b/>
          <w:b/>
          <w:sz w:val="28"/>
          <w:szCs w:val="28"/>
        </w:rPr>
      </w:pPr>
      <w:r>
        <w:rPr>
          <w:b/>
          <w:sz w:val="28"/>
          <w:szCs w:val="28"/>
        </w:rPr>
        <w:t>Ведомственная структура расходов районного бюджета на 2021 год и на плановый период 2022 и 2023 годов</w:t>
      </w:r>
    </w:p>
    <w:p>
      <w:pPr>
        <w:pStyle w:val="Normal"/>
        <w:ind w:left="540" w:hanging="0"/>
        <w:jc w:val="right"/>
        <w:rPr>
          <w:b/>
          <w:b/>
          <w:sz w:val="28"/>
          <w:szCs w:val="28"/>
        </w:rPr>
      </w:pPr>
      <w:r>
        <w:rPr>
          <w:b/>
          <w:sz w:val="28"/>
          <w:szCs w:val="28"/>
        </w:rPr>
      </w:r>
    </w:p>
    <w:p>
      <w:pPr>
        <w:pStyle w:val="Normal"/>
        <w:ind w:left="540" w:hanging="0"/>
        <w:jc w:val="right"/>
        <w:rPr/>
      </w:pPr>
      <w:r>
        <w:rPr/>
        <w:t>(тыс. рублей)</w:t>
      </w:r>
    </w:p>
    <w:tbl>
      <w:tblPr>
        <w:tblW w:w="14999" w:type="dxa"/>
        <w:jc w:val="left"/>
        <w:tblInd w:w="-20" w:type="dxa"/>
        <w:tblLayout w:type="fixed"/>
        <w:tblCellMar>
          <w:top w:w="0" w:type="dxa"/>
          <w:left w:w="108" w:type="dxa"/>
          <w:bottom w:w="0" w:type="dxa"/>
          <w:right w:w="108" w:type="dxa"/>
        </w:tblCellMar>
      </w:tblPr>
      <w:tblGrid>
        <w:gridCol w:w="6394"/>
        <w:gridCol w:w="969"/>
        <w:gridCol w:w="650"/>
        <w:gridCol w:w="684"/>
        <w:gridCol w:w="1679"/>
        <w:gridCol w:w="848"/>
        <w:gridCol w:w="1265"/>
        <w:gridCol w:w="1195"/>
        <w:gridCol w:w="1315"/>
      </w:tblGrid>
      <w:tr>
        <w:trPr>
          <w:tblHeader w:val="true"/>
          <w:trHeight w:val="338" w:hRule="atLeast"/>
        </w:trPr>
        <w:tc>
          <w:tcPr>
            <w:tcW w:w="6394"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Наименование</w:t>
            </w:r>
          </w:p>
        </w:tc>
        <w:tc>
          <w:tcPr>
            <w:tcW w:w="4830" w:type="dxa"/>
            <w:gridSpan w:val="5"/>
            <w:tcBorders>
              <w:top w:val="single" w:sz="4" w:space="0" w:color="000000"/>
              <w:left w:val="single" w:sz="4" w:space="0" w:color="000000"/>
              <w:bottom w:val="single" w:sz="4" w:space="0" w:color="000000"/>
            </w:tcBorders>
            <w:vAlign w:val="center"/>
          </w:tcPr>
          <w:p>
            <w:pPr>
              <w:pStyle w:val="Normal"/>
              <w:jc w:val="center"/>
              <w:rPr>
                <w:b/>
                <w:b/>
                <w:bCs/>
                <w:color w:val="000000"/>
                <w:sz w:val="24"/>
                <w:szCs w:val="24"/>
              </w:rPr>
            </w:pPr>
            <w:r>
              <w:rPr>
                <w:b/>
                <w:bCs/>
                <w:color w:val="000000"/>
                <w:sz w:val="24"/>
                <w:szCs w:val="24"/>
              </w:rPr>
              <w:t>Код бюджетной классификации </w:t>
            </w:r>
          </w:p>
        </w:tc>
        <w:tc>
          <w:tcPr>
            <w:tcW w:w="1265"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2021 год</w:t>
            </w:r>
          </w:p>
        </w:tc>
        <w:tc>
          <w:tcPr>
            <w:tcW w:w="1195"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2022 год</w:t>
            </w:r>
          </w:p>
        </w:tc>
        <w:tc>
          <w:tcPr>
            <w:tcW w:w="1315"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2023 год</w:t>
            </w:r>
          </w:p>
        </w:tc>
      </w:tr>
      <w:tr>
        <w:trPr>
          <w:tblHeader w:val="true"/>
          <w:trHeight w:val="338" w:hRule="atLeast"/>
        </w:trPr>
        <w:tc>
          <w:tcPr>
            <w:tcW w:w="639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969" w:type="dxa"/>
            <w:tcBorders>
              <w:top w:val="single" w:sz="4" w:space="0" w:color="000000"/>
              <w:bottom w:val="single" w:sz="4" w:space="0" w:color="000000"/>
              <w:right w:val="single" w:sz="4" w:space="0" w:color="000000"/>
            </w:tcBorders>
            <w:vAlign w:val="bottom"/>
          </w:tcPr>
          <w:p>
            <w:pPr>
              <w:pStyle w:val="Normal"/>
              <w:rPr>
                <w:b/>
                <w:b/>
                <w:bCs/>
                <w:color w:val="000000"/>
                <w:sz w:val="24"/>
                <w:szCs w:val="24"/>
              </w:rPr>
            </w:pPr>
            <w:r>
              <w:rPr>
                <w:b/>
                <w:bCs/>
                <w:color w:val="000000"/>
                <w:sz w:val="24"/>
                <w:szCs w:val="24"/>
              </w:rPr>
              <w:t>Ведомство</w:t>
            </w:r>
          </w:p>
        </w:tc>
        <w:tc>
          <w:tcPr>
            <w:tcW w:w="650" w:type="dxa"/>
            <w:tcBorders>
              <w:top w:val="single" w:sz="4" w:space="0" w:color="000000"/>
              <w:left w:val="single" w:sz="4" w:space="0" w:color="000000"/>
              <w:bottom w:val="single" w:sz="4" w:space="0" w:color="000000"/>
              <w:right w:val="single" w:sz="4" w:space="0" w:color="000000"/>
            </w:tcBorders>
            <w:vAlign w:val="bottom"/>
          </w:tcPr>
          <w:p>
            <w:pPr>
              <w:pStyle w:val="Normal"/>
              <w:rPr>
                <w:b/>
                <w:b/>
                <w:bCs/>
                <w:color w:val="000000"/>
                <w:sz w:val="24"/>
                <w:szCs w:val="24"/>
              </w:rPr>
            </w:pPr>
            <w:r>
              <w:rPr>
                <w:b/>
                <w:bCs/>
                <w:color w:val="000000"/>
                <w:sz w:val="24"/>
                <w:szCs w:val="24"/>
              </w:rPr>
              <w:t>Раз дел</w:t>
            </w:r>
          </w:p>
        </w:tc>
        <w:tc>
          <w:tcPr>
            <w:tcW w:w="684" w:type="dxa"/>
            <w:tcBorders>
              <w:top w:val="single" w:sz="4" w:space="0" w:color="000000"/>
              <w:left w:val="single" w:sz="4" w:space="0" w:color="000000"/>
              <w:bottom w:val="single" w:sz="4" w:space="0" w:color="000000"/>
              <w:right w:val="single" w:sz="4" w:space="0" w:color="000000"/>
            </w:tcBorders>
            <w:vAlign w:val="bottom"/>
          </w:tcPr>
          <w:p>
            <w:pPr>
              <w:pStyle w:val="Normal"/>
              <w:rPr>
                <w:b/>
                <w:b/>
                <w:bCs/>
                <w:color w:val="000000"/>
                <w:sz w:val="24"/>
                <w:szCs w:val="24"/>
              </w:rPr>
            </w:pPr>
            <w:r>
              <w:rPr>
                <w:b/>
                <w:bCs/>
                <w:color w:val="000000"/>
                <w:sz w:val="24"/>
                <w:szCs w:val="24"/>
              </w:rPr>
              <w:t>Под раз дел</w:t>
            </w:r>
          </w:p>
        </w:tc>
        <w:tc>
          <w:tcPr>
            <w:tcW w:w="1679" w:type="dxa"/>
            <w:tcBorders>
              <w:top w:val="single" w:sz="4" w:space="0" w:color="000000"/>
              <w:left w:val="single" w:sz="4" w:space="0" w:color="000000"/>
              <w:bottom w:val="single" w:sz="4" w:space="0" w:color="000000"/>
              <w:right w:val="single" w:sz="4" w:space="0" w:color="000000"/>
            </w:tcBorders>
            <w:vAlign w:val="bottom"/>
          </w:tcPr>
          <w:p>
            <w:pPr>
              <w:pStyle w:val="Normal"/>
              <w:rPr>
                <w:b/>
                <w:b/>
                <w:bCs/>
                <w:color w:val="000000"/>
                <w:sz w:val="24"/>
                <w:szCs w:val="24"/>
              </w:rPr>
            </w:pPr>
            <w:r>
              <w:rPr>
                <w:b/>
                <w:bCs/>
                <w:color w:val="000000"/>
                <w:sz w:val="24"/>
                <w:szCs w:val="24"/>
              </w:rPr>
              <w:t>Целевая статья расходов</w:t>
            </w:r>
          </w:p>
        </w:tc>
        <w:tc>
          <w:tcPr>
            <w:tcW w:w="848" w:type="dxa"/>
            <w:tcBorders>
              <w:top w:val="single" w:sz="4" w:space="0" w:color="000000"/>
              <w:left w:val="single" w:sz="4" w:space="0" w:color="000000"/>
              <w:bottom w:val="single" w:sz="4" w:space="0" w:color="000000"/>
            </w:tcBorders>
            <w:vAlign w:val="bottom"/>
          </w:tcPr>
          <w:p>
            <w:pPr>
              <w:pStyle w:val="Normal"/>
              <w:rPr>
                <w:b/>
                <w:b/>
                <w:bCs/>
                <w:color w:val="000000"/>
                <w:sz w:val="24"/>
                <w:szCs w:val="24"/>
              </w:rPr>
            </w:pPr>
            <w:r>
              <w:rPr>
                <w:b/>
                <w:bCs/>
                <w:color w:val="000000"/>
                <w:sz w:val="24"/>
                <w:szCs w:val="24"/>
              </w:rPr>
              <w:t>Вид расходов</w:t>
            </w:r>
          </w:p>
        </w:tc>
        <w:tc>
          <w:tcPr>
            <w:tcW w:w="126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19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31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ФИНАНСОВОЕ УПРАВЛЕНИЕ АДМИНИСТРАЦИИ ШАРАНГСКОГО МУНИЦИПАЛЬНОГО РАЙОНА НИЖЕГОРОДСКОЙ ОБЛАСТИ</w:t>
            </w:r>
          </w:p>
        </w:tc>
        <w:tc>
          <w:tcPr>
            <w:tcW w:w="969" w:type="dxa"/>
            <w:tcBorders>
              <w:top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001</w:t>
            </w:r>
          </w:p>
        </w:tc>
        <w:tc>
          <w:tcPr>
            <w:tcW w:w="650" w:type="dxa"/>
            <w:tcBorders>
              <w:top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684" w:type="dxa"/>
            <w:tcBorders>
              <w:top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679" w:type="dxa"/>
            <w:tcBorders>
              <w:top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48" w:type="dxa"/>
            <w:tcBorders>
              <w:top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65"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85 467,5</w:t>
            </w:r>
          </w:p>
        </w:tc>
        <w:tc>
          <w:tcPr>
            <w:tcW w:w="1195"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46 895,9</w:t>
            </w:r>
          </w:p>
        </w:tc>
        <w:tc>
          <w:tcPr>
            <w:tcW w:w="1315"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62 393,2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ОБЩЕГОСУДАРСТВЕННЫЕ ВОПРОСЫ</w:t>
            </w:r>
          </w:p>
        </w:tc>
        <w:tc>
          <w:tcPr>
            <w:tcW w:w="969" w:type="dxa"/>
            <w:tcBorders>
              <w:bottom w:val="single" w:sz="4" w:space="0" w:color="000000"/>
              <w:right w:val="single" w:sz="4" w:space="0" w:color="000000"/>
            </w:tcBorders>
            <w:vAlign w:val="center"/>
          </w:tcPr>
          <w:p>
            <w:pPr>
              <w:pStyle w:val="Normal"/>
              <w:snapToGrid w:val="false"/>
              <w:jc w:val="center"/>
              <w:rPr>
                <w:b/>
                <w:b/>
                <w:bCs/>
                <w:color w:val="000000"/>
                <w:sz w:val="24"/>
                <w:szCs w:val="24"/>
              </w:rPr>
            </w:pPr>
            <w:r>
              <w:rPr>
                <w:b/>
                <w:bCs/>
                <w:color w:val="000000"/>
                <w:sz w:val="24"/>
                <w:szCs w:val="24"/>
              </w:rPr>
            </w:r>
          </w:p>
        </w:tc>
        <w:tc>
          <w:tcPr>
            <w:tcW w:w="65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684"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67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65"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13 272,9</w:t>
            </w:r>
          </w:p>
        </w:tc>
        <w:tc>
          <w:tcPr>
            <w:tcW w:w="1195"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11 603,1</w:t>
            </w:r>
          </w:p>
        </w:tc>
        <w:tc>
          <w:tcPr>
            <w:tcW w:w="1315"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11 603,1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color w:val="000000"/>
                <w:sz w:val="24"/>
                <w:szCs w:val="24"/>
              </w:rPr>
            </w:pPr>
            <w:r>
              <w:rPr>
                <w:b/>
                <w:bCs/>
                <w:color w:val="000000"/>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969" w:type="dxa"/>
            <w:tcBorders>
              <w:bottom w:val="single" w:sz="4" w:space="0" w:color="000000"/>
              <w:right w:val="single" w:sz="4" w:space="0" w:color="000000"/>
            </w:tcBorders>
            <w:vAlign w:val="center"/>
          </w:tcPr>
          <w:p>
            <w:pPr>
              <w:pStyle w:val="Normal"/>
              <w:snapToGrid w:val="false"/>
              <w:jc w:val="center"/>
              <w:rPr>
                <w:b/>
                <w:b/>
                <w:bCs/>
                <w:color w:val="000000"/>
                <w:sz w:val="24"/>
                <w:szCs w:val="24"/>
              </w:rPr>
            </w:pPr>
            <w:r>
              <w:rPr>
                <w:b/>
                <w:bCs/>
                <w:color w:val="000000"/>
                <w:sz w:val="24"/>
                <w:szCs w:val="24"/>
              </w:rPr>
            </w:r>
          </w:p>
        </w:tc>
        <w:tc>
          <w:tcPr>
            <w:tcW w:w="65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684"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1679"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265"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57,0</w:t>
            </w:r>
          </w:p>
        </w:tc>
        <w:tc>
          <w:tcPr>
            <w:tcW w:w="1195"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315"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"Управление муниципальными финансами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14.2.10.04516</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14.2.10.04516</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Обеспечение деятельности финансовых, налоговых и таможенных органов и органов финансового (финансово-бюджетного) надзора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06</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11 000,7</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10 603,1</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10 603,1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"Управление муниципальными финансами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11 000,7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10 603,1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10 603,1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"Обеспечение реализации муниципальной программы"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14.4.00.00000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11 000,7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10 603,1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10 603,1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деятельности финансового управления администрации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14.4.01.00000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11 000,7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10 603,1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10 603,1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функций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14.4.01.20401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11 000,7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10 603,1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10 603,1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14.4.01.20401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10 085,2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9 611,1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9 611,1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14.4.01.20401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915,5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992,0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992,0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Резервные фонды</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11</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1 582,8</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1 000,0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1 000,0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"Управление муниципальными финансами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1 582,8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"Организация и совершенствование бюджетного процесса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1 582,8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Резервные фонды местных администраций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14.1.40.07005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1 582,8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14.1.40.07005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1 582,8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Другие общегосударственные вопросы</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13</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632,4</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"Управление муниципальными финансами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632,4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632,4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560,0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14.2.10.04516</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560,0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14.2.10.04516</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560,0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Повышение финансовой самостоятельности бюджетов поселений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72,4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72,4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72,4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НАЦИОНАЛЬНАЯ ОБОРОНА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02</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891,8</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900,5</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934,3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Мобилизационная и вневойсковая подготовка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02</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03</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891,8</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900,5</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934,3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"Управление муниципальными финансами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891,8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900,5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934,3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891,8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900,5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934,3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Повышение финансовой самостоятельности бюджетов поселений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891,8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900,5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934,3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14.2.20.51180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891,8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900,5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934,3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14.2.20.51180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891,8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900,5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934,3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НАЦИОНАЛЬНАЯ БЕЗОПАСНОСТЬ И ПРАВООХРАНИТЕЛЬНАЯ ДЕЯТЕЛЬНОСТЬ</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03</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394,3</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Защита населения и территории от чрезвычайных ситуаций природного и техногенного характера, пожарная безопасность</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03</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394,3</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"Управление муниципальными финансами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394,3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394,3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14.2.10.04516</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14.2.10.04516</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Повышение финансовой самостоятельности бюджетов поселений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279,3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279,3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279,3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НАЦИОНАЛЬНАЯ ЭКОНОМИКА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12 960,5</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Дорожное хозяйство (дорожные фонды)</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09</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12 960,5</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транспортной системы в Шарангском муниципальном районе Нижегородской области в 2021-2025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6 262,3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Ремонт и содержание автомобильных дорог общего пользования в Шарангском муниципальном районе</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6 262,3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Содержание автомобильных дорог общего пользования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06.2.02.00000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715,1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Содержание автомобильных дорог общего пользования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06.2.02.07080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715,1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06.2.02.07080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715,1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капитальный ремонт и ремонт автомобильных дорог общего пользования местного значения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06.2.03.00000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5 547,2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капитальный ремонт и ремонт автомобильных дорог общего пользования местного значения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06.2.03.S2210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5 547,2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06.2.03.S2210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5 547,2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"Управление муниципальными финансами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6 373,2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6 373,2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Повышение финансовой самостоятельности бюджетов поселений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6 373,2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реализацию проекта инициативного бюджетирования "Вам решать!" (ремонт автомобильной дороги по ул.Колхозная в с.Большая Рудка)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14.2.20.S2602</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2 179,1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14.2.20.S2602</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2 179,1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реализацию проекта инициативного бюджетирования "Вам решать!" (ремонт автомобильной дороги в с.Большое Устинское, ул .Садовая, ул.Советская от д.1 до д.15)</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974,3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974,3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реализацию проекта инициативного бюджетирования "Вам решать!" (ремонт участков автомобильной дороги в д.Поздеево Шарангского муниципального района )</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14.2.20.S2608</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1 416,0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14.2.20.S2608</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1 416,0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реализацию проекта инициативного бюджетирования "Вам решать!" (ремонт участков автодороги по ул.Родниковая в р.п.Шаранга Шарангского муниципального района Нижегородской области )</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14.2.20.S260A</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1 803,8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14.2.20.S260A</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1 803,8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325,0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Прочее</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22.0.03.00000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325,0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проектирование и строительство (реконструкцию) автомобильных дорог общего пользования местного значения муниципальных образований Нижегородской области, в том числе на строительство объектов скоростного внеуличного транспорта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22.0.03.S2200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325,0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22.0.03.S2200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325,0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ЖИЛИЩНО-КОММУНАЛЬНОЕ ХОЗЯЙСТВО</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05</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7 684,3</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3 121,2</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3 121,2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Жилищное хозяйство</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05</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109,0</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"Управление муниципальными финансами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109,0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109,0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109,0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14.2.10.04516</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109,0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14.2.10.04516</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109,0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Благоустройство</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05</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03</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7 575,3</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3 121,2</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3 121,2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"Управление муниципальными финансами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7 575,3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3 121,2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3 121,2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7 575,3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3 121,2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3 121,2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3 313,2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межбюджетные трансферты на компенсацию дополнительных расходов, возникших в результате решений, принятых органами власти другого уровня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14.2.10.04516</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3 313,2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14.2.10.04516</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3 313,2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Повышение финансовой самостоятельности бюджетов поселений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4 262,1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иных межбюджетных трансфертов из фонда поддержки территорий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14.2.20.22000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97,6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14.2.20.22000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97,6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межбюджетные трансферты на 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14.2.20.74800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14.2.20.74800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225,0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225,0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реализацию проекта инициативного бюджетирования "Вам решать!" (обустройство детской спортивной площадки на ул.Фруктовая в р.п.Шаранга Шарангского муниципального района Нижегородской области)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1 048,5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1 048,5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реализацию проекта инициативного бюджетирования "Вам решать!" (обустройство детской площадки в д.Козлянур Шарангского муниципального района )</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14.2.20.S2604</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14.2.20.S2604</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реализацию проекта инициативного бюджетирования "Вам решать!" (благоустройство сквера у памятника воинам землякам в д.Мосуново погибшим ВОВ)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169,1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169,1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реализацию проекта инициативного бюджетирования "Вам решать!" (благоустройство территории зоны отдыха в д.Черномуж Шарангского района Нижегородской области)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14.2.20.S2606</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735,6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14.2.20.S2606</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735,6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реализацию проекта инициативного бюджетирования "Вам решать!" (обустройство детской площадки в д.Поздеево Шарангского муниципального района )</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14.2.20.S2607</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361,5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14.2.20.S2607</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361,5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реализацию проекта инициативного бюджетирования "Вам решать!" (обустройство кладбища в с.Старая Рудка )</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824,8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14.2.20.S2609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824,8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поддержку государственных программ субъектов РФ и муниципальных программ формирования современной городской среды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14.2.F2.55550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3 121,2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3 121,2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14.2.F2.55550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3 121,2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3 121,2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ФИЗИЧЕСКАЯ КУЛЬТУРА И СПОРТ</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11</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29,9</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Массовый спорт</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11</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02</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29,9</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"Управление муниципальными финансами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29,9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29,9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Повышение финансовой самостоятельности бюджетов поселений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29,9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29,9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14.2.20.S2190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29,9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МЕЖБЮДЖЕТНЫЕ ТРАНСФЕРТЫ ОБЩЕГО ХАРАКТЕРА БЮДЖЕТАМ БЮДЖЕТНОЙ СИСТЕМЫ РОССИЙСКОЙ ФЕДЕРАЦИИ</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50 233,8</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31 271,1</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46 734,6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Дотации на выравнивание бюджетной обеспеченности субъектов Российской Федерации и муниципальных образований</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33 501,9</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26 899,7</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28 394,4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"Управление муниципальными финансами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33 501,9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26 899,7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28 394,4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33 501,9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26 899,7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28 394,4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33 501,9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26 899,7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28 394,4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Выравнивание бюджетной обеспеченности поселений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14.2.10.05161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33 501,9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26 899,7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28 394,4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14.2.10.05161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33 501,9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26 899,7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28 394,4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Прочие межбюджетные трансферты общего характера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03</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16 731,9</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4 371,4</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18 340,2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"Управление муниципальными финансами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16 731,9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4 371,4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18 340,2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16 731,9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4 371,4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18 340,2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16 731,9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4 371,4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18 340,2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межбюджетные трансферты на поддержку мер по обеспечению сбалансированности бюджетов поселений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14.2.10.05213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16 731,9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4 371,4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18 340,2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14.2.10.05213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16 731,9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4 371,4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18 340,2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ОТДЕЛ КУЛЬТУРЫ АДМИНИСТРАЦИИ ШАРАНГСКОГО МУНИЦИПАЛЬНОГО РАЙОНА НИЖЕГОРОДСКОЙ ОБЛАСТИ</w:t>
            </w:r>
          </w:p>
        </w:tc>
        <w:tc>
          <w:tcPr>
            <w:tcW w:w="96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057</w:t>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79 527,6</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77 040,6</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77 040,6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ОБРАЗОВАНИЕ</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07</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10 217,0</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10 181,5</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10 181,5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Дополнительное образование детей</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07</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03</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10 217,0</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10 181,5</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10 181,5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"Противодействие терроризму и профилактика экстремизма в Шарангском муниципальном районе на 2021-2023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12,8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12,8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Усиление антитеррористической защищенности объектов образования, социальной сферы и мест массового пребывания людей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12,8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12,8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12.0.02.07010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12,8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12,8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12.0.02.07010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12,8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12,8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культуры Шарангского муниципального района на 2021-2025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10 060,7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10 163,9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10 163,9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"Повышение качества и доступности услуг в сфере дополнительного образования"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13.5.00.00000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10 060,7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10 163,9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10 163,9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Реализация планов мероприятий по противопожарной безопасности муниципальных образовательных учреждений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13.5.01.00000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46,2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Выполнение мероприятий по противопожарной безопасности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13.5.01.08030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46,2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13.5.01.08030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46,2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услуг по предоставлению дополнительного образования детям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13.5.02.00000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10 014,5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10 123,9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10 123,9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услуги по предоставлению дополнительного образования детям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13.5.02.08000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9 951,8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10 123,9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10 123,9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13.5.02.08000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9 951,8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10 123,9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10 123,9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13.5.02.S2190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62,7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13.5.02.S2190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62,7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"Экология Шарангского муниципального района на 2021 - 2025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Охрана окружающей среды от загрязнения отходами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Услуги по расчету платы за негативное воздействие на окружающую среду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охраны окружающей среды (кроме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138,4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138,4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межбюджетных трансфертов вышестоящих бюджетов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138,4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иных межбюджетных трансфертов из фонда поддержки территорий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88.8.05.22000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138,4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88.8.05.22000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138,4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КУЛЬТУРА, КИНЕМАТОГРАФИЯ</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08</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66 595,6</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64 144,1</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64 144,1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Культура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08</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52 943,2</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51 202,9</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51 202,9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культуры Шарангского муниципального района на 2021-2025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52 414,3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51 192,7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51 192,7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"Развитие библиотечно-информационного обслуживания населения"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15 163,2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15 411,2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15 411,2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Увеличение объемов комплектования библиотечных фондов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13.1.01.00000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396,2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Увеличение объемов комплектования библиотечных фондов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13.1.01.08010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350,0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13.1.01.08010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350,0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поддержку отрасли культуры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13.1.01.L519F</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46,2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13.1.01.L519F</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46,2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Реализация планов мероприятий по противопожарной безопасности муниципальных учреждений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13.1.02.00000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Выполнение мероприятий по противопожарной безопасности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13.1.02.08030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13.1.02.08030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13,1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деятельности организации библиотечного обслуживания населения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13.1.03.00000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14 753,9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14 998,1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14 998,1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деятельности организации библиотечного обслуживания населения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13.1.03.08000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14 753,9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14 998,1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14 998,1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13.1.03.08000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14 753,9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14 998,1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14 998,1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"Организация культурно-массовых мероприятий"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15 416,0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14 324,8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14 324,8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Реализация планов мероприятий по противопожарной безопасности муниципальных учреждений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13.2.01.00000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Выполнение мероприятий по противопожарной безопасности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13.2.01.08030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13.2.01.08030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12,0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деятельности по организации и проведению культурно-массовых мероприятий РДК</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13.2.02.00000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15 404,0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14 312,8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14 312,8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деятельности по организации и проведению культурно-массовых мероприятий РДК</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13.2.02.08000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15 404,0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14 312,8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1 872,1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13.2.02.08000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15 404,0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14 312,8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1 872,1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13.2.02.S2090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12 440,7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13.2.02.S2090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12 440,7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"Организация культурно-массовых мероприятий в сельских учреждениях культуры"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13.3.00.00000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19 841,6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19 422,4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19 422,4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Реализация планов мероприятий по противопожарной безопасности муниципальных учреждений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13.3.01.00000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Выполнение мероприятий по противопожарной безопасности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13.3.01.08030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13.3.01.08030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89,3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деятельности по организации и проведению культурно-массовых мероприятий ШЦКС</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13.3.02.00000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19 114,1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18 776,5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18 776,5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деятельности по организации и проведению культурно-массовых мероприятий ШЦКС</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13.3.02.08000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18 704,3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18 776,5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7 836,8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13.3.02.08000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18 704,3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18 776,5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7 836,8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13.3.02.S2090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10 939,7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13.3.02.S2090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10 939,7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13.3.02.S2190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409,8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13.3.02.S2190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409,8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Укрепление материально- технической базы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13.3.03.00000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638,2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556,6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556,6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развития и укрепления материально-технической базы домов культуры в населенных пунктах с числом жителей до 50 тысяч человек</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13.3.03.L4670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638,2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556,6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556,6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13.3.03.L4670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638,2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556,6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556,6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"Развитие сферы музейной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13.4.00.00000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1 993,5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2 034,3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2 034,3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Реализация планов мероприятий по противопожарной безопасности муниципальных учреждений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13.4.01.00000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Выполнение мероприятий по противопожарной безопасности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13.4.01.08030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13.4.01.08030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13.4.02.00000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1 987,5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2 028,3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2 028,3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13.4.02.08000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1 987,5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2 028,3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2 028,3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13.4.02.08000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1 987,5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2 028,3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2 028,3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"Экология Шарангского муниципального района на 2021 - 2025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Охрана окружающей среды от загрязнения отходами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Услуги по расчету платы за негативное воздействие на окружающую среду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охраны окружающей среды (кроме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518,7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518,7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межбюджетных трансфертов вышестоящих бюджетов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518,7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иных межбюджетных трансфертов из фонда поддержки территорий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88.8.05.22000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518,7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88.8.05.22000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518,7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Другие вопросы в области культуры, кинематографии</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08</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13 652,4</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12 941,2</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12 941,2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культуры Шарангского муниципального района на 2021-2025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13 647,6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12 936,4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12 936,4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"Обеспечение реализации муниципальной программы"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13.6.00.00000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13 647,6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12 936,4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12 936,4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Административно- правовое сопровождение реализации программы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13.6.01.00000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1 282,0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1 237,0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1 237,0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функций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13.6.01.20401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1 282,0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1 237,0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1 237,0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13.6.01.20401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1 186,7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1 190,1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1 190,1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13.6.01.20401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95,3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46,9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46,9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Бухгалтерское и хозяйственное обслуживание</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13.6.02.00000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12 365,6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11 699,4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11 699,4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Бухгалтерское и хозяйственное обслуживание</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13.6.02.45299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11 874,9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11 699,4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11 699,4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13.6.02.45299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11 611,5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11 332,3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11 332,3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13.6.02.45299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263,4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367,1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367,1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13.6.02.S2190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490,7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13.6.02.S2190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490,7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"Экология Шарангского муниципального района на 2021 - 2025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Охрана окружающей среды от загрязнения отходами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Услуги по расчету платы за негативное воздействие на окружающую среду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охраны окружающей среды (кроме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СРЕДСТВА МАССОВОЙ ИНФОРМАЦИИ</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12</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2 715,0</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2 715,0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2 715,0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Телевидение и радиовещание</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12</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2 715,0</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2 715,0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2 715,0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2 715,0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2 715,0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2 715,0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2 715,0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2 715,0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2 715,0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Прочие 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2 715,0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2 715,0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2 715,0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Субсидия СМИ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88.8.06.S2050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2 715,0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2 715,0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2 715,0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88.8.06.S2050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2 715,0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2 715,0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2 715,0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УПРАВЛЕНИЕ ОБРАЗОВАНИЯ И МОЛОДЕЖНОЙ ПОЛИТИКИ АДМИНИСТРАЦИИ ШАРАНГСКОГО МУНИЦИПАЛЬНОГО РАЙОНА НИЖЕГОРОДСКОЙ ОБЛАСТИ</w:t>
            </w:r>
          </w:p>
        </w:tc>
        <w:tc>
          <w:tcPr>
            <w:tcW w:w="96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074</w:t>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300 264,0</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285 835,0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289 014,5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НАЦИОНАЛЬНАЯ ЭКОНОМИКА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Транспорт</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08</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пассажирского транспорта на территории Шарангского муниципального района Нижегородской области на 2020 - 2024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09.0.00.00000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09.0.01.00000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Поддержка и развитие пассажирского транспорта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09.0.01.04080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09.0.01.04080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ОБРАЗОВАНИЕ</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07</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298 587,3</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283 710,8</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286 890,3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Дошкольное образование</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07</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105 882,1</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97 362,1</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97 941,7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"Противодействие терроризму и профилактика экстремизма в Шарангском муниципальном районе на 2021-2023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268,7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165,2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165,2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Усиление антитеррористической защищенности объектов образования, социальной сферы и мест массового пребывания людей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268,7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165,2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165,2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12.0.02.07010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268,7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165,2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165,2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12.0.02.07010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268,7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165,2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165,2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образования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105 578,9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97 162,4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97 742,0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"Развитие общего образования"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94 993,0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92 465,9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92 466,0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94 980,6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92 465,9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92 466,0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16.1.07.42099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40 216,4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39 676,9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39 676,9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16.1.07.42099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40 216,4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39 676,9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39 676,9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1 491,1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1 481,6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1 481,6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1 491,1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1 481,6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1 481,6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16.1.07.73070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922,0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922,0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922,0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16.1.07.73070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922,0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922,0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922,0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16.1.07.73080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51 335,1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50 385,5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50 385,5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16.1.07.73080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51 335,1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50 385,5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50 385,5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1 016,0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1 016,0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Предупреждение распространения, профилактики, диагностика и лечение от новой коронавирусной инфекции (COVID-19)</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16.1.С1.00000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16.1.С1.42099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16.1.С1.42099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"Ресурсное обеспечение сферы образования в Шарангском муниципальном районе"</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10 307,8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4 232,4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4 811,9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Укрепление материально-технической базы,ремонт ОУ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9 743,8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3 679,2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4 258,7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оборудованием и инвентарем в целях ввода в эксплуатацию новых объектов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16.5.04.42000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6 162,4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16.5.04.42000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6 162,4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Укрепление материально- технической базы, ремонт МБДОУ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16.5.04.42099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986,6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16.5.04.42099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986,6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Укрепление материально-технической базы, ремонт МБОУ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453,7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453,7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капитальный ремонт образовательных организаций , реализующих общеобразовательные программы Нижегородской области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16.5.04.S2180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2 141,1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3 679,2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4 258,7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16.5.04.S2180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2 141,1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3 679,2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4 258,7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Реализация планов мероприятий противопожарной безопасности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16.5.05.00000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564,0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553,2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553,2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16.5.05.42099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564,0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553,2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553,2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16.5.05.42099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564,0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553,2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553,2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«Социально-правовая защита детей в Шарангском муниципальном районе»</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278,1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464,1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464,1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Совершенствование системы социально-правовой защиты детей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278,1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464,1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464,1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 же за детьми с туберкулезной интоксикацией , обучающимися в муниципальных образовательных организациях, реализующих образовательные программы дошкольного образования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16.6.01.73170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278,1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464,1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464,1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16.6.01.73170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278,1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464,1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464,1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"Экология Шарангского муниципального района на 2021 - 2025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34,5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34,5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34,5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Охрана окружающей среды от загрязнения отходами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34,5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34,5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34,5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Услуги по расчету платы за негативное воздействие на окружающую среду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34,5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34,5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34,5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охраны окружающей среды (кроме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34,5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34,5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34,5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34,5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34,5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34,5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Общее образование</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07</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02</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149 687,0</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143 971,0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146 570,9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"Профилактика преступлений и иных правонарушений в Шарангском муниципальном районе на 2021-2025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01.0.00.00000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Улучшение межведомственного взаимодействия правоохранительных органов, органов местного самоуправления и общественности в борьбе с преступностью</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01.0.03.00000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01.0.03.05020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01.0.03.05020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транспортной системы в Шарангском муниципальном районе Нижегородской области в 2021-2025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Формирование у детей навыков безопасного поведения на дорогах</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06.1.02.00000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Организация и проведение районных детских конкурсных программ по профилактике детского дорожно-транспортного травматизма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06.1.02.07080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06.1.02.07080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"Противодействие терроризму и профилактика экстремизма в Шарангском муниципальном районе на 2021-2023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161,7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99,2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99,2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Усиление антитеррористической защищенности объектов образования,социальной сферы и мест массового пребывания людей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161,7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99,2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99,2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12.0.02.07010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161,7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99,2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99,2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12.0.02.07010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161,7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99,2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99,2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"Управление муниципальными финансами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417,2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"Организация и совершенствование бюджетного процесса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417,2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Резервные фонды местных администраций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14.1.40.07005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417,2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14.1.40.07005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417,2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образования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148 987,8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143 827,3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146 427,2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"Развитие общего образования"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135 910,2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133 570,4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133 574,6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Создание механизмов мотивации педагогов к повышению качества работы и непрерывному профессиональному развитию</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16.1.06.00000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7 945,1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7 847,1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7 847,1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16.1.06.53030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7 847,1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7 847,1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7 847,1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16.1.06.53030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7 847,1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7 847,1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7 847,1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межбюджетные трансферты на поощрение муниципальных управленческих команд в 2021 году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16.1.06.5549F</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98,0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16.1.06.5549F</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98,0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125 999,5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125 171,8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125 176,0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27 598,7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27 353,8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27 358,0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27 598,7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27 353,8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27 358,0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16.1.07.73070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95 967,2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95 832,9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95 832,9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16.1.07.73070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95 967,2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95 832,9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95 832,9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235,1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235,1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16.1.07.S2490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2 198,5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1 985,1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1 985,1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16.1.07.S2490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2 198,5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1 985,1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1 985,1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деятельности общеобразовательных учреждений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16.1.08.00000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432,0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551,5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551,5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16.1.08.42199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51,0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51,0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51,0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16.1.08.42199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51,0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51,0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51,0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16.1.08.73070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190,0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16.1.08.73070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190,0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16.1.08.73140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191,0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300,5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300,5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16.1.08.73140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191,0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300,5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300,5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иных межбюджетных трансфертов на финансовое обеспечение деятельности центров образования цифрового и гуманитарного профилей "Точка роста"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16.1.E1.74590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1 532,6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16.1.E1.74590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1 532,6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Предупреждение распространения, профилактики, диагностика и лечение от новой коронавирусной инфекции (COVID-19)</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16.1.С1.00000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16.1.С1.42199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16.1.С1.42199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«Патриотическое воспитание детей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16.4.00.00000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75,1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Проведение комплекса мероприятий по патриотическому воспитанию у детей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16.4.08.00000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75,1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16.4.08.42199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75,1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16.4.08.42199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75,1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"Ресурсное обеспечение сферы образования в Шарангском муниципальном районе"</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5 808,8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2 716,1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5 382,5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Муниципальные педагогические конференции, торжественные мероприятия с педагогами, праздничные приемы, юбилейные мероприятия подведомственных ОУ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16.5.03.00000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16.5.03.42199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16.5.03.42199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342,0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Укрепление материально-технической базы,ремонт ОУ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5 089,4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1 996,7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4 663,1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Укрепление материально-технической базы, ремонт МБОУ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3 358,0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3 358,0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приобретение школьных автобусов в лизинг</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16.5.04.42620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284,6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284,6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284,6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16.5.04.42620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284,6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284,6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284,6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капитальный ремонт образовательных организаций , реализующих общеобразовательные программы Нижегородской области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16.5.04.S2180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1 446,8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1 712,1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4 378,5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16.5.04.S2180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1 446,8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1 712,1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4 378,5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Реализация планов мероприятий противопожарной безопасности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16.5.05.00000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377,4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377,4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377,4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16.5.05.42199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377,4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377,4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377,4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16.5.05.42199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377,4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377,4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377,4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«Социально-правовая защита детей в Шарангском муниципальном районе»</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7 123,7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7 394,8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7 324,1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Совершенствование системы социально-правовой защиты детей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7 123,7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7 394,8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7 324,1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16.6.01.73180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1 039,2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1 039,2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1 039,2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16.6.01.73180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1 039,2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1 039,2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1 039,2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организацию бесплатного горячего питания обучающихся, получающих начальное общее образование в муниципальных образовательных организациях</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16.6.01.L3040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6 074,5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6 345,6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6 274,9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16.6.01.L3040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6 074,5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6 345,6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6 274,9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«Молодежь»</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16.7.00.00000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Комплекс мероприятий, направленных на становление духовно-нравственного и патриотического воспитания молодежи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16.7.02.00000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16.7.02.42199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16.7.02.42199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"Экология Шарангского муниципального района на 2021 - 2025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24,5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24,5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24,5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Охрана окружающей среды от загрязнения отходами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24,5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24,5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24,5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Услуги по расчету платы за негативное воздействие на окружающую среду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24,5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24,5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24,5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охраны окружающей среды (кроме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24,5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24,5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24,5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24,5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24,5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24,5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74,9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74,9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межбюджетных трансфертов вышестоящих бюджетов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74,9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иных межбюджетных трансфертов из фонда поддержки территорий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88.8.05.22000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74,9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88.8.05.22000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74,9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Дополнительное образование детей</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07</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03</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11 413,4</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12 027,7</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12 027,7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"Противодействие терроризму и профилактика экстремизма в Шарангском муниципальном районе на 2021-2023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Усиление антитеррористической защищенности объектов образования, социальной сферы и мест массового пребывания людей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12.0.02.07010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12.0.02.07010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образования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11 401,2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12 018,3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12 018,3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"Развитие дополнительного образования и воспитания детей"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11 368,2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11 985,3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11 985,3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деятельности учреждений по внешкольной работе с детьми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8 466,9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10 198,5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10 198,5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16.2.02.42399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8 393,8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10 198,5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10 198,5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16.2.02.42399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8 393,8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10 198,5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10 198,5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16.2.02.S2190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73,1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16.2.02.S2190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73,1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Функционирование модели персонифицированного финансирования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16.2.13.00000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2 901,3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1 786,8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1 786,8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функционирования модели персонифицированного финансирования дополнительного образования детей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16.2.13.42399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2 901,3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1 786,8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1 786,8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16.2.13.42399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2 901,3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1 751,8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1 751,8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16.2.13.42399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"Ресурсное обеспечение сферы образования в Шарангском муниципальном районе"</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Реализация планов мероприятий противопожарной безопасности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16.5.05.00000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деятельности бюджетных учреждений, финансируемых из районного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16.5.05.42399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16.5.05.42399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"Экология Шарангского муниципального района на 2021 - 2025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Охрана окружающей среды от загрязнения отходами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Услуги по расчету платы за негативное воздействие на окружающую среду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охраны окружающей среды (кроме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Молодежная политика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07</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07</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1 253,1</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2 034,1</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2 034,1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образования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1 253,1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2 034,1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2 034,1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"Развитие дополнительного образования и воспитания детей"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1 253,1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2 034,1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2 034,1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Оздоровление детей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16.2.09.00000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1 253,1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2 034,1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2 034,1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Организация отдыха и оздоровления детей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16.2.09.43101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1 253,1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1 748,0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1 748,0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Социальное обеспечение и иные выплаты населению</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16.2.09.43101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464,4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464,4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16.2.09.43101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1 253,1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1 283,6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1 283,6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16.2.09.73320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286,1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286,1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16.2.09.73320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13,6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13,6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Социальное обеспечение и иные выплаты населению</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16.2.09.73320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272,5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272,5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Другие вопросы в области образования</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07</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09</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30 351,7</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28 315,9</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28 315,9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образования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30 351,7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28 315,9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28 315,9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«Социально-правовая защита детей в Шарангском муниципальном районе»</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468,7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465,4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465,4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Совершенствование системы социально-правовой защиты детей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468,7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465,4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465,4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16.6.01.73020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468,7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465,4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465,4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16.6.01.73020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440,7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437,4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437,4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16.6.01.73020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28,0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28,0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28,0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 Обеспечение реализации муниципальной программы»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29 883,0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27 850,5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27 850,5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Содержание аппарата 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3 495,6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3 515,1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3 515,1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функций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3 495,6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3 515,1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3 515,1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3 459,2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3 478,7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3 478,7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36,4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36,4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36,4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605,3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602,6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602,6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16.8.02.73010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605,3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602,6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602,6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16.8.02.73010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409,8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394,9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394,9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16.8.02.73010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195,5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207,7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207,7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16.8.04.00000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25 782,</w:t>
            </w:r>
            <w:r>
              <w:rPr>
                <w:sz w:val="24"/>
                <w:szCs w:val="24"/>
                <w:shd w:fill="FFFFFF" w:val="clear"/>
              </w:rPr>
              <w:t>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23 732,8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23 732,8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Учебно-методические кабинеты, централизованные бухгалтерии и группы хозяйственного обслуживания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16.8.04.45299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25 136,9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23 732,8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23 732,8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16.8.04.45299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22 369,1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21 296,4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21 296,4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16.8.04.45299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2 761,9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2 436,4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2 436,4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16.8.04.45299</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16.8.04.S2190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645,2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16.8.04.S2190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645,2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СОЦИАЛЬНАЯ ПОЛИТИКА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1 676,7</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2 024,2</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2 024,2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Охрана семьи и детства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1 676,7</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2 024,2</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2 024,2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образования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1 676,7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2 024,2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2 024,2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«Социально-правовая защита детей в Шарангском муниципальном районе»</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1 676,7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2 024,2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2 024,2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Совершенствование системы социально-правовой защиты детей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1 676,7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2 024,2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2 024,2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16.6.01.73110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1 676,7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2 024,2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2 024,2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16.6.01.73110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24,7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29,9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29,9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Социальное обеспечение и иные выплаты населению</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16.6.01.73110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1 652,0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1 994,3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1 994,3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УПРАВЛЕНИЕ СЕЛЬСКОГО ХОЗЯЙСТВА АДМИНИСТРАЦИИ ШАРАНГСКОГО МУНИЦИПАЛЬНОГО РАЙОНА НИЖЕГОРОДСКОЙ ОБЛАСТИ</w:t>
            </w:r>
          </w:p>
        </w:tc>
        <w:tc>
          <w:tcPr>
            <w:tcW w:w="96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082</w:t>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60 024,2</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35 086,3</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35 143,8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НАЦИОНАЛЬНАЯ ЭКОНОМИКА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60 024,2</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35 086,3</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35 143,8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Сельское хозяйство и рыболовство</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05</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60 024,2</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35 086,3</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35 143,8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агропромышленного комплекса Шарангского муниципального района Нижегородской области"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60 024,2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35 086,3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35 143,8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"Развитие сельского хозяйства, пищевой и перерабатывающей промышленности Шарангского муниципального района Нижегородской области" до 2025 года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55 593,3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30 754,6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30 812,1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Развитие производства продукции растениеводства (субсидирование части затрат)</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9 035,4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11 276,9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11 334,4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Возмещение производителям зерновых культур части затрат на производство и реализацию зерновых культур</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11.1.01.R3680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256,2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11.1.01.R3680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256,2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11.1.01.R5020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4 285,7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8 323,6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8 381,1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11.1.01.R5020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4 285,7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8 323,6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8 381,1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Поддержка сельскохозяйственного производства по отдельным подотраслям растениеводства и животноводства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11.1.01.R5080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4 493,5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2 953,3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2 953,3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11.1.01.R5080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4 493,5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2 953,3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2 953,3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Развитие производства продукции животноводства (субсидирование части затрат)</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19 947,5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13 360,5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13 360,5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11.1.02.R5020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2 976,1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3 265,3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3 265,3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11.1.02.R5020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2 976,1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3 265,3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3 265,3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Поддержка сельскохозяйственного производства по отдельным подотраслям растениеводства и животноводства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11.1.02.R5080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15 599,8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10 095,2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10 095,2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11.1.02.R5080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15 599,8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10 095,2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10 095,2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Возмещение производителям, осуществляющим разведение и (или) содержание молочного крупного скота, части затрат на приобретение кормов для молочного крупного скота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11.1.02.R6690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1 371,6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11.1.02.R6690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1 371,6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Обновление парка сельскохозяйственной техники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11.1.09.00000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26 193,4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5 643,2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5 643,2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возмещение части затрат на приобретение оборудования и техники за счет средств областного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11.1.09.73220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26 193,4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5 643,2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5 643,2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11.1.09.73220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26 193,4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5 643,2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5 643,2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Финансовая поддержка сельхозпредприятий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11.1.11.00000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417,0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474,0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474,0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Финансовая поддержка сельхозпредприятий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11.1.11.04050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417,0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474,0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474,0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11.1.11.04050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11.1.11.04050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384,0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444,0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444,0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"Обеспечение реализации муниципальной программы"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11.4.00.00000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4 430,9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4 331,7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4 331,7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выполнения целей, задач и показателей муниципальной программы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11.4.01.00000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4 430,9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4 331,7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4 331,7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функций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11.4.01.20401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11.4.01.20401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осуществление полномочий по поддержке сельскохозяйственного производства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11.4.01.73030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4 360,9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4 331,7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4 331,7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11.4.01.73030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3 852,6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3 894,6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3 894,6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11.4.01.73030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508,3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436,6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436,6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11.4.01.73030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ЗЕМСКОЕ СОБРАНИЕ ШАРАНГСКОГО МУНИЦИПАЛЬНОГО РАЙОНА НИЖЕГОРОДСКОЙ ОБЛАСТИ</w:t>
            </w:r>
          </w:p>
        </w:tc>
        <w:tc>
          <w:tcPr>
            <w:tcW w:w="96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330</w:t>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698,3</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698,4</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698,3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ОБЩЕГОСУДАРСТВЕННЫЕ ВОПРОСЫ</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698,3</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698,4</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698,3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03</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620,3</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620,4</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620,3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"Экология Шарангского муниципального района на 2021 - 2025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Охрана окружающей среды от загрязнения отходами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Услуги по расчету платы за негативное воздействие на окружающую среду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охраны окружающей среды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617,3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617,4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617,3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617,3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617,4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617,3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Содержание аппарата 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617,3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617,4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617,3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функций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617,3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617,4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617,3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398,3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398,4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398,3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219,0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219,0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219,0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Другие общегосударственные вопросы</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13</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78,0</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78,0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78,0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78,0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78,0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78,0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78,0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78,0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78,0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Содержание аппарата 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78,0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78,0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78,0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Прочие выплаты по обязательствам муниципального образования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88.8.01.92035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78,0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78,0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78,0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88.8.01.92035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Социальное обеспечение и иные выплаты населению</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88.8.01.92035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88.8.01.92035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18,0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18,0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18,0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АДМИНИСТРАЦИЯ ШАРАНГСКОГО МУНИЦИПАЛЬНОГО РАЙОНА НИЖЕГОРОДСКОЙ ОБЛАСТИ</w:t>
            </w:r>
          </w:p>
        </w:tc>
        <w:tc>
          <w:tcPr>
            <w:tcW w:w="96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487</w:t>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189 454,8</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95 618,4</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132 558,9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ОБЩЕГОСУДАРСТВЕННЫЕ ВОПРОСЫ</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33 863,9</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29 371,9</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30 293,5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Функционирование высшего должностного лица субъекта Российской Федерации и муниципального образования</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02</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1 918,9</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1 918,9</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1 918,9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Содержание аппарата 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Глава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88.8.01.20300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88.8.01.20300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1 918,9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26 454,8</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23 388,7</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24 359,7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«Противодействие коррупции в Шарангском муниципальном районе на 2021-2025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05.0.00.00000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Организация на территории Шарангского муниципального района антикоррупционного просвещения, обучения и воспитания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05.0.03.00000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Организация обучения по программам повышения квалификации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05.0.03.20401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05.0.03.20401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05.0.03.20401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"Экология Шарангского муниципального района на 2021 - 2025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Охрана окружающей среды от загрязнения отходами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Услуги по расчету платы за негативное воздействие на окружающую среду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охраны окружающей среды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26 439,3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23 373,2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24 344,2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26 439,3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23 373,2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24 344,2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Содержание аппарата 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26 439,3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23 373,2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24 344,2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функций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24 257,4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22 509,3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23 480,3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18 418,1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18 057,1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18 057,1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5 819,3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4 452,2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5 423,2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88.8.01.20401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межбюджетные трансферты на поощрение муниципальных управленческих команд в 2021 году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88.8.01.5549F</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1 312,0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88.8.01.5549F</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1 192,0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88.8.01.5549F</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88.8.01.73040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473,0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469,7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469,7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88.8.01.73040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458,7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440,7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440,7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88.8.01.73040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14,3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29,0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29,0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88.8.01.73060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396,9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394,2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394,2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88.8.01.73060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366,2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363,5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363,5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88.8.01.73060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30,7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30,7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30,7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Судебная система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05</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12,6</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54,5</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54,5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54,5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межбюджетных трансфертов вышестоящих бюджетов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54,5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88.8.05.51200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54,5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88.8.05.51200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54,5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Другие общегосударственные вопросы</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13</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5 477,6</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4 009,8</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4 009,8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21.0.00.00000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21.1.00.00000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 а также качественное развитие процесса разграничения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21.1.01.00000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Оценка недвижимости, признание прав и регулирование отношений по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21.1.01.90020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21.1.01.90020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5 427,6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3 959,8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3 959,8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5 427,6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3 959,8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3 959,8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Содержание аппарата 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5 427,6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3 959,8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3 959,8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Прочие выплаты по обязательствам муниципального образования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88.8.01.92035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1 082,1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881,1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881,1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88.8.01.92035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1 082,1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881,1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881,1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Учреждения по обеспечению хозяйственного обслуживания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88.8.01.93990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4 228,5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3 078,7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3 078,7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88.8.01.93990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2 921,2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2 922,3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2 922,3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88.8.01.93990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1 307,3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156,4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156,4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88.8.01.S2190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НАЦИОНАЛЬНАЯ БЕЗОПАСНОСТЬ И ПРАВООХРАНИТЕЛЬНАЯ ДЕЯТЕЛЬНОСТЬ</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03</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3 633,4</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3 547,3</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3 547,3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Защита населения и территории от чрезвычайных ситуаций природного и техногенного характера, пожарная безопасность</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03</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3 633,4</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3 547,3</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3 547,3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3 633,4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3 547,3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3 547,3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Защита населения от чрезвычайных ситуаций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08.1.00.00000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3 633,4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3 547,3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3 547,3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необходимых условий для безопасной жизнедеятельности и устойчивого социально-экономического развития Шарангского муниципального района Нижегородской области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08.1.02.00000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3 633,4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3 547,3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3 547,3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деятельности ЕДДС</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08.1.02.02990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3 318,5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3 347,3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3 347,3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08.1.02.02990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2 573,7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2 602,5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2 602,5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08.1.02.02990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744,8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744,8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744,8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08.1.02.21801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08.1.02.21801</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08.1.02.S2190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114,9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08.1.02.S2190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114,9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НАЦИОНАЛЬНАЯ ЭКОНОМИКА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14 121,6</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1 777,3</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6 178,2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Сельское хозяйство и рыболовство</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05</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88,0</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88,0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88,0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межбюджетных трансфертов вышестоящих бюджетов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88,0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 а также по организации проведения мероприятий по предупреждению и ликвидации болезней животных, их лечению, защите населения от болезней, общих для человека и животных</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88.8.05.73310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88,0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88.8.05.73310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88,0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Водное хозяйство</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06</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75,2</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75,2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75,2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Прочие 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75,2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водного хозяйства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88.8.06.03506</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75,2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88.8.06.03506</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75,2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Транспорт</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08</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7 557,7</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1 000,0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4 000,0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пассажирского транспорта на территории Шарангского муниципального района Нижегородской области на 2020 - 2024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09.0.00.00000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7 557,7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4 000,0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09.0.01.00000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7 557,7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4 000,0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Поддержка и развитие пассажирского транспорта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09.0.01.04080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7 557,7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4 000,0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08</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09.0.01.04080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7 557,7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4 000,0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Дорожное хозяйство (дорожные фонды)</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09</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5 457,4</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транспортной системы в Шарангском муниципальном районе Нижегородской области в 2021-2025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5 457,4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Ремонт и содержание автомобильных дорог общего пользования в Шарангском муниципальном районе</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5 457,4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Содержание автомобильных дорог общего пользования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06.2.02.00000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457,4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Содержание автомобильных дорог общего пользования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06.2.02.07080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457,4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06.2.02.07080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140,4</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06.2.02.07080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317,0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капитальный ремонт и ремонт автомобильных дорог общего пользования местного значения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06.2.03.00000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5 000,0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реализацию полномочий органов местного самоуправления по решению вопросов местного значения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06.2.03.S2650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5 000,0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09</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06.2.03.S2650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5 000,0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Связь и информатика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238,3</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122,3</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523,2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"Построение и развитие аппаратно-программного комплекса "Безопасный город" в Шарангском муниципальном районе на 2019-2021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07.0.00.00000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76,2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76,2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76,2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своевременного оповещения и информирования населения техническими средствами оповещения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07.0.03.04100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76,2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76,2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76,2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07.0.03.04100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76,2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76,2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76,2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162,1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46,1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447,0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162,1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46,1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447,0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Прочие 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162,1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46,1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447,0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доступа к системе электронного документооборота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88.8.06.S2300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162,1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46,1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447,0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88.8.06.S2300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162,1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46,1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447,0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Другие вопросы в области национальной экономики</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12</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705,0</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655,0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1 655,0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предпринимательства и туризма в Шарангском муниципальном районе Нижегородской области на 2021-2025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02.0.00.00000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Эффективная кредитно-финансовая инвестиционная поддержка субъектов малого предпринимательства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02.0.01.00000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Субсидия на поддержку малого предпринимательства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02.0.01.02290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02.0.01.02290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300,0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21.0.00.00000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405,0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355,0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1 355,0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21.1.00.00000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405,0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355,0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1 355,0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Проведение кадастровых работ, разработка проектов планировки и межевания, изготовление топографических съемок, публикация в СМИ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21.1.02.00000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405,0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355,0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1 355,0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по землеустройству и землепользованию</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21.1.02.03403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405,0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355,0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1 355,0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21.1.02.03403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405,0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355,0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1 355,0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ЖИЛИЩНО-КОММУНАЛЬНОЕ ХОЗЯЙСТВО</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05</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44 242,4</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1 368,6</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26 971,4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Жилищное хозяйство</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05</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35 945,8</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293,9</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9 978,4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агропромышленного комплекса Шарангского муниципального района Нижегородской области"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27 593,9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"Комплексное развитие сельских территорий Шарангского муниципального района Нижегородской области" до 2025 года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27 593,9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Строительство (реконструкция) в сельской местности объектов социальной и инженерной инфраструктуры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11.2.22.04050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1 120,0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Капитальные вложения в объекты государственной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11.2.22.04050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1 120,0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Строительство (реконструкция) в сельской местности объектов социальной и инженерной инфраструктуры, объектов сельскохозяйственного назначения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11.2.22.L5760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26 473,9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Капитальные вложения в объекты государственной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11.2.22.L5760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26 473,9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"Переселение граждан из аварийного жилищного фонда на территории Шарангского муниципального района, в том числе с учетом необходимости развития малоэтажного жилищного строительства на 2019-2023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8 027,8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88,0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9 802,6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мероприятий по переселению граждан из аварийного жилищного фонда (2 этап)</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20.2.00.03503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78,8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20.2.00.03503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78,8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мероприятий по переселению граждан из аварийного жилищного фонда за счет средств корпорации - Фонда содействия реформированию жилищно-коммунального хозяйства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20.3.F3.67483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3 552,5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Капитальные вложения в объекты государственной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20.3.F3.67483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3 552,5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мероприятий по переселению граждан из аварийного жилищного фонда за счет средств областного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20.3.F3.67484</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120,3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Капитальные вложения в объекты государственной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20.3.F3.67484</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120,3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мероприятий по переселению граждан из аварийного жилищного фонда за счет средств местного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20.3.F3.6748S</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30,1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Капитальные вложения в объекты государственной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20.3.F3.6748S</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30,1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мероприятий по переселению граждан из аварийного жилищного фонда за счет средств корпорации - Фонда содействия реформированию жилищно-коммунального хозяйства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20.4.F3.67483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4 076,2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9 355,8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Капитальные вложения в объекты государственной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20.4.F3.67483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4 076,2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9 355,8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мероприятий по переселению граждан из аварийного жилищного фонда за счет средств областного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20.4.F3.67484</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135,9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311,9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Капитальные вложения в объекты государственной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20.4.F3.67484</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135,9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311,9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мероприятий по переселению граждан из аварийного жилищного фонда за счет средств местного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20.4.F3.6748S</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34,0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38,0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Капитальные вложения в объекты государственной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20.4.F3.6748S</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34,0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38,0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мероприятий по переселению граждан из аварийного жилищного фонда за счет средств местного бюджета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20.5.F3.6748S</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85,0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Капитальные вложения в объекты государственной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20.5.F3.6748S</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85,0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324,1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205,9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175,8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324,1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205,9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175,8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Прочие 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324,1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205,9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175,8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Капитальный ремонт муниципального жилищного фонда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88.8.06.03502</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175,8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205,9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175,8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88.8.06.03502</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175,8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205,9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175,8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жилищного хозяйства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88.8.06.03503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148,3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88.8.06.03503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148,3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Коммунальное хозяйство</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05</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02</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8 168,7</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1 072,4</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16 990,7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2 760,0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15 918,3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Проектно-изыскательские работы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15 918,3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Реализация мероприятий в рамках адресной инвестиционной программы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22.0.01.S2450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15 918,3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Капитальные вложения в объекты государственной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22.0.01.S2450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15 918,3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Прочее</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22.0.03.00000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2 760,0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коммунального хозяйства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22.0.03.03515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2 760,0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22.0.03.03515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380,0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Капитальные вложения в объекты государственной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22.0.03.03515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1 430,0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22.0.03.03515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950,0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5 408,7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1 072,4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1 072,4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5 408,7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1 072,4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1 072,4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Прочие 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5 408,7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1 072,4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1 072,4</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88.8.06.03513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964,2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964,2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964,2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88.8.06.03513</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964,2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964,2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964,2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коммунального хозяйства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88.8.06.03515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4 444,5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108,2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108,2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88.8.06.03515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4 336,3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88.8.06.03515</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108,2</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108,2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108,2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Благоустройство</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05</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03</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80,0</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Прочие 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межбюджетные трансферты на поощрение муниципальных управленческих команд в 2021 году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88.8.06.5549F</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Межбюджетные трансферты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88.8.06.5549F</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500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Другие вопросы в области жилищно-коммунального хозяйства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05</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05</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47,9</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2,3</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47,9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47,9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Прочие 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47,9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Бюджетные инвестиции в объекты капитального строительства собственности муниципальных образований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88.8.06.01020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45,6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Капитальные вложения в объекты государственной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88.8.06.01020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45,6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88.8.06.73050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05</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88.8.06.73050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ОБРАЗОВАНИЕ</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07</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33 363,2</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5 505,7</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5 505,7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Дошкольное образование</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07</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24 157,5</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образования Шарангского муниципального района"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24 157,5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"Развитие общего образования"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447,9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447,9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обеспечение деятельности вводимых в эксплуатацию новых объектов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16.1.07.42000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447,9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16.1.07.42000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447,9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"Ресурсное обеспечение сферы образования в Шарангском муниципальном районе"</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23 709,6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Укрепление материально-технической базы,ремонт ОУ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23 709,6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реализацию проектов комплексного развития сельских территорий (сельских агломераций)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16.5.04.L5760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23 709,6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Капитальные вложения в объекты государственной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16.5.04.L5760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23 709,6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Общее образование</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07</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02</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3 700,0</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"Инвестиционная программа Шарангского муниципального района Нижегородской области на 2021-2023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3 700,0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Проектно-изыскательские работы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3 700,0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Бюджетные инвестиции в объекты капитального строительства собственности муниципальных образований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22.0.01.01020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3 700,0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Капитальные вложения в объекты государственной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22.0.01.01020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3 700,0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Дополнительное образование детей</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07</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03</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5 505,7</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5 505,7</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5 505,7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физической культуры и спорта Шарангского муниципального района на 2020 - 2024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5 505,7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5 505,7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5 505,7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"Развитие физической культуры и массового спорта"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5 505,7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5 505,7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5 505,7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деятельности муниципальных учреждений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5 505,7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5 505,7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5 505,7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выполнения МАУ"ФОК в р.п.Шаранга Нижегородской области" муниципального задания по оказанию услуг</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15.1.02.11120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5 505,7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5 505,7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15.1.02.11120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5 505,7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5 505,7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15.1.02.S2090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5 505,7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07</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15.1.02.S2090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5 505,7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СОЦИАЛЬНАЯ ПОЛИТИКА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9 386,6</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10 299,3</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12 416,8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Пенсионное обеспечение</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01</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3 437,0</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3 387,0</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5 387,0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3 437,0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3 387,0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5 387,0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3 437,0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3 387,0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5 387,0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Прочие 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3 437,0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3 387,0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5 387,0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социальной политики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88.8.06.05140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3 437,0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3 387,0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5 387,0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Социальное обеспечение и иные выплаты населению</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01</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88.8.06.05140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3 437,0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3 387,0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5 387,0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Социальное обеспечение населения</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03</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412,3</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1 270,8</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1 286,7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«Обеспечение граждан Шарангского района доступным и комфортным жильем на период 2021-2023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04.0.00.00000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108,3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27,9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«Обеспечение жильем молодых семей в Шарангском р-не на период 2021-2023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04.1.00.00000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Компенсация процентной ставки по кредитам, выданным до 31.12.2006 года в рамках РЦП "Молодой семье - доступное жилье" на 2005 - 2010 годы, утвержденной решением ЗС Шарангского р-на от 15.04.2005 г. №15</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04.1.03.00000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социальных выплат гражданам на оплату части процентной ставки по кредитам на строительство (приобретение) жилья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04.1.03.10060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Социальное обеспечение и иные выплаты населению</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04.1.03.10060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«Ипотечное жилищное кредитование населения Шарангского района на период 2021-2023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04.2.00.00000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106,8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26,4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04.2.02.00000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106,8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26,4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компенсацию части платежа по полученным гражданами - участниками социальной (льготной) ипотеки ипотечным жилищным кредитам (займам)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04.2.02.S2270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106,8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26,4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Социальное обеспечение и иные выплаты населению</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04.2.02.S2270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106,8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26,4</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"Социальная поддержка граждан Шарангского муниципального района Нижегородской области на 2021-2025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10.0.00.00000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234,0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234,0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234,0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"Социальная поддержка семей"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10.1.00.00000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социальной политики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10.1.01.00000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Проведение районных мероприятий в области социальной политики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10.1.01.10010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10.1.01.10010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55,0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"Старшее поколение и социальная поддержка инвалидов"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10.2.00.00000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социальной политики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10.2.01.00000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Проведение районных мероприятий в области социальной политики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10.2.01.10010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10.2.01.10010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156,0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"Ветераны боевых действий"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10.3.00.00000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социальной политики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10.3.01.00000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Проведение районных мероприятийв области социальной политики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10.3.01.10010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10.3.01.10010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23,0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1 008,9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1 051,2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1 008,9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1 051,2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межбюджетных трансфертов вышестоящих бюджетов</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иных межбюджетных трансфертов из фонда поддержки территорий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88.8.05.22000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Социальное обеспечение и иные выплаты населению</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88.8.05.22000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Прочие 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1 008,9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1 051,2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обеспечение жильем отдельных категорий граждан, установленных ФЗ от 12 января 1995 года №5-ФЗ "О ветеранах"</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88.8.06.51350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1 008,9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1 051,2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Социальное обеспечение и иные выплаты населению</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03</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88.8.06.51350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1 008,9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1 051,2</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Охрана семьи и детства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04</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5 474,5</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5 578,7</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5 680,3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«Обеспечение граждан Шарангского района доступным и комфортным жильем на период 2021-2023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04.0.00.00000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1 071,0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1 260,1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1 361,7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«Обеспечение жильем молодых семей в Шарангском р-не на период 2021-2023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04.1.00.00000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1 071,0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1 260,1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1 361,7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Государственная поддержка молодых семей Шарангского района в решении жилищной проблемы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04.1.01.00000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1 071,0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1 260,1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1 361,7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социальных выплат молодым семьям на приобретение (строительство) жилья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04.1.01.L4970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1 071,0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1 260,1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1 361,7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Социальное обеспечение и иные выплаты населению</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04.1.01.L4970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300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1 071,0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1 260,1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1 361,7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4 403,5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4 318,6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4 318,6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4 403,5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4 318,6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4 318,6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Прочие 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4 403,5</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4 318,6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4 318,6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проведение ремонта жилых помещений собственниками которых являются дети-сироты и дети, оставшихся без попечения родителей, а так же лица из числа детей –сирот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88.8.06.73120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84,9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88.8.06.73120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84,9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88.8.06.R0820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4 318,6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4 318,6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4 318,6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Капитальные вложения в объекты государственной (муниципальной) собственности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04</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88.8.06.R0820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400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4 318,6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4 318,6</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4 318,6</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Другие вопросы в области социальной политики</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10</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06</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62,8</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62,8</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62,8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«Профилактика безнадзорности и правонарушений несовершеннолетних в Шарангском муниципальном районе на 2021-2023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Организация проведения мероприятий, направленных на профилактику правонарушений и преступлений несовершеннолетних</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18.1.00.00000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Организация проведения мероприятий, направленных на профилактику правонарушений и преступлений несовершеннолетних</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18.1.01.00000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Организация конкурсов , соревнований и фестиваля по профилактике правонарушений и преступлений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18.1.01.14010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18.1.01.14010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25,0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Прочие 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Субсидии отдельным общественным организациям и иным некоммерческим объединениям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88.8.06.14050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10</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06</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88.8.06.14050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37,8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ФИЗИЧЕСКАЯ КУЛЬТУРА И СПОРТ</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11</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48 297,6</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41 202,2</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45 099,9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Массовый спорт</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11</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02</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48 297,6</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41 202,2</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45 099,9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«Развитие физической культуры и спорта Шарангского муниципального района на 2020 - 2024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48 291,6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41 196,2</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45 093,9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"Развитие физической культуры и массового спорта"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46 243,0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39 195,0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43 092,7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Проведение физкультурно-массовых мероприятий среди различных категорий населения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286,7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286,7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286,7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спорта и физической культуры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15.1.01.11020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286,7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286,7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286,7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15.1.01.11020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173,0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173,0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173,0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15.1.01.11020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113,7</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113,7</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113,7</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деятельности муниципальных учреждений</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15.1.02.00000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45 956,3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38 908,3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42 806,0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выполнения МАУ"ФОК в р.п.Шаранга Нижегородской области" муниципального задания по оказанию услуг</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15.1.02.11120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22 666,9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38 908,3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19 093,1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15.1.02.11120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22 666,9</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38 908,3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19 093,1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15.1.02.S2090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22 900,6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23 712,9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15.1.02.S2090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22 900,6</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23 712,9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15.1.02.S2190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388,8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15.1.02.S2190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388,8</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"Развитие спорта высших достижений и системы подготовки спортивного резерва"</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15.2.00.00000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Проведение межрайонных , областных соревнований, обеспечение участия спортсменов в официальных соревнованиях</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15.2.01.00000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спорта и физической культуры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15.2.01.11020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426,3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15.2.01.11020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147,0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147,0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147,0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15.2.01.11020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279,3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279,3</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279,3</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Подпрограмма "Обеспечение реализации муниципальной программы"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15.3.00.00000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1 622,3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1 574,9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1 574,9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реализации муниципальной программы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15.3.01.00000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1 622,3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1 574,9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1 574,9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Обеспечение реализации муниципальной программы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15.3.01.11220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1 602,3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1 574,9</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1 574,9</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15.3.01.11220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902,3</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874,1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874,1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Закупка товаров, работ и услуг для обеспечения государственных (муниципальных) нужд</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15.3.01.11220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700,0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700,8</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700,8</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за счет субсидии на оплату труда отдельным категориям работников муниципальных учреждений и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15.3.01.S2190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15.3.01.S2190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100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20,0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0,0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Муниципальная программа "Экология Шарангского муниципального района на 2021 - 2025 годы"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Охрана окружающей среды от загрязнения отходами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Услуги по расчету платы за негативное воздействие на окружающую среду</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Мероприятия в области охраны окружающей среды (кроме органов местного самоуправления)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Предоставление субсидий бюджетным, автономным учреждениям и иным некоммерческим организациям</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11</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17.3.09.07070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600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6,0</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СРЕДСТВА МАССОВОЙ ИНФОРМАЦИИ</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12</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2 546,1</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2 546,1</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2 546,1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Периодическая печать и издательства</w:t>
            </w:r>
          </w:p>
        </w:tc>
        <w:tc>
          <w:tcPr>
            <w:tcW w:w="969" w:type="dxa"/>
            <w:tcBorders>
              <w:bottom w:val="single" w:sz="4" w:space="0" w:color="000000"/>
              <w:right w:val="single" w:sz="4" w:space="0" w:color="000000"/>
            </w:tcBorders>
            <w:vAlign w:val="center"/>
          </w:tcPr>
          <w:p>
            <w:pPr>
              <w:pStyle w:val="Normal"/>
              <w:snapToGrid w:val="false"/>
              <w:jc w:val="center"/>
              <w:rPr>
                <w:b/>
                <w:b/>
                <w:bCs/>
                <w:sz w:val="24"/>
                <w:szCs w:val="24"/>
              </w:rPr>
            </w:pPr>
            <w:r>
              <w:rPr>
                <w:b/>
                <w:bCs/>
                <w:sz w:val="24"/>
                <w:szCs w:val="24"/>
              </w:rPr>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12</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02</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00.0.00.00000</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000</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2 546,1</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2 546,1</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2 546,1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88.0.00.00000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2 546,1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2 546,1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2 546,1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Непрограммное направление деятельности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88.8.00.00000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2 546,1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2 546,1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2 546,1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Прочие непрограммные расходы</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88.8.06.00000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2 546,1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2 546,1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2 546,1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Субсидия СМИ</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88.8.06.S2050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000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2 546,1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2 546,1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2 546,1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sz w:val="24"/>
                <w:szCs w:val="24"/>
              </w:rPr>
            </w:pPr>
            <w:r>
              <w:rPr>
                <w:sz w:val="24"/>
                <w:szCs w:val="24"/>
              </w:rPr>
              <w:t>Иные бюджетные ассигнования</w:t>
            </w:r>
          </w:p>
        </w:tc>
        <w:tc>
          <w:tcPr>
            <w:tcW w:w="969" w:type="dxa"/>
            <w:tcBorders>
              <w:bottom w:val="single" w:sz="4" w:space="0" w:color="000000"/>
              <w:right w:val="single" w:sz="4" w:space="0" w:color="000000"/>
            </w:tcBorders>
            <w:vAlign w:val="center"/>
          </w:tcPr>
          <w:p>
            <w:pPr>
              <w:pStyle w:val="Normal"/>
              <w:snapToGrid w:val="false"/>
              <w:jc w:val="center"/>
              <w:rPr>
                <w:sz w:val="24"/>
                <w:szCs w:val="24"/>
              </w:rPr>
            </w:pPr>
            <w:r>
              <w:rPr>
                <w:sz w:val="24"/>
                <w:szCs w:val="24"/>
              </w:rPr>
            </w:r>
          </w:p>
        </w:tc>
        <w:tc>
          <w:tcPr>
            <w:tcW w:w="650" w:type="dxa"/>
            <w:tcBorders>
              <w:bottom w:val="single" w:sz="4" w:space="0" w:color="000000"/>
              <w:right w:val="single" w:sz="4" w:space="0" w:color="000000"/>
            </w:tcBorders>
            <w:vAlign w:val="center"/>
          </w:tcPr>
          <w:p>
            <w:pPr>
              <w:pStyle w:val="Normal"/>
              <w:jc w:val="center"/>
              <w:rPr>
                <w:sz w:val="24"/>
                <w:szCs w:val="24"/>
              </w:rPr>
            </w:pPr>
            <w:r>
              <w:rPr>
                <w:sz w:val="24"/>
                <w:szCs w:val="24"/>
              </w:rPr>
              <w:t>12</w:t>
            </w:r>
          </w:p>
        </w:tc>
        <w:tc>
          <w:tcPr>
            <w:tcW w:w="684" w:type="dxa"/>
            <w:tcBorders>
              <w:bottom w:val="single" w:sz="4" w:space="0" w:color="000000"/>
              <w:right w:val="single" w:sz="4" w:space="0" w:color="000000"/>
            </w:tcBorders>
            <w:vAlign w:val="center"/>
          </w:tcPr>
          <w:p>
            <w:pPr>
              <w:pStyle w:val="Normal"/>
              <w:jc w:val="center"/>
              <w:rPr>
                <w:sz w:val="24"/>
                <w:szCs w:val="24"/>
              </w:rPr>
            </w:pPr>
            <w:r>
              <w:rPr>
                <w:sz w:val="24"/>
                <w:szCs w:val="24"/>
              </w:rPr>
              <w:t>02</w:t>
            </w:r>
          </w:p>
        </w:tc>
        <w:tc>
          <w:tcPr>
            <w:tcW w:w="1679" w:type="dxa"/>
            <w:tcBorders>
              <w:bottom w:val="single" w:sz="4" w:space="0" w:color="000000"/>
              <w:right w:val="single" w:sz="4" w:space="0" w:color="000000"/>
            </w:tcBorders>
            <w:vAlign w:val="center"/>
          </w:tcPr>
          <w:p>
            <w:pPr>
              <w:pStyle w:val="Normal"/>
              <w:jc w:val="center"/>
              <w:rPr>
                <w:sz w:val="24"/>
                <w:szCs w:val="24"/>
              </w:rPr>
            </w:pPr>
            <w:r>
              <w:rPr>
                <w:sz w:val="24"/>
                <w:szCs w:val="24"/>
              </w:rPr>
              <w:t>88.8.06.S2050</w:t>
            </w:r>
          </w:p>
        </w:tc>
        <w:tc>
          <w:tcPr>
            <w:tcW w:w="848" w:type="dxa"/>
            <w:tcBorders>
              <w:bottom w:val="single" w:sz="4" w:space="0" w:color="000000"/>
              <w:right w:val="single" w:sz="4" w:space="0" w:color="000000"/>
            </w:tcBorders>
            <w:vAlign w:val="center"/>
          </w:tcPr>
          <w:p>
            <w:pPr>
              <w:pStyle w:val="Normal"/>
              <w:jc w:val="center"/>
              <w:rPr>
                <w:sz w:val="24"/>
                <w:szCs w:val="24"/>
              </w:rPr>
            </w:pPr>
            <w:r>
              <w:rPr>
                <w:sz w:val="24"/>
                <w:szCs w:val="24"/>
              </w:rPr>
              <w:t>800</w:t>
            </w:r>
          </w:p>
        </w:tc>
        <w:tc>
          <w:tcPr>
            <w:tcW w:w="1265" w:type="dxa"/>
            <w:tcBorders>
              <w:bottom w:val="single" w:sz="4" w:space="0" w:color="000000"/>
              <w:right w:val="single" w:sz="4" w:space="0" w:color="000000"/>
            </w:tcBorders>
            <w:vAlign w:val="center"/>
          </w:tcPr>
          <w:p>
            <w:pPr>
              <w:pStyle w:val="Normal"/>
              <w:jc w:val="center"/>
              <w:rPr>
                <w:sz w:val="24"/>
                <w:szCs w:val="24"/>
              </w:rPr>
            </w:pPr>
            <w:r>
              <w:rPr>
                <w:sz w:val="24"/>
                <w:szCs w:val="24"/>
              </w:rPr>
              <w:t>2 546,1</w:t>
            </w:r>
          </w:p>
        </w:tc>
        <w:tc>
          <w:tcPr>
            <w:tcW w:w="1195" w:type="dxa"/>
            <w:tcBorders>
              <w:bottom w:val="single" w:sz="4" w:space="0" w:color="000000"/>
              <w:right w:val="single" w:sz="4" w:space="0" w:color="000000"/>
            </w:tcBorders>
            <w:vAlign w:val="center"/>
          </w:tcPr>
          <w:p>
            <w:pPr>
              <w:pStyle w:val="Normal"/>
              <w:jc w:val="center"/>
              <w:rPr>
                <w:sz w:val="24"/>
                <w:szCs w:val="24"/>
              </w:rPr>
            </w:pPr>
            <w:r>
              <w:rPr>
                <w:sz w:val="24"/>
                <w:szCs w:val="24"/>
              </w:rPr>
              <w:t>2 546,1</w:t>
            </w:r>
          </w:p>
        </w:tc>
        <w:tc>
          <w:tcPr>
            <w:tcW w:w="1315" w:type="dxa"/>
            <w:tcBorders>
              <w:bottom w:val="single" w:sz="4" w:space="0" w:color="000000"/>
              <w:right w:val="single" w:sz="4" w:space="0" w:color="000000"/>
            </w:tcBorders>
            <w:vAlign w:val="center"/>
          </w:tcPr>
          <w:p>
            <w:pPr>
              <w:pStyle w:val="Normal"/>
              <w:jc w:val="center"/>
              <w:rPr>
                <w:sz w:val="24"/>
                <w:szCs w:val="24"/>
              </w:rPr>
            </w:pPr>
            <w:r>
              <w:rPr>
                <w:sz w:val="24"/>
                <w:szCs w:val="24"/>
              </w:rPr>
              <w:t>2 546,1</w:t>
            </w:r>
          </w:p>
        </w:tc>
      </w:tr>
      <w:tr>
        <w:trPr>
          <w:trHeight w:val="23" w:hRule="atLeast"/>
        </w:trPr>
        <w:tc>
          <w:tcPr>
            <w:tcW w:w="6394" w:type="dxa"/>
            <w:tcBorders>
              <w:left w:val="single" w:sz="4" w:space="0" w:color="000000"/>
              <w:bottom w:val="single" w:sz="4" w:space="0" w:color="000000"/>
              <w:right w:val="single" w:sz="4" w:space="0" w:color="000000"/>
            </w:tcBorders>
            <w:vAlign w:val="center"/>
          </w:tcPr>
          <w:p>
            <w:pPr>
              <w:pStyle w:val="Normal"/>
              <w:jc w:val="both"/>
              <w:rPr>
                <w:b/>
                <w:b/>
                <w:bCs/>
                <w:sz w:val="24"/>
                <w:szCs w:val="24"/>
              </w:rPr>
            </w:pPr>
            <w:r>
              <w:rPr>
                <w:b/>
                <w:bCs/>
                <w:sz w:val="24"/>
                <w:szCs w:val="24"/>
              </w:rPr>
              <w:t>Всего</w:t>
            </w:r>
          </w:p>
        </w:tc>
        <w:tc>
          <w:tcPr>
            <w:tcW w:w="96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 </w:t>
            </w:r>
          </w:p>
        </w:tc>
        <w:tc>
          <w:tcPr>
            <w:tcW w:w="650"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 </w:t>
            </w:r>
          </w:p>
        </w:tc>
        <w:tc>
          <w:tcPr>
            <w:tcW w:w="684"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 </w:t>
            </w:r>
          </w:p>
        </w:tc>
        <w:tc>
          <w:tcPr>
            <w:tcW w:w="1679"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 </w:t>
            </w:r>
          </w:p>
        </w:tc>
        <w:tc>
          <w:tcPr>
            <w:tcW w:w="848"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 </w:t>
            </w:r>
          </w:p>
        </w:tc>
        <w:tc>
          <w:tcPr>
            <w:tcW w:w="126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715 436,4</w:t>
            </w:r>
          </w:p>
        </w:tc>
        <w:tc>
          <w:tcPr>
            <w:tcW w:w="119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541 174,6</w:t>
            </w:r>
          </w:p>
        </w:tc>
        <w:tc>
          <w:tcPr>
            <w:tcW w:w="1315" w:type="dxa"/>
            <w:tcBorders>
              <w:bottom w:val="single" w:sz="4" w:space="0" w:color="000000"/>
              <w:right w:val="single" w:sz="4" w:space="0" w:color="000000"/>
            </w:tcBorders>
            <w:vAlign w:val="center"/>
          </w:tcPr>
          <w:p>
            <w:pPr>
              <w:pStyle w:val="Normal"/>
              <w:jc w:val="center"/>
              <w:rPr>
                <w:b/>
                <w:b/>
                <w:bCs/>
                <w:sz w:val="24"/>
                <w:szCs w:val="24"/>
              </w:rPr>
            </w:pPr>
            <w:r>
              <w:rPr>
                <w:b/>
                <w:bCs/>
                <w:sz w:val="24"/>
                <w:szCs w:val="24"/>
              </w:rPr>
              <w:t>596 849,3</w:t>
            </w:r>
          </w:p>
        </w:tc>
      </w:tr>
    </w:tbl>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jc w:val="right"/>
        <w:rPr>
          <w:sz w:val="28"/>
          <w:szCs w:val="28"/>
        </w:rPr>
      </w:pPr>
      <w:r>
        <w:rPr>
          <w:sz w:val="28"/>
          <w:szCs w:val="28"/>
        </w:rPr>
        <w:t xml:space="preserve">Приложение 7 </w:t>
      </w:r>
    </w:p>
    <w:p>
      <w:pPr>
        <w:pStyle w:val="Normal"/>
        <w:jc w:val="right"/>
        <w:rPr>
          <w:sz w:val="28"/>
          <w:szCs w:val="28"/>
        </w:rPr>
      </w:pPr>
      <w:r>
        <w:rPr>
          <w:sz w:val="28"/>
          <w:szCs w:val="28"/>
        </w:rPr>
        <w:t xml:space="preserve">к решению Земского собрания </w:t>
      </w:r>
    </w:p>
    <w:p>
      <w:pPr>
        <w:pStyle w:val="Normal"/>
        <w:jc w:val="right"/>
        <w:rPr>
          <w:sz w:val="28"/>
          <w:szCs w:val="28"/>
        </w:rPr>
      </w:pPr>
      <w:r>
        <w:rPr>
          <w:sz w:val="28"/>
          <w:szCs w:val="28"/>
        </w:rPr>
        <w:t xml:space="preserve">Шарангского муниципального района </w:t>
      </w:r>
    </w:p>
    <w:p>
      <w:pPr>
        <w:pStyle w:val="Normal"/>
        <w:jc w:val="right"/>
        <w:rPr>
          <w:sz w:val="28"/>
          <w:szCs w:val="28"/>
        </w:rPr>
      </w:pPr>
      <w:r>
        <w:rPr>
          <w:sz w:val="28"/>
          <w:szCs w:val="28"/>
        </w:rPr>
        <w:t xml:space="preserve">«О районном бюджете на 2021 год и </w:t>
      </w:r>
    </w:p>
    <w:p>
      <w:pPr>
        <w:pStyle w:val="Normal"/>
        <w:jc w:val="right"/>
        <w:rPr>
          <w:sz w:val="28"/>
          <w:szCs w:val="28"/>
        </w:rPr>
      </w:pPr>
      <w:r>
        <w:rPr>
          <w:sz w:val="28"/>
          <w:szCs w:val="28"/>
        </w:rPr>
        <w:t>на плановый период 2022 и 2023 годов»</w:t>
      </w:r>
    </w:p>
    <w:p>
      <w:pPr>
        <w:pStyle w:val="Normal"/>
        <w:jc w:val="center"/>
        <w:rPr>
          <w:b/>
          <w:b/>
          <w:bCs/>
          <w:color w:val="000000"/>
          <w:sz w:val="28"/>
          <w:szCs w:val="28"/>
        </w:rPr>
      </w:pPr>
      <w:r>
        <w:rPr>
          <w:b/>
          <w:bCs/>
          <w:color w:val="000000"/>
          <w:sz w:val="28"/>
          <w:szCs w:val="28"/>
        </w:rPr>
      </w:r>
    </w:p>
    <w:p>
      <w:pPr>
        <w:pStyle w:val="Normal"/>
        <w:jc w:val="center"/>
        <w:rPr>
          <w:b/>
          <w:b/>
          <w:bCs/>
          <w:color w:val="000000"/>
          <w:sz w:val="28"/>
          <w:szCs w:val="28"/>
        </w:rPr>
      </w:pPr>
      <w:r>
        <w:rPr>
          <w:b/>
          <w:bCs/>
          <w:color w:val="000000"/>
          <w:sz w:val="28"/>
          <w:szCs w:val="28"/>
        </w:rPr>
        <w:t xml:space="preserve">Распределение бюджетных ассигнований по разделам, </w:t>
        <w:br/>
        <w:t xml:space="preserve">подразделам, группам видов расходов классификации </w:t>
        <w:br/>
        <w:t xml:space="preserve">расходов районного бюджета на 2021 год </w:t>
        <w:br/>
        <w:t>и на плановый период 2022 и 2023 годов</w:t>
      </w:r>
    </w:p>
    <w:p>
      <w:pPr>
        <w:pStyle w:val="Normal"/>
        <w:jc w:val="right"/>
        <w:rPr/>
      </w:pPr>
      <w:r>
        <w:rPr>
          <w:sz w:val="24"/>
          <w:szCs w:val="24"/>
        </w:rPr>
        <w:t xml:space="preserve">                                                                                                                                                                                                                                                                                                                              </w:t>
      </w:r>
      <w:r>
        <w:rPr>
          <w:sz w:val="24"/>
          <w:szCs w:val="24"/>
        </w:rPr>
        <w:t xml:space="preserve">(тыс. </w:t>
      </w:r>
      <w:r>
        <w:rPr/>
        <w:t>рублей)</w:t>
      </w:r>
    </w:p>
    <w:tbl>
      <w:tblPr>
        <w:tblW w:w="15354" w:type="dxa"/>
        <w:jc w:val="left"/>
        <w:tblInd w:w="-113" w:type="dxa"/>
        <w:tblLayout w:type="fixed"/>
        <w:tblCellMar>
          <w:top w:w="0" w:type="dxa"/>
          <w:left w:w="108" w:type="dxa"/>
          <w:bottom w:w="0" w:type="dxa"/>
          <w:right w:w="108" w:type="dxa"/>
        </w:tblCellMar>
      </w:tblPr>
      <w:tblGrid>
        <w:gridCol w:w="8860"/>
        <w:gridCol w:w="696"/>
        <w:gridCol w:w="890"/>
        <w:gridCol w:w="1380"/>
        <w:gridCol w:w="1176"/>
        <w:gridCol w:w="1176"/>
        <w:gridCol w:w="1176"/>
      </w:tblGrid>
      <w:tr>
        <w:trPr>
          <w:tblHeader w:val="true"/>
          <w:trHeight w:val="338" w:hRule="atLeast"/>
        </w:trPr>
        <w:tc>
          <w:tcPr>
            <w:tcW w:w="886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Наименование</w:t>
            </w:r>
          </w:p>
        </w:tc>
        <w:tc>
          <w:tcPr>
            <w:tcW w:w="2966" w:type="dxa"/>
            <w:gridSpan w:val="3"/>
            <w:tcBorders>
              <w:top w:val="single" w:sz="4" w:space="0" w:color="000000"/>
              <w:left w:val="single" w:sz="4" w:space="0" w:color="000000"/>
              <w:bottom w:val="single" w:sz="4" w:space="0" w:color="000000"/>
            </w:tcBorders>
            <w:vAlign w:val="center"/>
          </w:tcPr>
          <w:p>
            <w:pPr>
              <w:pStyle w:val="Normal"/>
              <w:jc w:val="center"/>
              <w:rPr/>
            </w:pPr>
            <w:r>
              <w:rPr>
                <w:b/>
                <w:bCs/>
                <w:color w:val="000000"/>
                <w:sz w:val="24"/>
                <w:szCs w:val="24"/>
              </w:rPr>
              <w:t>Код бюджетной классификации </w:t>
            </w:r>
          </w:p>
        </w:tc>
        <w:tc>
          <w:tcPr>
            <w:tcW w:w="117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ind w:left="-109" w:firstLine="109"/>
              <w:jc w:val="center"/>
              <w:rPr>
                <w:b/>
                <w:b/>
                <w:bCs/>
                <w:color w:val="000000"/>
                <w:sz w:val="24"/>
                <w:szCs w:val="24"/>
              </w:rPr>
            </w:pPr>
            <w:r>
              <w:rPr>
                <w:b/>
                <w:bCs/>
                <w:color w:val="000000"/>
                <w:sz w:val="24"/>
                <w:szCs w:val="24"/>
              </w:rPr>
              <w:t>2021 год</w:t>
            </w:r>
          </w:p>
        </w:tc>
        <w:tc>
          <w:tcPr>
            <w:tcW w:w="117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2022 год</w:t>
            </w:r>
          </w:p>
        </w:tc>
        <w:tc>
          <w:tcPr>
            <w:tcW w:w="117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2023 год</w:t>
            </w:r>
          </w:p>
        </w:tc>
      </w:tr>
      <w:tr>
        <w:trPr>
          <w:tblHeader w:val="true"/>
          <w:trHeight w:val="726" w:hRule="atLeast"/>
        </w:trPr>
        <w:tc>
          <w:tcPr>
            <w:tcW w:w="88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696" w:type="dxa"/>
            <w:tcBorders>
              <w:top w:val="single" w:sz="4" w:space="0" w:color="000000"/>
              <w:bottom w:val="single" w:sz="4" w:space="0" w:color="000000"/>
              <w:right w:val="single" w:sz="4" w:space="0" w:color="000000"/>
            </w:tcBorders>
            <w:vAlign w:val="center"/>
          </w:tcPr>
          <w:p>
            <w:pPr>
              <w:pStyle w:val="Normal"/>
              <w:jc w:val="center"/>
              <w:rPr/>
            </w:pPr>
            <w:r>
              <w:rPr>
                <w:b/>
                <w:bCs/>
                <w:color w:val="000000"/>
                <w:sz w:val="24"/>
                <w:szCs w:val="24"/>
              </w:rPr>
              <w:t>Раз дел</w:t>
            </w:r>
          </w:p>
        </w:tc>
        <w:tc>
          <w:tcPr>
            <w:tcW w:w="890" w:type="dxa"/>
            <w:tcBorders>
              <w:top w:val="single" w:sz="4" w:space="0" w:color="000000"/>
              <w:bottom w:val="single" w:sz="4" w:space="0" w:color="000000"/>
              <w:right w:val="single" w:sz="4" w:space="0" w:color="000000"/>
            </w:tcBorders>
            <w:vAlign w:val="center"/>
          </w:tcPr>
          <w:p>
            <w:pPr>
              <w:pStyle w:val="Normal"/>
              <w:jc w:val="center"/>
              <w:rPr/>
            </w:pPr>
            <w:r>
              <w:rPr>
                <w:b/>
                <w:bCs/>
                <w:color w:val="000000"/>
                <w:sz w:val="24"/>
                <w:szCs w:val="24"/>
              </w:rPr>
              <w:t>Под раз  дел</w:t>
            </w:r>
          </w:p>
        </w:tc>
        <w:tc>
          <w:tcPr>
            <w:tcW w:w="1380" w:type="dxa"/>
            <w:tcBorders>
              <w:top w:val="single" w:sz="4" w:space="0" w:color="000000"/>
              <w:left w:val="single" w:sz="4" w:space="0" w:color="000000"/>
              <w:bottom w:val="single" w:sz="4" w:space="0" w:color="000000"/>
              <w:right w:val="single" w:sz="4" w:space="0" w:color="000000"/>
            </w:tcBorders>
            <w:vAlign w:val="center"/>
          </w:tcPr>
          <w:p>
            <w:pPr>
              <w:pStyle w:val="Normal"/>
              <w:jc w:val="center"/>
              <w:rPr/>
            </w:pPr>
            <w:r>
              <w:rPr>
                <w:b/>
                <w:bCs/>
                <w:color w:val="000000"/>
                <w:sz w:val="24"/>
                <w:szCs w:val="24"/>
              </w:rPr>
              <w:t>Вид расходов </w:t>
            </w:r>
          </w:p>
        </w:tc>
        <w:tc>
          <w:tcPr>
            <w:tcW w:w="11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1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c>
          <w:tcPr>
            <w:tcW w:w="11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b/>
                <w:b/>
                <w:bCs/>
                <w:color w:val="000000"/>
                <w:sz w:val="24"/>
                <w:szCs w:val="24"/>
              </w:rPr>
            </w:pPr>
            <w:r>
              <w:rPr>
                <w:b/>
                <w:bCs/>
                <w:color w:val="000000"/>
                <w:sz w:val="24"/>
                <w:szCs w:val="24"/>
              </w:rPr>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b/>
                <w:b/>
                <w:bCs/>
                <w:color w:val="000000"/>
                <w:sz w:val="24"/>
                <w:szCs w:val="24"/>
              </w:rPr>
            </w:pPr>
            <w:r>
              <w:rPr>
                <w:b/>
                <w:bCs/>
                <w:color w:val="000000"/>
                <w:sz w:val="24"/>
                <w:szCs w:val="24"/>
              </w:rPr>
              <w:t>ОБЩЕГОСУДАРСТВЕННЫЕ ВОПРОСЫ</w:t>
            </w:r>
          </w:p>
        </w:tc>
        <w:tc>
          <w:tcPr>
            <w:tcW w:w="69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01</w:t>
            </w:r>
          </w:p>
        </w:tc>
        <w:tc>
          <w:tcPr>
            <w:tcW w:w="89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3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47 835,1</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41 673,4</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42 594,9</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Функционирование высшего должностного лица субъекта Российской Федерации и муниципального образования</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1 918,9</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620,3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620,4</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620,3</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398,3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398,4</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398,3</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222,0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222,0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222,0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26 511,8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23 388,7</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24 359,7</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20 435,5</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18 861,8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18 861,8</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5 879,3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4 526,9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5 497,9</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Межбюджетные трансферты</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177,0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Иные бюджетные ассигнования</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Судебная система</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12,6</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54,5</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12,6</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54,5</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Обеспечение деятельности финансовых, налоговых и таможенных органов и органов финансового (финансово-бюджетного) надзора</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11 000,7</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10 603,1</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10 603,1</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10 085,2</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9 611,1</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9 611,1</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915,5</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992,0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992,0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Резервные фонды</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1 582,8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Иные бюджетные ассигнования</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1 582,8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1 000,0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Другие общегосударственные вопросы</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6 188,0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4 087,8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4 087,8</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3 038,2</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2 922,3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2 922,3</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2 499,4</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1 112,5</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1 112,5</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Межбюджетные трансферты</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632,4</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Иные бюджетные ассигнования</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b/>
                <w:b/>
                <w:bCs/>
                <w:color w:val="000000"/>
                <w:sz w:val="24"/>
                <w:szCs w:val="24"/>
              </w:rPr>
            </w:pPr>
            <w:r>
              <w:rPr>
                <w:b/>
                <w:bCs/>
                <w:color w:val="000000"/>
                <w:sz w:val="24"/>
                <w:szCs w:val="24"/>
              </w:rPr>
              <w:t>НАЦИОНАЛЬНАЯ ОБОРОНА</w:t>
            </w:r>
          </w:p>
        </w:tc>
        <w:tc>
          <w:tcPr>
            <w:tcW w:w="69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02</w:t>
            </w:r>
          </w:p>
        </w:tc>
        <w:tc>
          <w:tcPr>
            <w:tcW w:w="89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3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891,8</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900,5</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934,3</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Мобилизационная и вневойсковая подготовка</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891,8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900,5</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934,3</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Межбюджетные трансферты</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891,8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900,5</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934,3</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b/>
                <w:b/>
                <w:bCs/>
                <w:color w:val="000000"/>
                <w:sz w:val="24"/>
                <w:szCs w:val="24"/>
              </w:rPr>
            </w:pPr>
            <w:r>
              <w:rPr>
                <w:b/>
                <w:bCs/>
                <w:color w:val="000000"/>
                <w:sz w:val="24"/>
                <w:szCs w:val="24"/>
              </w:rPr>
              <w:t>НАЦИОНАЛЬНАЯ БЕЗОПАСНОСТЬ И ПРАВООХРАНИТЕЛЬНАЯ ДЕЯТЕЛЬНОСТЬ</w:t>
            </w:r>
          </w:p>
        </w:tc>
        <w:tc>
          <w:tcPr>
            <w:tcW w:w="69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03</w:t>
            </w:r>
          </w:p>
        </w:tc>
        <w:tc>
          <w:tcPr>
            <w:tcW w:w="89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3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4 027,7</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3 547,3</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3 547,3</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Защита населения и территории от чрезвычайных ситуаций природного и техногенного характера, пожарная безопасность</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4 027,7</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3 547,3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3 547,3</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2 688,6</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2 602,5</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2 602,5</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744,8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744,8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744,8</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Межбюджетные трансферты</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394,3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Иные бюджетные ассигнования</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b/>
                <w:b/>
                <w:bCs/>
                <w:color w:val="000000"/>
                <w:sz w:val="24"/>
                <w:szCs w:val="24"/>
              </w:rPr>
            </w:pPr>
            <w:r>
              <w:rPr>
                <w:b/>
                <w:bCs/>
                <w:color w:val="000000"/>
                <w:sz w:val="24"/>
                <w:szCs w:val="24"/>
              </w:rPr>
              <w:t>НАЦИОНАЛЬНАЯ ЭКОНОМИКА</w:t>
            </w:r>
          </w:p>
        </w:tc>
        <w:tc>
          <w:tcPr>
            <w:tcW w:w="69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04</w:t>
            </w:r>
          </w:p>
        </w:tc>
        <w:tc>
          <w:tcPr>
            <w:tcW w:w="89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3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87 106,3</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36 963,6</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41 422,0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Сельское хозяйство и рыболовство</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60 112,2</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35 086,3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35 143,8</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3 852,6</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3 894,6</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3 894,6</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699,3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466,6</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466,6</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Иные бюджетные ассигнования</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55 560,3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30 725,1</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30 782,6</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Водное хозяйство</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75,2</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75,2</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Транспорт</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7 557,7</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1 100,0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4 100,0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Иные бюджетные ассигнования</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7 557,7</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1 100,0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4 100,0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Дорожное хозяйство (дорожные фонды)</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18 417,9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140,4</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Межбюджетные трансферты</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18 277,5</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Связь и информатика</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238,3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122,3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523,2</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238,3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122,3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523,2</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Другие вопросы в области национальной экономики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705,0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655,0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1 655,0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405,0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355,0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1 355,0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Иные бюджетные ассигнования</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b/>
                <w:b/>
                <w:bCs/>
                <w:color w:val="000000"/>
                <w:sz w:val="24"/>
                <w:szCs w:val="24"/>
              </w:rPr>
            </w:pPr>
            <w:r>
              <w:rPr>
                <w:b/>
                <w:bCs/>
                <w:color w:val="000000"/>
                <w:sz w:val="24"/>
                <w:szCs w:val="24"/>
              </w:rPr>
              <w:t>ЖИЛИЩНО-КОММУНАЛЬНОЕ ХОЗЯЙСТВО</w:t>
            </w:r>
          </w:p>
        </w:tc>
        <w:tc>
          <w:tcPr>
            <w:tcW w:w="69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05</w:t>
            </w:r>
          </w:p>
        </w:tc>
        <w:tc>
          <w:tcPr>
            <w:tcW w:w="89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3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51 926,6</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4 489,8</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30 092,6</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Жилищное хозяйство</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36 054,7</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293,9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9 978,4</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402,8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255,9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225,8</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35 542,9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38,0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9 752,6</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Межбюджетные трансферты</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109,0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Коммунальное хозяйство</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8 168,7</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1 072,4</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16 990,7</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4 716,3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1 430,0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15 918,3</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Иные бюджетные ассигнования</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2 022,4</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1 072,4</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1 072,4</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Благоустройство</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7 655,3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Межбюджетные трансферты</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7 655,3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3 121,2</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Другие вопросы в области жилищно-коммунального хозяйства</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47,9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05</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45,6</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b/>
                <w:b/>
                <w:bCs/>
                <w:color w:val="000000"/>
                <w:sz w:val="24"/>
                <w:szCs w:val="24"/>
              </w:rPr>
            </w:pPr>
            <w:r>
              <w:rPr>
                <w:b/>
                <w:bCs/>
                <w:color w:val="000000"/>
                <w:sz w:val="24"/>
                <w:szCs w:val="24"/>
              </w:rPr>
              <w:t>ОБРАЗОВАНИЕ</w:t>
            </w:r>
          </w:p>
        </w:tc>
        <w:tc>
          <w:tcPr>
            <w:tcW w:w="69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07</w:t>
            </w:r>
          </w:p>
        </w:tc>
        <w:tc>
          <w:tcPr>
            <w:tcW w:w="89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3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342 167,5</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299 398,0</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302 577,5</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Дошкольное образование</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130 039,6</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97 362,1</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97 941,6</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6 610,3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23 709,6</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99 719,7</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97 362,1</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97 941,6</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Общее образование</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153 387,0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143 971,0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146 571,0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759,0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769,0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769,0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3 700,0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148 928,0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143 202,0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145 802,0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Дополнительное образование детей</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27 136,1</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27 714,9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27 714,9</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27 136,1</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27 679,9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27 679,9</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Иные бюджетные ассигнования</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35,0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Молодежная политика</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1 253,1</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2 034,1</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2 034,1</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13,6</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736,9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736,9</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1 253,1</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1 283,6</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1 283,6</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Другие вопросы в области образования</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30 351,7</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28 315,9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28 315,9</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27 324,0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25 607,4</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25 607,4</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3 021,8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2 708,5</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2 708,5</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Иные бюджетные ассигнования</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07</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09</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b/>
                <w:b/>
                <w:bCs/>
                <w:color w:val="000000"/>
                <w:sz w:val="24"/>
                <w:szCs w:val="24"/>
              </w:rPr>
            </w:pPr>
            <w:r>
              <w:rPr>
                <w:b/>
                <w:bCs/>
                <w:color w:val="000000"/>
                <w:sz w:val="24"/>
                <w:szCs w:val="24"/>
              </w:rPr>
              <w:t>КУЛЬТУРА, КИНЕМАТОГРАФИЯ</w:t>
            </w:r>
          </w:p>
        </w:tc>
        <w:tc>
          <w:tcPr>
            <w:tcW w:w="69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08</w:t>
            </w:r>
          </w:p>
        </w:tc>
        <w:tc>
          <w:tcPr>
            <w:tcW w:w="89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3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66 595,7</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64 144,1</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64 144,1</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Культура</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52 943,3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51 202,9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51 202,9</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52 943,3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51 202,9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51 202,9</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Другие вопросы в области культуры, кинематографии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13 652,4</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12 941,2</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12 941,2</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13 289,0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12 522,4</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12 522,4</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08</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363,4</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418,8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418,8</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b/>
                <w:b/>
                <w:bCs/>
                <w:color w:val="000000"/>
                <w:sz w:val="24"/>
                <w:szCs w:val="24"/>
              </w:rPr>
            </w:pPr>
            <w:r>
              <w:rPr>
                <w:b/>
                <w:bCs/>
                <w:color w:val="000000"/>
                <w:sz w:val="24"/>
                <w:szCs w:val="24"/>
              </w:rPr>
              <w:t>СОЦИАЛЬНАЯ ПОЛИТИКА</w:t>
            </w:r>
          </w:p>
        </w:tc>
        <w:tc>
          <w:tcPr>
            <w:tcW w:w="69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10</w:t>
            </w:r>
          </w:p>
        </w:tc>
        <w:tc>
          <w:tcPr>
            <w:tcW w:w="89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3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11 063,3</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12 323,5</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14 441,0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Пенсионное обеспечение</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3 437,0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3 387,0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5 387,0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3 437,0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3 387,0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5 387,0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Социальное обеспечение населения</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412,3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1 270,8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1 286,7</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234,0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234,0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234,0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178,3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1 036,8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1 052,7</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Охрана семьи и детства</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7 151,2</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7 602,9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7 704,5</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109,6</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29,9</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Социальное обеспечение и иные выплаты населению</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2 723,0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3 254,4</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3 356,0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Капитальные вложения в объекты государственной (муниципальной) собственности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04</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4 318,6</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Другие вопросы в области социальной политики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62,8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62,8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62,8</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25,0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06</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37,8</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b/>
                <w:b/>
                <w:bCs/>
                <w:color w:val="000000"/>
                <w:sz w:val="24"/>
                <w:szCs w:val="24"/>
              </w:rPr>
            </w:pPr>
            <w:r>
              <w:rPr>
                <w:b/>
                <w:bCs/>
                <w:color w:val="000000"/>
                <w:sz w:val="24"/>
                <w:szCs w:val="24"/>
              </w:rPr>
              <w:t>ФИЗИЧЕСКАЯ КУЛЬТУРА И СПОРТ</w:t>
            </w:r>
          </w:p>
        </w:tc>
        <w:tc>
          <w:tcPr>
            <w:tcW w:w="69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11</w:t>
            </w:r>
          </w:p>
        </w:tc>
        <w:tc>
          <w:tcPr>
            <w:tcW w:w="89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3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48 327,5</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41 202,2</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45 099,9</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Массовый спорт</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48 327,5</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41 202,2</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45 099,9</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1 242,3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1 194,1</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1 194,1</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Закупка товаров, работ и услуг для обеспечения государственных (муниципальных) нужд</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1 093,0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1 093,8</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1 093,8</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Межбюджетные трансферты</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29,9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Предоставление субсидий бюджетным, автономным учреждениям и иным некоммерческим организациям</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11</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600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45 962,3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38 914,3</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42 812,0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b/>
                <w:b/>
                <w:bCs/>
                <w:color w:val="000000"/>
                <w:sz w:val="24"/>
                <w:szCs w:val="24"/>
              </w:rPr>
            </w:pPr>
            <w:r>
              <w:rPr>
                <w:b/>
                <w:bCs/>
                <w:color w:val="000000"/>
                <w:sz w:val="24"/>
                <w:szCs w:val="24"/>
              </w:rPr>
              <w:t>СРЕДСТВА МАССОВОЙ ИНФОРМАЦИИ</w:t>
            </w:r>
          </w:p>
        </w:tc>
        <w:tc>
          <w:tcPr>
            <w:tcW w:w="69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12</w:t>
            </w:r>
          </w:p>
        </w:tc>
        <w:tc>
          <w:tcPr>
            <w:tcW w:w="89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3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5 261,1</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5 261,1</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5 261,1</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Телевидение и радиовещание</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Иные бюджетные ассигнования</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2 715,0</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Периодическая печать и издательства</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Иные бюджетные ассигнования</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12</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02</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800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2 546,1</w:t>
            </w:r>
          </w:p>
        </w:tc>
      </w:tr>
      <w:tr>
        <w:trPr>
          <w:trHeight w:val="23" w:hRule="atLeast"/>
        </w:trPr>
        <w:tc>
          <w:tcPr>
            <w:tcW w:w="8860" w:type="dxa"/>
            <w:tcBorders>
              <w:left w:val="single" w:sz="4" w:space="0" w:color="000000"/>
              <w:bottom w:val="single" w:sz="4" w:space="0" w:color="000000"/>
              <w:right w:val="single" w:sz="4" w:space="0" w:color="000000"/>
            </w:tcBorders>
            <w:vAlign w:val="center"/>
          </w:tcPr>
          <w:p>
            <w:pPr>
              <w:pStyle w:val="Normal"/>
              <w:rPr>
                <w:b/>
                <w:b/>
                <w:bCs/>
                <w:color w:val="000000"/>
                <w:sz w:val="24"/>
                <w:szCs w:val="24"/>
              </w:rPr>
            </w:pPr>
            <w:r>
              <w:rPr>
                <w:b/>
                <w:bCs/>
                <w:color w:val="000000"/>
                <w:sz w:val="24"/>
                <w:szCs w:val="24"/>
              </w:rPr>
              <w:t>МЕЖБЮДЖЕТНЫЕ ТРАНСФЕРТЫ ОБЩЕГО ХАРАКТЕРА БЮДЖЕТАМ БЮДЖЕТНОЙ СИСТЕМЫ РОССИЙСКОЙ ФЕДЕРАЦИИ</w:t>
            </w:r>
          </w:p>
        </w:tc>
        <w:tc>
          <w:tcPr>
            <w:tcW w:w="69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14</w:t>
            </w:r>
          </w:p>
        </w:tc>
        <w:tc>
          <w:tcPr>
            <w:tcW w:w="89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w:t>
            </w:r>
          </w:p>
        </w:tc>
        <w:tc>
          <w:tcPr>
            <w:tcW w:w="1380"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50 233,8</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31 271,1</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46 734,6</w:t>
            </w:r>
          </w:p>
        </w:tc>
      </w:tr>
      <w:tr>
        <w:trPr>
          <w:trHeight w:val="23" w:hRule="atLeast"/>
        </w:trPr>
        <w:tc>
          <w:tcPr>
            <w:tcW w:w="8860" w:type="dxa"/>
            <w:tcBorders>
              <w:left w:val="single" w:sz="4" w:space="0" w:color="000000"/>
              <w:bottom w:val="single" w:sz="4" w:space="0" w:color="000000"/>
              <w:right w:val="single" w:sz="4" w:space="0" w:color="000000"/>
            </w:tcBorders>
            <w:vAlign w:val="center"/>
          </w:tcPr>
          <w:p>
            <w:pPr>
              <w:pStyle w:val="Normal"/>
              <w:rPr>
                <w:color w:val="000000"/>
                <w:sz w:val="24"/>
                <w:szCs w:val="24"/>
              </w:rPr>
            </w:pPr>
            <w:r>
              <w:rPr>
                <w:color w:val="000000"/>
                <w:sz w:val="24"/>
                <w:szCs w:val="24"/>
              </w:rPr>
              <w:t>Дотации на выравнивание бюджетной обеспеченности субъектов Российской Федерации и муниципальных образований</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33 501,9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26 899,7</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28 394,4</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Межбюджетные трансферты</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01</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33 501,9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26 899,7</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28 394,4</w:t>
            </w:r>
          </w:p>
        </w:tc>
      </w:tr>
      <w:tr>
        <w:trPr>
          <w:trHeight w:val="23" w:hRule="atLeast"/>
        </w:trPr>
        <w:tc>
          <w:tcPr>
            <w:tcW w:w="8860" w:type="dxa"/>
            <w:tcBorders>
              <w:left w:val="single" w:sz="4" w:space="0" w:color="000000"/>
              <w:bottom w:val="single" w:sz="4" w:space="0" w:color="000000"/>
              <w:right w:val="single" w:sz="4" w:space="0" w:color="000000"/>
            </w:tcBorders>
            <w:vAlign w:val="center"/>
          </w:tcPr>
          <w:p>
            <w:pPr>
              <w:pStyle w:val="Normal"/>
              <w:rPr>
                <w:color w:val="000000"/>
                <w:sz w:val="24"/>
                <w:szCs w:val="24"/>
              </w:rPr>
            </w:pPr>
            <w:r>
              <w:rPr>
                <w:color w:val="000000"/>
                <w:sz w:val="24"/>
                <w:szCs w:val="24"/>
              </w:rPr>
              <w:t>Прочие межбюджетные трансферты общего характера</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16 731,9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4 371,4</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18 340,2</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color w:val="000000"/>
                <w:sz w:val="24"/>
                <w:szCs w:val="24"/>
              </w:rPr>
            </w:pPr>
            <w:r>
              <w:rPr>
                <w:color w:val="000000"/>
                <w:sz w:val="24"/>
                <w:szCs w:val="24"/>
              </w:rPr>
              <w:t>Межбюджетные трансферты</w:t>
            </w:r>
          </w:p>
        </w:tc>
        <w:tc>
          <w:tcPr>
            <w:tcW w:w="69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14</w:t>
            </w:r>
          </w:p>
        </w:tc>
        <w:tc>
          <w:tcPr>
            <w:tcW w:w="89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03</w:t>
            </w:r>
          </w:p>
        </w:tc>
        <w:tc>
          <w:tcPr>
            <w:tcW w:w="1380"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500</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16 731,9</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4 371,4</w:t>
            </w:r>
          </w:p>
        </w:tc>
        <w:tc>
          <w:tcPr>
            <w:tcW w:w="1176" w:type="dxa"/>
            <w:tcBorders>
              <w:bottom w:val="single" w:sz="4" w:space="0" w:color="000000"/>
              <w:right w:val="single" w:sz="4" w:space="0" w:color="000000"/>
            </w:tcBorders>
            <w:vAlign w:val="center"/>
          </w:tcPr>
          <w:p>
            <w:pPr>
              <w:pStyle w:val="Normal"/>
              <w:jc w:val="center"/>
              <w:rPr>
                <w:color w:val="000000"/>
                <w:sz w:val="24"/>
                <w:szCs w:val="24"/>
              </w:rPr>
            </w:pPr>
            <w:r>
              <w:rPr>
                <w:color w:val="000000"/>
                <w:sz w:val="24"/>
                <w:szCs w:val="24"/>
              </w:rPr>
              <w:t>18 340,2</w:t>
            </w:r>
          </w:p>
        </w:tc>
      </w:tr>
      <w:tr>
        <w:trPr>
          <w:trHeight w:val="23" w:hRule="atLeast"/>
        </w:trPr>
        <w:tc>
          <w:tcPr>
            <w:tcW w:w="8860" w:type="dxa"/>
            <w:tcBorders>
              <w:left w:val="single" w:sz="4" w:space="0" w:color="000000"/>
              <w:bottom w:val="single" w:sz="4" w:space="0" w:color="000000"/>
              <w:right w:val="single" w:sz="4" w:space="0" w:color="000000"/>
            </w:tcBorders>
            <w:vAlign w:val="bottom"/>
          </w:tcPr>
          <w:p>
            <w:pPr>
              <w:pStyle w:val="Normal"/>
              <w:jc w:val="both"/>
              <w:rPr>
                <w:b/>
                <w:b/>
                <w:bCs/>
                <w:color w:val="000000"/>
                <w:sz w:val="24"/>
                <w:szCs w:val="24"/>
              </w:rPr>
            </w:pPr>
            <w:r>
              <w:rPr>
                <w:b/>
                <w:bCs/>
                <w:color w:val="000000"/>
                <w:sz w:val="24"/>
                <w:szCs w:val="24"/>
              </w:rPr>
              <w:t>Всего</w:t>
            </w:r>
          </w:p>
        </w:tc>
        <w:tc>
          <w:tcPr>
            <w:tcW w:w="696" w:type="dxa"/>
            <w:tcBorders>
              <w:bottom w:val="single" w:sz="4" w:space="0" w:color="000000"/>
              <w:right w:val="single" w:sz="4" w:space="0" w:color="000000"/>
            </w:tcBorders>
            <w:vAlign w:val="center"/>
          </w:tcPr>
          <w:p>
            <w:pPr>
              <w:pStyle w:val="Normal"/>
              <w:snapToGrid w:val="false"/>
              <w:jc w:val="center"/>
              <w:rPr>
                <w:b/>
                <w:b/>
                <w:bCs/>
                <w:color w:val="000000"/>
                <w:sz w:val="24"/>
                <w:szCs w:val="24"/>
              </w:rPr>
            </w:pPr>
            <w:r>
              <w:rPr>
                <w:b/>
                <w:bCs/>
                <w:color w:val="000000"/>
                <w:sz w:val="24"/>
                <w:szCs w:val="24"/>
              </w:rPr>
            </w:r>
          </w:p>
        </w:tc>
        <w:tc>
          <w:tcPr>
            <w:tcW w:w="890" w:type="dxa"/>
            <w:tcBorders>
              <w:bottom w:val="single" w:sz="4" w:space="0" w:color="000000"/>
              <w:right w:val="single" w:sz="4" w:space="0" w:color="000000"/>
            </w:tcBorders>
            <w:vAlign w:val="center"/>
          </w:tcPr>
          <w:p>
            <w:pPr>
              <w:pStyle w:val="Normal"/>
              <w:snapToGrid w:val="false"/>
              <w:jc w:val="center"/>
              <w:rPr>
                <w:b/>
                <w:b/>
                <w:bCs/>
                <w:color w:val="000000"/>
                <w:sz w:val="24"/>
                <w:szCs w:val="24"/>
              </w:rPr>
            </w:pPr>
            <w:r>
              <w:rPr>
                <w:b/>
                <w:bCs/>
                <w:color w:val="000000"/>
                <w:sz w:val="24"/>
                <w:szCs w:val="24"/>
              </w:rPr>
            </w:r>
          </w:p>
        </w:tc>
        <w:tc>
          <w:tcPr>
            <w:tcW w:w="1380" w:type="dxa"/>
            <w:tcBorders>
              <w:bottom w:val="single" w:sz="4" w:space="0" w:color="000000"/>
              <w:right w:val="single" w:sz="4" w:space="0" w:color="000000"/>
            </w:tcBorders>
            <w:vAlign w:val="center"/>
          </w:tcPr>
          <w:p>
            <w:pPr>
              <w:pStyle w:val="Normal"/>
              <w:snapToGrid w:val="false"/>
              <w:jc w:val="center"/>
              <w:rPr>
                <w:b/>
                <w:b/>
                <w:bCs/>
                <w:color w:val="000000"/>
                <w:sz w:val="24"/>
                <w:szCs w:val="24"/>
              </w:rPr>
            </w:pPr>
            <w:r>
              <w:rPr>
                <w:b/>
                <w:bCs/>
                <w:color w:val="000000"/>
                <w:sz w:val="24"/>
                <w:szCs w:val="24"/>
              </w:rPr>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715 436,4</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541 174,6</w:t>
            </w:r>
          </w:p>
        </w:tc>
        <w:tc>
          <w:tcPr>
            <w:tcW w:w="1176" w:type="dxa"/>
            <w:tcBorders>
              <w:bottom w:val="single" w:sz="4" w:space="0" w:color="000000"/>
              <w:right w:val="single" w:sz="4" w:space="0" w:color="000000"/>
            </w:tcBorders>
            <w:vAlign w:val="center"/>
          </w:tcPr>
          <w:p>
            <w:pPr>
              <w:pStyle w:val="Normal"/>
              <w:jc w:val="center"/>
              <w:rPr>
                <w:b/>
                <w:b/>
                <w:bCs/>
                <w:color w:val="000000"/>
                <w:sz w:val="24"/>
                <w:szCs w:val="24"/>
              </w:rPr>
            </w:pPr>
            <w:r>
              <w:rPr>
                <w:b/>
                <w:bCs/>
                <w:color w:val="000000"/>
                <w:sz w:val="24"/>
                <w:szCs w:val="24"/>
              </w:rPr>
              <w:t>596 849,3</w:t>
            </w:r>
          </w:p>
        </w:tc>
      </w:tr>
    </w:tbl>
    <w:p>
      <w:pPr>
        <w:sectPr>
          <w:type w:val="nextPage"/>
          <w:pgSz w:orient="landscape" w:w="16838" w:h="11906"/>
          <w:pgMar w:left="851" w:right="851" w:gutter="0" w:header="0" w:top="1418" w:footer="0" w:bottom="851"/>
          <w:pgNumType w:fmt="decimal"/>
          <w:formProt w:val="false"/>
          <w:titlePg/>
          <w:textDirection w:val="lrTb"/>
          <w:docGrid w:type="default" w:linePitch="272" w:charSpace="0"/>
        </w:sectPr>
        <w:pStyle w:val="Normal"/>
        <w:jc w:val="center"/>
        <w:rPr/>
      </w:pPr>
      <w:r>
        <w:rPr/>
      </w:r>
    </w:p>
    <w:p>
      <w:pPr>
        <w:pStyle w:val="Normal"/>
        <w:tabs>
          <w:tab w:val="clear" w:pos="720"/>
          <w:tab w:val="left" w:pos="567" w:leader="none"/>
        </w:tabs>
        <w:jc w:val="right"/>
        <w:rPr/>
      </w:pPr>
      <w:r>
        <w:rPr/>
        <w:t xml:space="preserve"> </w:t>
      </w:r>
      <w:r>
        <w:rPr>
          <w:sz w:val="28"/>
          <w:szCs w:val="28"/>
        </w:rPr>
        <w:t>Приложение 8</w:t>
      </w:r>
    </w:p>
    <w:p>
      <w:pPr>
        <w:pStyle w:val="Normal"/>
        <w:ind w:firstLine="5040"/>
        <w:jc w:val="right"/>
        <w:rPr>
          <w:sz w:val="28"/>
          <w:szCs w:val="28"/>
        </w:rPr>
      </w:pPr>
      <w:r>
        <w:rPr>
          <w:sz w:val="28"/>
          <w:szCs w:val="28"/>
        </w:rPr>
        <w:t>к решению Земского собрания Шарангского муниципального района</w:t>
      </w:r>
    </w:p>
    <w:p>
      <w:pPr>
        <w:pStyle w:val="Normal"/>
        <w:jc w:val="right"/>
        <w:rPr>
          <w:sz w:val="28"/>
          <w:szCs w:val="28"/>
        </w:rPr>
      </w:pPr>
      <w:r>
        <w:rPr>
          <w:sz w:val="28"/>
          <w:szCs w:val="28"/>
        </w:rPr>
        <w:t>«О районном бюджете на 2021 год и</w:t>
      </w:r>
    </w:p>
    <w:p>
      <w:pPr>
        <w:pStyle w:val="Normal"/>
        <w:jc w:val="right"/>
        <w:rPr>
          <w:sz w:val="28"/>
          <w:szCs w:val="28"/>
        </w:rPr>
      </w:pPr>
      <w:r>
        <w:rPr>
          <w:sz w:val="28"/>
          <w:szCs w:val="28"/>
        </w:rPr>
        <w:t xml:space="preserve"> </w:t>
      </w:r>
      <w:r>
        <w:rPr>
          <w:sz w:val="28"/>
          <w:szCs w:val="28"/>
        </w:rPr>
        <w:t>на плановый период 2022 и 2023 годов »</w:t>
      </w:r>
    </w:p>
    <w:p>
      <w:pPr>
        <w:pStyle w:val="Normal"/>
        <w:ind w:firstLine="5040"/>
        <w:jc w:val="right"/>
        <w:rPr>
          <w:sz w:val="28"/>
          <w:szCs w:val="28"/>
        </w:rPr>
      </w:pPr>
      <w:r>
        <w:rPr>
          <w:sz w:val="28"/>
          <w:szCs w:val="28"/>
        </w:rPr>
      </w:r>
    </w:p>
    <w:p>
      <w:pPr>
        <w:pStyle w:val="Normal"/>
        <w:tabs>
          <w:tab w:val="clear" w:pos="720"/>
          <w:tab w:val="left" w:pos="5442" w:leader="none"/>
        </w:tabs>
        <w:jc w:val="center"/>
        <w:rPr>
          <w:b/>
          <w:b/>
          <w:sz w:val="28"/>
          <w:szCs w:val="28"/>
        </w:rPr>
      </w:pPr>
      <w:r>
        <w:rPr>
          <w:b/>
          <w:sz w:val="28"/>
          <w:szCs w:val="28"/>
        </w:rPr>
        <w:t>Перечень публичных нормативных обязательств, подлежащих исполнению на 2021 год и на плановый период 2022 и 2023 годов</w:t>
      </w:r>
    </w:p>
    <w:p>
      <w:pPr>
        <w:pStyle w:val="Normal"/>
        <w:jc w:val="center"/>
        <w:rPr>
          <w:b/>
          <w:b/>
          <w:sz w:val="28"/>
          <w:szCs w:val="28"/>
        </w:rPr>
      </w:pPr>
      <w:r>
        <w:rPr>
          <w:b/>
          <w:sz w:val="28"/>
          <w:szCs w:val="28"/>
        </w:rPr>
      </w:r>
    </w:p>
    <w:p>
      <w:pPr>
        <w:pStyle w:val="Normal"/>
        <w:jc w:val="right"/>
        <w:rPr/>
      </w:pPr>
      <w:r>
        <w:rPr/>
        <w:t xml:space="preserve"> </w:t>
      </w:r>
      <w:r>
        <w:rPr/>
        <w:t>( тыс. рублей)</w:t>
      </w:r>
    </w:p>
    <w:tbl>
      <w:tblPr>
        <w:tblW w:w="9746" w:type="dxa"/>
        <w:jc w:val="left"/>
        <w:tblInd w:w="-5" w:type="dxa"/>
        <w:tblLayout w:type="fixed"/>
        <w:tblCellMar>
          <w:top w:w="0" w:type="dxa"/>
          <w:left w:w="108" w:type="dxa"/>
          <w:bottom w:w="0" w:type="dxa"/>
          <w:right w:w="108" w:type="dxa"/>
        </w:tblCellMar>
      </w:tblPr>
      <w:tblGrid>
        <w:gridCol w:w="4032"/>
        <w:gridCol w:w="2007"/>
        <w:gridCol w:w="1837"/>
        <w:gridCol w:w="1870"/>
      </w:tblGrid>
      <w:tr>
        <w:trPr/>
        <w:tc>
          <w:tcPr>
            <w:tcW w:w="4032" w:type="dxa"/>
            <w:tcBorders>
              <w:top w:val="single" w:sz="4" w:space="0" w:color="000000"/>
              <w:left w:val="single" w:sz="4" w:space="0" w:color="000000"/>
              <w:bottom w:val="single" w:sz="4" w:space="0" w:color="000000"/>
              <w:right w:val="single" w:sz="4" w:space="0" w:color="000000"/>
            </w:tcBorders>
            <w:vAlign w:val="center"/>
          </w:tcPr>
          <w:p>
            <w:pPr>
              <w:pStyle w:val="Normal"/>
              <w:jc w:val="center"/>
              <w:rPr>
                <w:b/>
                <w:b/>
                <w:sz w:val="24"/>
                <w:szCs w:val="24"/>
              </w:rPr>
            </w:pPr>
            <w:r>
              <w:rPr>
                <w:b/>
                <w:sz w:val="24"/>
                <w:szCs w:val="24"/>
              </w:rPr>
              <w:t>Наименование</w:t>
            </w:r>
          </w:p>
        </w:tc>
        <w:tc>
          <w:tcPr>
            <w:tcW w:w="2007" w:type="dxa"/>
            <w:tcBorders>
              <w:top w:val="single" w:sz="4" w:space="0" w:color="000000"/>
              <w:left w:val="single" w:sz="4" w:space="0" w:color="000000"/>
              <w:bottom w:val="single" w:sz="4" w:space="0" w:color="000000"/>
              <w:right w:val="single" w:sz="4" w:space="0" w:color="000000"/>
            </w:tcBorders>
          </w:tcPr>
          <w:p>
            <w:pPr>
              <w:pStyle w:val="Normal"/>
              <w:snapToGrid w:val="false"/>
              <w:jc w:val="center"/>
              <w:rPr>
                <w:b/>
                <w:b/>
                <w:sz w:val="24"/>
                <w:szCs w:val="24"/>
              </w:rPr>
            </w:pPr>
            <w:r>
              <w:rPr>
                <w:b/>
                <w:sz w:val="24"/>
                <w:szCs w:val="24"/>
              </w:rPr>
            </w:r>
          </w:p>
          <w:p>
            <w:pPr>
              <w:pStyle w:val="Normal"/>
              <w:jc w:val="center"/>
              <w:rPr>
                <w:b/>
                <w:b/>
                <w:sz w:val="24"/>
                <w:szCs w:val="24"/>
              </w:rPr>
            </w:pPr>
            <w:r>
              <w:rPr>
                <w:b/>
                <w:sz w:val="24"/>
                <w:szCs w:val="24"/>
              </w:rPr>
              <w:t>2021 год</w:t>
            </w:r>
          </w:p>
          <w:p>
            <w:pPr>
              <w:pStyle w:val="Normal"/>
              <w:jc w:val="center"/>
              <w:rPr>
                <w:b/>
                <w:b/>
                <w:sz w:val="24"/>
                <w:szCs w:val="24"/>
              </w:rPr>
            </w:pPr>
            <w:r>
              <w:rPr>
                <w:b/>
                <w:sz w:val="24"/>
                <w:szCs w:val="24"/>
              </w:rPr>
            </w:r>
          </w:p>
        </w:tc>
        <w:tc>
          <w:tcPr>
            <w:tcW w:w="1837" w:type="dxa"/>
            <w:tcBorders>
              <w:top w:val="single" w:sz="4" w:space="0" w:color="000000"/>
              <w:left w:val="single" w:sz="4" w:space="0" w:color="000000"/>
              <w:bottom w:val="single" w:sz="4" w:space="0" w:color="000000"/>
              <w:right w:val="single" w:sz="4" w:space="0" w:color="000000"/>
            </w:tcBorders>
          </w:tcPr>
          <w:p>
            <w:pPr>
              <w:pStyle w:val="Normal"/>
              <w:snapToGrid w:val="false"/>
              <w:jc w:val="center"/>
              <w:rPr>
                <w:b/>
                <w:b/>
                <w:sz w:val="24"/>
                <w:szCs w:val="24"/>
              </w:rPr>
            </w:pPr>
            <w:r>
              <w:rPr>
                <w:b/>
                <w:sz w:val="24"/>
                <w:szCs w:val="24"/>
              </w:rPr>
            </w:r>
          </w:p>
          <w:p>
            <w:pPr>
              <w:pStyle w:val="Normal"/>
              <w:jc w:val="center"/>
              <w:rPr>
                <w:b/>
                <w:b/>
                <w:sz w:val="24"/>
                <w:szCs w:val="24"/>
              </w:rPr>
            </w:pPr>
            <w:r>
              <w:rPr>
                <w:b/>
                <w:sz w:val="24"/>
                <w:szCs w:val="24"/>
              </w:rPr>
              <w:t>2022 год</w:t>
            </w:r>
          </w:p>
        </w:tc>
        <w:tc>
          <w:tcPr>
            <w:tcW w:w="1870" w:type="dxa"/>
            <w:tcBorders>
              <w:top w:val="single" w:sz="4" w:space="0" w:color="000000"/>
              <w:left w:val="single" w:sz="4" w:space="0" w:color="000000"/>
              <w:bottom w:val="single" w:sz="4" w:space="0" w:color="000000"/>
              <w:right w:val="single" w:sz="4" w:space="0" w:color="000000"/>
            </w:tcBorders>
          </w:tcPr>
          <w:p>
            <w:pPr>
              <w:pStyle w:val="Normal"/>
              <w:snapToGrid w:val="false"/>
              <w:jc w:val="center"/>
              <w:rPr>
                <w:b/>
                <w:b/>
                <w:sz w:val="24"/>
                <w:szCs w:val="24"/>
              </w:rPr>
            </w:pPr>
            <w:r>
              <w:rPr>
                <w:b/>
                <w:sz w:val="24"/>
                <w:szCs w:val="24"/>
              </w:rPr>
            </w:r>
          </w:p>
          <w:p>
            <w:pPr>
              <w:pStyle w:val="Normal"/>
              <w:jc w:val="center"/>
              <w:rPr>
                <w:b/>
                <w:b/>
                <w:sz w:val="24"/>
                <w:szCs w:val="24"/>
              </w:rPr>
            </w:pPr>
            <w:r>
              <w:rPr>
                <w:b/>
                <w:sz w:val="24"/>
                <w:szCs w:val="24"/>
              </w:rPr>
              <w:t>2023 год</w:t>
            </w:r>
          </w:p>
        </w:tc>
      </w:tr>
      <w:tr>
        <w:trPr/>
        <w:tc>
          <w:tcPr>
            <w:tcW w:w="4032" w:type="dxa"/>
            <w:tcBorders>
              <w:top w:val="single" w:sz="4" w:space="0" w:color="000000"/>
              <w:left w:val="single" w:sz="4" w:space="0" w:color="000000"/>
              <w:bottom w:val="single" w:sz="4" w:space="0" w:color="000000"/>
              <w:right w:val="single" w:sz="4" w:space="0" w:color="000000"/>
            </w:tcBorders>
          </w:tcPr>
          <w:p>
            <w:pPr>
              <w:pStyle w:val="Normal"/>
              <w:snapToGrid w:val="false"/>
              <w:rPr>
                <w:b/>
                <w:b/>
                <w:sz w:val="24"/>
                <w:szCs w:val="24"/>
              </w:rPr>
            </w:pPr>
            <w:r>
              <w:rPr>
                <w:b/>
                <w:sz w:val="24"/>
                <w:szCs w:val="24"/>
              </w:rPr>
            </w:r>
          </w:p>
          <w:p>
            <w:pPr>
              <w:pStyle w:val="Normal"/>
              <w:jc w:val="both"/>
              <w:rPr>
                <w:sz w:val="24"/>
                <w:szCs w:val="24"/>
              </w:rPr>
            </w:pPr>
            <w:r>
              <w:rPr>
                <w:sz w:val="24"/>
                <w:szCs w:val="24"/>
              </w:rPr>
              <w:t>Компенсация части родительской платы за присмотр и уход за ребенком в муниципальных образовательных организациях, реализующих программу дошкольного образования</w:t>
            </w:r>
          </w:p>
          <w:p>
            <w:pPr>
              <w:pStyle w:val="Normal"/>
              <w:rPr>
                <w:sz w:val="24"/>
                <w:szCs w:val="24"/>
              </w:rPr>
            </w:pPr>
            <w:r>
              <w:rPr>
                <w:sz w:val="24"/>
                <w:szCs w:val="24"/>
              </w:rPr>
            </w:r>
          </w:p>
        </w:tc>
        <w:tc>
          <w:tcPr>
            <w:tcW w:w="2007"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4"/>
                <w:szCs w:val="24"/>
              </w:rPr>
            </w:pPr>
            <w:r>
              <w:rPr>
                <w:sz w:val="24"/>
                <w:szCs w:val="24"/>
              </w:rPr>
              <w:t>1 646,8</w:t>
            </w:r>
          </w:p>
        </w:tc>
        <w:tc>
          <w:tcPr>
            <w:tcW w:w="1837"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4"/>
                <w:szCs w:val="24"/>
              </w:rPr>
            </w:pPr>
            <w:r>
              <w:rPr>
                <w:sz w:val="24"/>
                <w:szCs w:val="24"/>
              </w:rPr>
              <w:t>1 994,3</w:t>
            </w:r>
          </w:p>
        </w:tc>
        <w:tc>
          <w:tcPr>
            <w:tcW w:w="1870"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4"/>
                <w:szCs w:val="24"/>
              </w:rPr>
            </w:pPr>
            <w:r>
              <w:rPr>
                <w:sz w:val="24"/>
                <w:szCs w:val="24"/>
              </w:rPr>
              <w:t>1 994,3</w:t>
            </w:r>
          </w:p>
        </w:tc>
      </w:tr>
      <w:tr>
        <w:trPr/>
        <w:tc>
          <w:tcPr>
            <w:tcW w:w="4032" w:type="dxa"/>
            <w:tcBorders>
              <w:top w:val="single" w:sz="4" w:space="0" w:color="000000"/>
              <w:left w:val="single" w:sz="4" w:space="0" w:color="000000"/>
              <w:bottom w:val="single" w:sz="4" w:space="0" w:color="000000"/>
              <w:right w:val="single" w:sz="4" w:space="0" w:color="000000"/>
            </w:tcBorders>
          </w:tcPr>
          <w:p>
            <w:pPr>
              <w:pStyle w:val="Normal"/>
              <w:snapToGrid w:val="false"/>
              <w:rPr>
                <w:b/>
                <w:b/>
                <w:sz w:val="24"/>
                <w:szCs w:val="24"/>
              </w:rPr>
            </w:pPr>
            <w:r>
              <w:rPr>
                <w:b/>
                <w:sz w:val="24"/>
                <w:szCs w:val="24"/>
              </w:rPr>
            </w:r>
          </w:p>
          <w:p>
            <w:pPr>
              <w:pStyle w:val="Normal"/>
              <w:rPr>
                <w:b/>
                <w:b/>
                <w:sz w:val="24"/>
                <w:szCs w:val="24"/>
              </w:rPr>
            </w:pPr>
            <w:r>
              <w:rPr>
                <w:b/>
                <w:sz w:val="24"/>
                <w:szCs w:val="24"/>
              </w:rPr>
            </w:r>
          </w:p>
        </w:tc>
        <w:tc>
          <w:tcPr>
            <w:tcW w:w="2007" w:type="dxa"/>
            <w:tcBorders>
              <w:top w:val="single" w:sz="4" w:space="0" w:color="000000"/>
              <w:left w:val="single" w:sz="4" w:space="0" w:color="000000"/>
              <w:bottom w:val="single" w:sz="4" w:space="0" w:color="000000"/>
              <w:right w:val="single" w:sz="4" w:space="0" w:color="000000"/>
            </w:tcBorders>
            <w:vAlign w:val="center"/>
          </w:tcPr>
          <w:p>
            <w:pPr>
              <w:pStyle w:val="Normal"/>
              <w:jc w:val="center"/>
              <w:rPr>
                <w:b/>
                <w:b/>
                <w:sz w:val="24"/>
                <w:szCs w:val="24"/>
              </w:rPr>
            </w:pPr>
            <w:r>
              <w:rPr>
                <w:b/>
                <w:sz w:val="24"/>
                <w:szCs w:val="24"/>
              </w:rPr>
              <w:t>1 646,8</w:t>
            </w:r>
          </w:p>
        </w:tc>
        <w:tc>
          <w:tcPr>
            <w:tcW w:w="1837" w:type="dxa"/>
            <w:tcBorders>
              <w:top w:val="single" w:sz="4" w:space="0" w:color="000000"/>
              <w:left w:val="single" w:sz="4" w:space="0" w:color="000000"/>
              <w:bottom w:val="single" w:sz="4" w:space="0" w:color="000000"/>
              <w:right w:val="single" w:sz="4" w:space="0" w:color="000000"/>
            </w:tcBorders>
            <w:vAlign w:val="center"/>
          </w:tcPr>
          <w:p>
            <w:pPr>
              <w:pStyle w:val="Normal"/>
              <w:jc w:val="center"/>
              <w:rPr>
                <w:b/>
                <w:b/>
                <w:sz w:val="24"/>
                <w:szCs w:val="24"/>
              </w:rPr>
            </w:pPr>
            <w:r>
              <w:rPr>
                <w:b/>
                <w:sz w:val="24"/>
                <w:szCs w:val="24"/>
              </w:rPr>
              <w:t>1 994,3</w:t>
            </w:r>
          </w:p>
        </w:tc>
        <w:tc>
          <w:tcPr>
            <w:tcW w:w="1870" w:type="dxa"/>
            <w:tcBorders>
              <w:top w:val="single" w:sz="4" w:space="0" w:color="000000"/>
              <w:left w:val="single" w:sz="4" w:space="0" w:color="000000"/>
              <w:bottom w:val="single" w:sz="4" w:space="0" w:color="000000"/>
              <w:right w:val="single" w:sz="4" w:space="0" w:color="000000"/>
            </w:tcBorders>
            <w:vAlign w:val="center"/>
          </w:tcPr>
          <w:p>
            <w:pPr>
              <w:pStyle w:val="Normal"/>
              <w:jc w:val="center"/>
              <w:rPr>
                <w:b/>
                <w:b/>
                <w:sz w:val="24"/>
                <w:szCs w:val="24"/>
              </w:rPr>
            </w:pPr>
            <w:r>
              <w:rPr>
                <w:b/>
                <w:sz w:val="24"/>
                <w:szCs w:val="24"/>
              </w:rPr>
              <w:t>1 994,3</w:t>
            </w:r>
          </w:p>
        </w:tc>
      </w:tr>
    </w:tbl>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20"/>
          <w:tab w:val="left" w:pos="567" w:leader="none"/>
        </w:tabs>
        <w:jc w:val="right"/>
        <w:rPr>
          <w:sz w:val="28"/>
          <w:szCs w:val="28"/>
        </w:rPr>
      </w:pPr>
      <w:r>
        <w:rPr>
          <w:sz w:val="28"/>
          <w:szCs w:val="28"/>
        </w:rPr>
        <w:t>Приложение  11</w:t>
      </w:r>
    </w:p>
    <w:p>
      <w:pPr>
        <w:pStyle w:val="Normal"/>
        <w:jc w:val="right"/>
        <w:rPr>
          <w:sz w:val="28"/>
          <w:szCs w:val="28"/>
        </w:rPr>
      </w:pPr>
      <w:r>
        <w:rPr>
          <w:sz w:val="28"/>
          <w:szCs w:val="28"/>
        </w:rPr>
        <w:t>к решению Земского собрания</w:t>
      </w:r>
    </w:p>
    <w:p>
      <w:pPr>
        <w:pStyle w:val="Normal"/>
        <w:jc w:val="right"/>
        <w:rPr>
          <w:sz w:val="28"/>
          <w:szCs w:val="28"/>
        </w:rPr>
      </w:pPr>
      <w:r>
        <w:rPr>
          <w:sz w:val="28"/>
          <w:szCs w:val="28"/>
        </w:rPr>
        <w:t>Шарангского муниципального района</w:t>
      </w:r>
    </w:p>
    <w:p>
      <w:pPr>
        <w:pStyle w:val="Normal"/>
        <w:jc w:val="right"/>
        <w:rPr>
          <w:sz w:val="28"/>
          <w:szCs w:val="28"/>
        </w:rPr>
      </w:pPr>
      <w:r>
        <w:rPr>
          <w:sz w:val="28"/>
          <w:szCs w:val="28"/>
        </w:rPr>
        <w:t>«О районном бюджете на 2021 год и</w:t>
      </w:r>
    </w:p>
    <w:p>
      <w:pPr>
        <w:pStyle w:val="Normal"/>
        <w:jc w:val="right"/>
        <w:rPr>
          <w:sz w:val="28"/>
          <w:szCs w:val="28"/>
        </w:rPr>
      </w:pPr>
      <w:r>
        <w:rPr>
          <w:sz w:val="28"/>
          <w:szCs w:val="28"/>
        </w:rPr>
        <w:t>на плановый период 2022 и 2023 годов»</w:t>
      </w:r>
    </w:p>
    <w:p>
      <w:pPr>
        <w:pStyle w:val="Normal"/>
        <w:jc w:val="both"/>
        <w:rPr>
          <w:b/>
          <w:b/>
          <w:sz w:val="28"/>
          <w:szCs w:val="28"/>
        </w:rPr>
      </w:pPr>
      <w:r>
        <w:rPr>
          <w:b/>
          <w:sz w:val="28"/>
          <w:szCs w:val="28"/>
        </w:rPr>
      </w:r>
    </w:p>
    <w:p>
      <w:pPr>
        <w:pStyle w:val="Normal"/>
        <w:jc w:val="center"/>
        <w:rPr>
          <w:b/>
          <w:b/>
          <w:color w:val="000000"/>
          <w:sz w:val="28"/>
          <w:szCs w:val="28"/>
        </w:rPr>
      </w:pPr>
      <w:r>
        <w:rPr>
          <w:b/>
          <w:color w:val="000000"/>
          <w:sz w:val="28"/>
          <w:szCs w:val="28"/>
        </w:rPr>
        <w:t xml:space="preserve">Распределение иных межбюджетных трансфертов  на 2021 год </w:t>
      </w:r>
    </w:p>
    <w:p>
      <w:pPr>
        <w:pStyle w:val="Normal"/>
        <w:jc w:val="center"/>
        <w:rPr>
          <w:b/>
          <w:b/>
          <w:color w:val="000000"/>
          <w:sz w:val="28"/>
          <w:szCs w:val="28"/>
        </w:rPr>
      </w:pPr>
      <w:r>
        <w:rPr>
          <w:b/>
          <w:color w:val="000000"/>
          <w:sz w:val="28"/>
          <w:szCs w:val="28"/>
        </w:rPr>
        <w:t>и на плановый период 2022 и 2023 годов</w:t>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4"/>
          <w:szCs w:val="24"/>
        </w:rPr>
      </w:pPr>
      <w:r>
        <w:rPr>
          <w:b/>
          <w:color w:val="000000"/>
          <w:sz w:val="24"/>
          <w:szCs w:val="24"/>
        </w:rPr>
        <w:t>Таблица 1.                                                                                                                                                                 (тыс.рублей)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964"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поддержку мер по обеспечению </w:t>
            </w:r>
          </w:p>
          <w:p>
            <w:pPr>
              <w:pStyle w:val="Normal"/>
              <w:spacing w:lineRule="auto" w:line="276"/>
              <w:jc w:val="center"/>
              <w:rPr>
                <w:color w:val="000000"/>
                <w:sz w:val="24"/>
                <w:szCs w:val="24"/>
                <w:lang w:eastAsia="en-US"/>
              </w:rPr>
            </w:pPr>
            <w:r>
              <w:rPr>
                <w:color w:val="000000"/>
                <w:sz w:val="24"/>
                <w:szCs w:val="24"/>
                <w:lang w:eastAsia="en-US"/>
              </w:rPr>
              <w:t>сбалансированности бюджетов поселений</w:t>
            </w:r>
          </w:p>
        </w:tc>
      </w:tr>
      <w:tr>
        <w:trPr>
          <w:trHeight w:val="315"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29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1 588,4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423,6</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1 874,5</w:t>
            </w:r>
          </w:p>
        </w:tc>
      </w:tr>
      <w:tr>
        <w:trPr>
          <w:trHeight w:val="21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1 433,9</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444,7</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1 835,4</w:t>
            </w:r>
          </w:p>
        </w:tc>
      </w:tr>
      <w:tr>
        <w:trPr>
          <w:trHeight w:val="252"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1 118,9</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34,0</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1 443,5</w:t>
            </w:r>
          </w:p>
        </w:tc>
      </w:tr>
      <w:tr>
        <w:trPr>
          <w:trHeight w:val="299"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135,0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194,1 </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570,8</w:t>
            </w:r>
          </w:p>
        </w:tc>
      </w:tr>
      <w:tr>
        <w:trPr>
          <w:trHeight w:val="27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1 277,0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396,2</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1 678,7</w:t>
            </w:r>
          </w:p>
        </w:tc>
      </w:tr>
      <w:tr>
        <w:trPr>
          <w:trHeight w:val="22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104,4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131,2</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421,4</w:t>
            </w:r>
          </w:p>
        </w:tc>
      </w:tr>
      <w:tr>
        <w:trPr>
          <w:trHeight w:val="184"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445,8</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87,4</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218,6</w:t>
            </w:r>
          </w:p>
        </w:tc>
      </w:tr>
      <w:tr>
        <w:trPr>
          <w:trHeight w:val="27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10 628,5</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2 360,2</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10 297,3</w:t>
            </w:r>
          </w:p>
        </w:tc>
      </w:tr>
      <w:tr>
        <w:trPr>
          <w:trHeight w:val="235"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16 731,9</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4 371,4</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18 340,2</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2.</w:t>
      </w:r>
    </w:p>
    <w:p>
      <w:pPr>
        <w:pStyle w:val="Normal"/>
        <w:ind w:right="-61" w:hanging="0"/>
        <w:jc w:val="right"/>
        <w:rPr/>
      </w:pPr>
      <w:r>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1008"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передаваемые </w:t>
            </w:r>
            <w:r>
              <w:rPr>
                <w:sz w:val="24"/>
                <w:szCs w:val="24"/>
                <w:lang w:eastAsia="en-US"/>
              </w:rPr>
              <w:t>на поддержку программы формирования современной городской среды</w:t>
            </w:r>
          </w:p>
        </w:tc>
      </w:tr>
      <w:tr>
        <w:trPr>
          <w:trHeight w:val="249"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rPr>
                <w:rFonts w:ascii="Calibri" w:hAnsi="Calibri" w:eastAsia="Calibri" w:cs="Calibri"/>
                <w:sz w:val="24"/>
                <w:szCs w:val="24"/>
                <w:lang w:eastAsia="en-US"/>
              </w:rPr>
            </w:pPr>
            <w:r>
              <w:rPr>
                <w:rFonts w:eastAsia="Calibri" w:cs="Calibri" w:ascii="Calibri" w:hAnsi="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ascii="Calibri" w:hAnsi="Calibri" w:eastAsia="Calibri" w:cs="Calibri"/>
                <w:color w:val="000000"/>
                <w:sz w:val="24"/>
                <w:szCs w:val="24"/>
                <w:lang w:eastAsia="en-US"/>
              </w:rPr>
            </w:pPr>
            <w:r>
              <w:rPr>
                <w:rFonts w:eastAsia="Calibri" w:cs="Calibri" w:ascii="Calibri" w:hAnsi="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68"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92"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4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2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455,3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3 121,2</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3 121,2</w:t>
            </w:r>
          </w:p>
        </w:tc>
      </w:tr>
      <w:tr>
        <w:trPr>
          <w:trHeight w:val="416"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455,3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3 121,2</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3 121,2</w:t>
            </w:r>
          </w:p>
        </w:tc>
      </w:tr>
    </w:tbl>
    <w:p>
      <w:pPr>
        <w:pStyle w:val="Normal"/>
        <w:jc w:val="center"/>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3.</w:t>
      </w:r>
    </w:p>
    <w:p>
      <w:pPr>
        <w:pStyle w:val="Normal"/>
        <w:ind w:right="-61" w:hanging="0"/>
        <w:jc w:val="right"/>
        <w:rPr/>
      </w:pPr>
      <w:r>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958"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w:t>
            </w:r>
            <w:r>
              <w:rPr>
                <w:sz w:val="24"/>
                <w:szCs w:val="24"/>
              </w:rPr>
              <w:t>реализацию проектов комплексного развития сельских территорий (сельских агломераций)</w:t>
            </w:r>
          </w:p>
        </w:tc>
      </w:tr>
      <w:tr>
        <w:trPr>
          <w:trHeight w:val="149"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rPr>
                <w:rFonts w:ascii="Calibri" w:hAnsi="Calibri" w:eastAsia="Calibri" w:cs="Calibri"/>
                <w:sz w:val="24"/>
                <w:szCs w:val="24"/>
                <w:lang w:eastAsia="en-US"/>
              </w:rPr>
            </w:pPr>
            <w:r>
              <w:rPr>
                <w:rFonts w:eastAsia="Calibri" w:cs="Calibri" w:ascii="Calibri" w:hAnsi="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ascii="Calibri" w:hAnsi="Calibri" w:eastAsia="Calibri" w:cs="Calibri"/>
                <w:color w:val="000000"/>
                <w:sz w:val="24"/>
                <w:szCs w:val="24"/>
                <w:lang w:eastAsia="en-US"/>
              </w:rPr>
            </w:pPr>
            <w:r>
              <w:rPr>
                <w:rFonts w:eastAsia="Calibri" w:cs="Calibri" w:ascii="Calibri" w:hAnsi="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68"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4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2"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8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44"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1 437,5</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1 437,5</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4.</w:t>
      </w:r>
    </w:p>
    <w:p>
      <w:pPr>
        <w:pStyle w:val="Normal"/>
        <w:ind w:right="-61" w:hanging="0"/>
        <w:jc w:val="right"/>
        <w:rPr/>
      </w:pPr>
      <w:r>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940"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w:t>
            </w:r>
            <w:r>
              <w:rPr>
                <w:sz w:val="24"/>
                <w:szCs w:val="24"/>
              </w:rPr>
              <w:t>капитальный ремонт и ремонт автомобильных дорог общего пользования местного значения</w:t>
            </w:r>
          </w:p>
        </w:tc>
      </w:tr>
      <w:tr>
        <w:trPr>
          <w:trHeight w:val="259"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208"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rPr>
                <w:rFonts w:ascii="Calibri" w:hAnsi="Calibri" w:eastAsia="Calibri" w:cs="Calibri"/>
                <w:sz w:val="24"/>
                <w:szCs w:val="24"/>
                <w:lang w:eastAsia="en-US"/>
              </w:rPr>
            </w:pPr>
            <w:r>
              <w:rPr>
                <w:rFonts w:eastAsia="Calibri" w:cs="Calibri" w:ascii="Calibri" w:hAnsi="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ascii="Calibri" w:hAnsi="Calibri" w:eastAsia="Calibri" w:cs="Calibri"/>
                <w:color w:val="000000"/>
                <w:sz w:val="24"/>
                <w:szCs w:val="24"/>
                <w:lang w:eastAsia="en-US"/>
              </w:rPr>
            </w:pPr>
            <w:r>
              <w:rPr>
                <w:rFonts w:eastAsia="Calibri" w:cs="Calibri" w:ascii="Calibri" w:hAnsi="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2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74"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2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69"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7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2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2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11 904,3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11 904,3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5.</w:t>
      </w:r>
    </w:p>
    <w:p>
      <w:pPr>
        <w:pStyle w:val="Normal"/>
        <w:ind w:right="-61" w:hanging="0"/>
        <w:jc w:val="right"/>
        <w:rPr/>
      </w:pPr>
      <w:r>
        <w:rPr>
          <w:color w:val="000000"/>
          <w:sz w:val="24"/>
          <w:szCs w:val="24"/>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551"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w:t>
            </w:r>
            <w:r>
              <w:rPr>
                <w:sz w:val="24"/>
                <w:szCs w:val="24"/>
              </w:rPr>
              <w:t>снос домов, признанных аварийным жилым фондом</w:t>
            </w:r>
          </w:p>
        </w:tc>
      </w:tr>
      <w:tr>
        <w:trPr>
          <w:trHeight w:val="268"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244"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rPr>
                <w:rFonts w:ascii="Calibri" w:hAnsi="Calibri" w:eastAsia="Calibri" w:cs="Calibri"/>
                <w:sz w:val="24"/>
                <w:szCs w:val="24"/>
                <w:lang w:eastAsia="en-US"/>
              </w:rPr>
            </w:pPr>
            <w:r>
              <w:rPr>
                <w:rFonts w:eastAsia="Calibri" w:cs="Calibri" w:ascii="Calibri" w:hAnsi="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ascii="Calibri" w:hAnsi="Calibri" w:eastAsia="Calibri" w:cs="Calibri"/>
                <w:color w:val="000000"/>
                <w:sz w:val="24"/>
                <w:szCs w:val="24"/>
                <w:lang w:eastAsia="en-US"/>
              </w:rPr>
            </w:pPr>
            <w:r>
              <w:rPr>
                <w:rFonts w:eastAsia="Calibri" w:cs="Calibri" w:ascii="Calibri" w:hAnsi="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2"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44"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4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0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100,0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110,0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6.</w:t>
      </w:r>
    </w:p>
    <w:p>
      <w:pPr>
        <w:pStyle w:val="Normal"/>
        <w:ind w:right="-61" w:hanging="0"/>
        <w:jc w:val="right"/>
        <w:rPr/>
      </w:pPr>
      <w:r>
        <w:rPr>
          <w:color w:val="000000"/>
          <w:sz w:val="24"/>
          <w:szCs w:val="24"/>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566"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w:t>
            </w:r>
            <w:r>
              <w:rPr>
                <w:sz w:val="24"/>
                <w:szCs w:val="24"/>
              </w:rPr>
              <w:t>ремонт тротуаров</w:t>
            </w:r>
          </w:p>
        </w:tc>
      </w:tr>
      <w:tr>
        <w:trPr>
          <w:trHeight w:val="335"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rPr>
                <w:rFonts w:ascii="Calibri" w:hAnsi="Calibri" w:eastAsia="Calibri" w:cs="Calibri"/>
                <w:sz w:val="24"/>
                <w:szCs w:val="24"/>
                <w:lang w:eastAsia="en-US"/>
              </w:rPr>
            </w:pPr>
            <w:r>
              <w:rPr>
                <w:rFonts w:eastAsia="Calibri" w:cs="Calibri" w:ascii="Calibri" w:hAnsi="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ascii="Calibri" w:hAnsi="Calibri" w:eastAsia="Calibri" w:cs="Calibri"/>
                <w:color w:val="000000"/>
                <w:sz w:val="24"/>
                <w:szCs w:val="24"/>
                <w:lang w:eastAsia="en-US"/>
              </w:rPr>
            </w:pPr>
            <w:r>
              <w:rPr>
                <w:rFonts w:eastAsia="Calibri" w:cs="Calibri" w:ascii="Calibri" w:hAnsi="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1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79"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2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32"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8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4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1 237,4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1 237,4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7.</w:t>
      </w:r>
    </w:p>
    <w:p>
      <w:pPr>
        <w:pStyle w:val="Normal"/>
        <w:ind w:right="-61" w:hanging="0"/>
        <w:jc w:val="right"/>
        <w:rPr/>
      </w:pPr>
      <w:r>
        <w:rPr>
          <w:color w:val="000000"/>
          <w:sz w:val="24"/>
          <w:szCs w:val="24"/>
        </w:rPr>
        <w:t xml:space="preserve">                                                                                                                                        </w:t>
      </w:r>
      <w:r>
        <w:rPr>
          <w:color w:val="000000"/>
          <w:sz w:val="24"/>
          <w:szCs w:val="24"/>
        </w:rPr>
        <w:t>(</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593"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w:t>
            </w:r>
            <w:r>
              <w:rPr>
                <w:sz w:val="24"/>
                <w:szCs w:val="24"/>
              </w:rPr>
              <w:t>приобретение автотранспортного средства</w:t>
            </w:r>
          </w:p>
        </w:tc>
      </w:tr>
      <w:tr>
        <w:trPr>
          <w:trHeight w:val="247"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rPr>
                <w:rFonts w:ascii="Calibri" w:hAnsi="Calibri" w:eastAsia="Calibri" w:cs="Calibri"/>
                <w:sz w:val="24"/>
                <w:szCs w:val="24"/>
                <w:lang w:eastAsia="en-US"/>
              </w:rPr>
            </w:pPr>
            <w:r>
              <w:rPr>
                <w:rFonts w:eastAsia="Calibri" w:cs="Calibri" w:ascii="Calibri" w:hAnsi="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ascii="Calibri" w:hAnsi="Calibri" w:eastAsia="Calibri" w:cs="Calibri"/>
                <w:color w:val="000000"/>
                <w:sz w:val="24"/>
                <w:szCs w:val="24"/>
                <w:lang w:eastAsia="en-US"/>
              </w:rPr>
            </w:pPr>
            <w:r>
              <w:rPr>
                <w:rFonts w:eastAsia="Calibri" w:cs="Calibri" w:ascii="Calibri" w:hAnsi="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560,0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1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0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8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29"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560,0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8.</w:t>
      </w:r>
    </w:p>
    <w:p>
      <w:pPr>
        <w:pStyle w:val="Normal"/>
        <w:ind w:right="-61" w:hanging="0"/>
        <w:jc w:val="right"/>
        <w:rPr/>
      </w:pPr>
      <w:r>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977"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w:t>
            </w:r>
            <w:r>
              <w:rPr>
                <w:sz w:val="24"/>
                <w:szCs w:val="24"/>
              </w:rPr>
              <w:t xml:space="preserve">реализацию проекта инициативного бюджетирования                         «Вам решать» </w:t>
            </w:r>
          </w:p>
        </w:tc>
      </w:tr>
      <w:tr>
        <w:trPr>
          <w:trHeight w:val="268"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rFonts w:eastAsia="Calibri"/>
                <w:sz w:val="24"/>
                <w:szCs w:val="24"/>
                <w:lang w:eastAsia="en-US"/>
              </w:rPr>
            </w:pPr>
            <w:r>
              <w:rPr>
                <w:rFonts w:eastAsia="Calibri"/>
                <w:sz w:val="24"/>
                <w:szCs w:val="24"/>
                <w:lang w:eastAsia="en-US"/>
              </w:rPr>
              <w:t>2 179,1</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color w:val="000000"/>
                <w:sz w:val="24"/>
                <w:szCs w:val="24"/>
                <w:lang w:eastAsia="en-US"/>
              </w:rPr>
            </w:pPr>
            <w:r>
              <w:rPr>
                <w:rFonts w:eastAsia="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64"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974,3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1 777,5</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0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824,8</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54"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904,7</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1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05"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2 852,2</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9 712,6</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9.</w:t>
      </w:r>
    </w:p>
    <w:p>
      <w:pPr>
        <w:pStyle w:val="Normal"/>
        <w:ind w:right="-61" w:hanging="0"/>
        <w:jc w:val="right"/>
        <w:rPr/>
      </w:pPr>
      <w:r>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667"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 xml:space="preserve">Иные межбюджетные трансферты  на </w:t>
            </w:r>
            <w:r>
              <w:rPr>
                <w:sz w:val="24"/>
                <w:szCs w:val="24"/>
              </w:rPr>
              <w:t xml:space="preserve">ремонт пожарного автомобиля </w:t>
            </w:r>
          </w:p>
        </w:tc>
      </w:tr>
      <w:tr>
        <w:trPr>
          <w:trHeight w:val="265"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sz w:val="24"/>
                <w:szCs w:val="24"/>
                <w:lang w:eastAsia="en-US"/>
              </w:rPr>
            </w:pPr>
            <w:r>
              <w:rPr>
                <w:rFonts w:eastAsia="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color w:val="000000"/>
                <w:sz w:val="24"/>
                <w:szCs w:val="24"/>
                <w:lang w:eastAsia="en-US"/>
              </w:rPr>
            </w:pPr>
            <w:r>
              <w:rPr>
                <w:rFonts w:eastAsia="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3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8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32"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115,0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50"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115,0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10.</w:t>
      </w:r>
    </w:p>
    <w:p>
      <w:pPr>
        <w:pStyle w:val="Normal"/>
        <w:ind w:right="-61" w:hanging="0"/>
        <w:jc w:val="right"/>
        <w:rPr/>
      </w:pPr>
      <w:r>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481"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Иные межбюджетные трансферты  на ремонт здания</w:t>
            </w:r>
          </w:p>
        </w:tc>
      </w:tr>
      <w:tr>
        <w:trPr>
          <w:trHeight w:val="275"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sz w:val="24"/>
                <w:szCs w:val="24"/>
                <w:lang w:eastAsia="en-US"/>
              </w:rPr>
            </w:pPr>
            <w:r>
              <w:rPr>
                <w:rFonts w:eastAsia="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color w:val="000000"/>
                <w:sz w:val="24"/>
                <w:szCs w:val="24"/>
                <w:lang w:eastAsia="en-US"/>
              </w:rPr>
            </w:pPr>
            <w:r>
              <w:rPr>
                <w:rFonts w:eastAsia="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79"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2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57,0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0"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4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68"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57,0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11.</w:t>
      </w:r>
    </w:p>
    <w:p>
      <w:pPr>
        <w:pStyle w:val="Normal"/>
        <w:ind w:right="-61" w:hanging="0"/>
        <w:jc w:val="right"/>
        <w:rPr/>
      </w:pPr>
      <w:r>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693"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Иные межбюджетные трансферты  на приобретение контейнеров</w:t>
            </w:r>
          </w:p>
        </w:tc>
      </w:tr>
      <w:tr>
        <w:trPr>
          <w:trHeight w:val="268"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rFonts w:eastAsia="Calibri"/>
                <w:sz w:val="24"/>
                <w:szCs w:val="24"/>
                <w:lang w:eastAsia="en-US"/>
              </w:rPr>
            </w:pPr>
            <w:r>
              <w:rPr>
                <w:color w:val="000000"/>
                <w:sz w:val="24"/>
                <w:szCs w:val="24"/>
                <w:lang w:eastAsia="en-US"/>
              </w:rPr>
              <w:t>24,4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color w:val="000000"/>
                <w:sz w:val="24"/>
                <w:szCs w:val="24"/>
                <w:lang w:eastAsia="en-US"/>
              </w:rPr>
            </w:pPr>
            <w:r>
              <w:rPr>
                <w:rFonts w:eastAsia="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24,4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24,4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24,4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1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24,4</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0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24,3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24,3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7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170,6</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rPr/>
      </w:pPr>
      <w:r>
        <w:rPr/>
      </w:r>
    </w:p>
    <w:p>
      <w:pPr>
        <w:pStyle w:val="Normal"/>
        <w:ind w:right="81" w:hanging="0"/>
        <w:jc w:val="right"/>
        <w:rPr>
          <w:b/>
          <w:b/>
          <w:color w:val="000000"/>
          <w:sz w:val="28"/>
          <w:szCs w:val="28"/>
        </w:rPr>
      </w:pPr>
      <w:r>
        <w:rPr>
          <w:b/>
          <w:color w:val="000000"/>
          <w:sz w:val="28"/>
          <w:szCs w:val="28"/>
        </w:rPr>
        <w:t>Таблица 12.</w:t>
      </w:r>
    </w:p>
    <w:p>
      <w:pPr>
        <w:pStyle w:val="Normal"/>
        <w:ind w:right="-61" w:hanging="0"/>
        <w:jc w:val="right"/>
        <w:rPr/>
      </w:pPr>
      <w:r>
        <w:rPr>
          <w:color w:val="000000"/>
          <w:sz w:val="24"/>
          <w:szCs w:val="24"/>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693"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Иные межбюджетные трансферты  на расходы по оплате труда отдельным категориям работников муниципальных учреждений и органов местного самоуправления</w:t>
            </w:r>
          </w:p>
        </w:tc>
      </w:tr>
      <w:tr>
        <w:trPr>
          <w:trHeight w:val="268"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rFonts w:eastAsia="Calibri"/>
                <w:sz w:val="24"/>
                <w:szCs w:val="24"/>
                <w:lang w:eastAsia="en-US"/>
              </w:rPr>
            </w:pPr>
            <w:r>
              <w:rPr>
                <w:color w:val="000000"/>
                <w:sz w:val="24"/>
                <w:szCs w:val="24"/>
                <w:lang w:eastAsia="en-US"/>
              </w:rPr>
              <w:t>64,7</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color w:val="000000"/>
                <w:sz w:val="24"/>
                <w:szCs w:val="24"/>
                <w:lang w:eastAsia="en-US"/>
              </w:rPr>
            </w:pPr>
            <w:r>
              <w:rPr>
                <w:rFonts w:eastAsia="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87,9</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54,3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67,3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1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107,5</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0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15,5</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54,3</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7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155,2</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606,7</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13.</w:t>
      </w:r>
    </w:p>
    <w:p>
      <w:pPr>
        <w:pStyle w:val="Normal"/>
        <w:ind w:right="-61" w:hanging="0"/>
        <w:jc w:val="right"/>
        <w:rPr/>
      </w:pPr>
      <w:r>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693"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Иные межбюджетные трансферты  на ремонт муниципального жилья</w:t>
            </w:r>
          </w:p>
        </w:tc>
      </w:tr>
      <w:tr>
        <w:trPr>
          <w:trHeight w:val="268"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sz w:val="24"/>
                <w:szCs w:val="24"/>
                <w:lang w:eastAsia="en-US"/>
              </w:rPr>
            </w:pPr>
            <w:r>
              <w:rPr>
                <w:rFonts w:eastAsia="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color w:val="000000"/>
                <w:sz w:val="24"/>
                <w:szCs w:val="24"/>
                <w:lang w:eastAsia="en-US"/>
              </w:rPr>
            </w:pPr>
            <w:r>
              <w:rPr>
                <w:rFonts w:eastAsia="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109,0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1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0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7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109,0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r>
    </w:p>
    <w:p>
      <w:pPr>
        <w:pStyle w:val="Normal"/>
        <w:ind w:right="81" w:hanging="0"/>
        <w:jc w:val="right"/>
        <w:rPr>
          <w:b/>
          <w:b/>
          <w:color w:val="000000"/>
          <w:sz w:val="28"/>
          <w:szCs w:val="28"/>
        </w:rPr>
      </w:pPr>
      <w:r>
        <w:rPr>
          <w:b/>
          <w:color w:val="000000"/>
          <w:sz w:val="28"/>
          <w:szCs w:val="28"/>
        </w:rPr>
        <w:t>Таблица 14.</w:t>
      </w:r>
    </w:p>
    <w:p>
      <w:pPr>
        <w:pStyle w:val="Normal"/>
        <w:ind w:right="-61" w:hanging="0"/>
        <w:jc w:val="right"/>
        <w:rPr/>
      </w:pPr>
      <w:r>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693"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Иные межбюджетные трансферты  на предоставление грантов на награждение победителей смотра-конкурса на звание "Лучшее муниципальное образование Нижегородской области в сфере благоустройства и дорожной деятельности"</w:t>
            </w:r>
          </w:p>
        </w:tc>
      </w:tr>
      <w:tr>
        <w:trPr>
          <w:trHeight w:val="268"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sz w:val="24"/>
                <w:szCs w:val="24"/>
                <w:lang w:eastAsia="en-US"/>
              </w:rPr>
            </w:pPr>
            <w:r>
              <w:rPr>
                <w:rFonts w:eastAsia="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color w:val="000000"/>
                <w:sz w:val="24"/>
                <w:szCs w:val="24"/>
                <w:lang w:eastAsia="en-US"/>
              </w:rPr>
            </w:pPr>
            <w:r>
              <w:rPr>
                <w:rFonts w:eastAsia="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1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0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7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600,0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600,0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Normal"/>
        <w:rPr>
          <w:sz w:val="24"/>
          <w:szCs w:val="24"/>
        </w:rPr>
      </w:pPr>
      <w:r>
        <w:rPr>
          <w:sz w:val="24"/>
          <w:szCs w:val="24"/>
        </w:rPr>
      </w:r>
    </w:p>
    <w:p>
      <w:pPr>
        <w:pStyle w:val="Normal"/>
        <w:ind w:right="81" w:hanging="0"/>
        <w:jc w:val="right"/>
        <w:rPr>
          <w:b/>
          <w:b/>
          <w:color w:val="000000"/>
          <w:sz w:val="28"/>
          <w:szCs w:val="28"/>
        </w:rPr>
      </w:pPr>
      <w:r>
        <w:rPr>
          <w:b/>
          <w:color w:val="000000"/>
          <w:sz w:val="28"/>
          <w:szCs w:val="28"/>
        </w:rPr>
        <w:t>Таблица 15.</w:t>
      </w:r>
    </w:p>
    <w:p>
      <w:pPr>
        <w:pStyle w:val="Normal"/>
        <w:ind w:right="-61" w:hanging="0"/>
        <w:jc w:val="right"/>
        <w:rPr/>
      </w:pPr>
      <w:r>
        <w:rPr/>
        <w:t xml:space="preserve">                                                                                                                                        </w:t>
      </w:r>
      <w:r>
        <w:rPr/>
        <w:t>(тыс.рублей)</w:t>
      </w:r>
    </w:p>
    <w:tbl>
      <w:tblPr>
        <w:tblW w:w="9923" w:type="dxa"/>
        <w:jc w:val="left"/>
        <w:tblInd w:w="-5" w:type="dxa"/>
        <w:tblLayout w:type="fixed"/>
        <w:tblCellMar>
          <w:top w:w="0" w:type="dxa"/>
          <w:left w:w="108" w:type="dxa"/>
          <w:bottom w:w="0" w:type="dxa"/>
          <w:right w:w="108" w:type="dxa"/>
        </w:tblCellMar>
      </w:tblPr>
      <w:tblGrid>
        <w:gridCol w:w="4111"/>
        <w:gridCol w:w="1985"/>
        <w:gridCol w:w="1984"/>
        <w:gridCol w:w="1843"/>
      </w:tblGrid>
      <w:tr>
        <w:trPr>
          <w:trHeight w:val="693" w:hRule="atLeast"/>
        </w:trPr>
        <w:tc>
          <w:tcPr>
            <w:tcW w:w="411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Cs/>
                <w:color w:val="000000"/>
                <w:sz w:val="24"/>
                <w:szCs w:val="24"/>
                <w:lang w:eastAsia="en-US"/>
              </w:rPr>
            </w:pPr>
            <w:r>
              <w:rPr>
                <w:bCs/>
                <w:color w:val="000000"/>
                <w:sz w:val="24"/>
                <w:szCs w:val="24"/>
                <w:lang w:eastAsia="en-US"/>
              </w:rPr>
              <w:t>Наименование</w:t>
            </w:r>
          </w:p>
          <w:p>
            <w:pPr>
              <w:pStyle w:val="Normal"/>
              <w:spacing w:lineRule="auto" w:line="276"/>
              <w:jc w:val="center"/>
              <w:rPr>
                <w:color w:val="000000"/>
                <w:sz w:val="24"/>
                <w:szCs w:val="24"/>
                <w:lang w:eastAsia="en-US"/>
              </w:rPr>
            </w:pPr>
            <w:r>
              <w:rPr>
                <w:bCs/>
                <w:color w:val="000000"/>
                <w:sz w:val="24"/>
                <w:szCs w:val="24"/>
                <w:lang w:eastAsia="en-US"/>
              </w:rPr>
              <w:t>поселения</w:t>
            </w:r>
          </w:p>
        </w:tc>
        <w:tc>
          <w:tcPr>
            <w:tcW w:w="5812"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Иные межбюджетные трансферты  на поощрение муниципальных управленческих команд в 2021 году</w:t>
            </w:r>
          </w:p>
        </w:tc>
      </w:tr>
      <w:tr>
        <w:trPr>
          <w:trHeight w:val="268" w:hRule="atLeast"/>
        </w:trPr>
        <w:tc>
          <w:tcPr>
            <w:tcW w:w="411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snapToGrid w:val="false"/>
              <w:rPr>
                <w:color w:val="000000"/>
                <w:sz w:val="24"/>
                <w:szCs w:val="24"/>
                <w:lang w:eastAsia="en-US"/>
              </w:rPr>
            </w:pPr>
            <w:r>
              <w:rPr>
                <w:color w:val="000000"/>
                <w:sz w:val="24"/>
                <w:szCs w:val="24"/>
                <w:lang w:eastAsia="en-US"/>
              </w:rPr>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2021 год</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2022 год</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2023 год</w:t>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rPr>
                <w:sz w:val="24"/>
                <w:szCs w:val="24"/>
                <w:lang w:eastAsia="en-US"/>
              </w:rPr>
            </w:pPr>
            <w:r>
              <w:rPr>
                <w:sz w:val="24"/>
                <w:szCs w:val="24"/>
                <w:lang w:eastAsia="en-US"/>
              </w:rPr>
              <w:t>Большеустинский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sz w:val="24"/>
                <w:szCs w:val="24"/>
                <w:lang w:eastAsia="en-US"/>
              </w:rPr>
            </w:pPr>
            <w:r>
              <w:rPr>
                <w:rFonts w:eastAsia="Calibri"/>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rFonts w:eastAsia="Calibri"/>
                <w:color w:val="000000"/>
                <w:sz w:val="24"/>
                <w:szCs w:val="24"/>
                <w:lang w:eastAsia="en-US"/>
              </w:rPr>
            </w:pPr>
            <w:r>
              <w:rPr>
                <w:rFonts w:eastAsia="Calibri"/>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6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Большерудкинский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9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Кушнурский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337"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Роженцовский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11"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Старорудкинский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20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Черномужский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96"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Щенниковский сельсовет</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173" w:hRule="atLeast"/>
        </w:trPr>
        <w:tc>
          <w:tcPr>
            <w:tcW w:w="4111" w:type="dxa"/>
            <w:tcBorders>
              <w:top w:val="single" w:sz="4" w:space="0" w:color="000000"/>
              <w:left w:val="single" w:sz="4" w:space="0" w:color="000000"/>
              <w:bottom w:val="single" w:sz="4" w:space="0" w:color="000000"/>
              <w:right w:val="single" w:sz="4" w:space="0" w:color="000000"/>
            </w:tcBorders>
          </w:tcPr>
          <w:p>
            <w:pPr>
              <w:pStyle w:val="Normal"/>
              <w:spacing w:lineRule="auto" w:line="276"/>
              <w:jc w:val="both"/>
              <w:rPr>
                <w:sz w:val="24"/>
                <w:szCs w:val="24"/>
                <w:lang w:eastAsia="en-US"/>
              </w:rPr>
            </w:pPr>
            <w:r>
              <w:rPr>
                <w:sz w:val="24"/>
                <w:szCs w:val="24"/>
                <w:lang w:eastAsia="en-US"/>
              </w:rPr>
              <w:t>р.п. Шаранга</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color w:val="000000"/>
                <w:sz w:val="24"/>
                <w:szCs w:val="24"/>
                <w:lang w:eastAsia="en-US"/>
              </w:rPr>
            </w:pPr>
            <w:r>
              <w:rPr>
                <w:color w:val="000000"/>
                <w:sz w:val="24"/>
                <w:szCs w:val="24"/>
                <w:lang w:eastAsia="en-US"/>
              </w:rPr>
              <w:t>200,0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76"/>
              <w:jc w:val="center"/>
              <w:rPr>
                <w:color w:val="000000"/>
                <w:sz w:val="24"/>
                <w:szCs w:val="24"/>
                <w:lang w:eastAsia="en-US"/>
              </w:rPr>
            </w:pPr>
            <w:r>
              <w:rPr>
                <w:color w:val="000000"/>
                <w:sz w:val="24"/>
                <w:szCs w:val="24"/>
                <w:lang w:eastAsia="en-US"/>
              </w:rPr>
            </w:r>
          </w:p>
        </w:tc>
      </w:tr>
      <w:tr>
        <w:trPr>
          <w:trHeight w:val="539" w:hRule="atLeast"/>
        </w:trPr>
        <w:tc>
          <w:tcPr>
            <w:tcW w:w="4111" w:type="dxa"/>
            <w:tcBorders>
              <w:top w:val="single" w:sz="4" w:space="0" w:color="000000"/>
              <w:left w:val="single" w:sz="4" w:space="0" w:color="000000"/>
              <w:bottom w:val="single" w:sz="4" w:space="0" w:color="000000"/>
              <w:right w:val="single" w:sz="4" w:space="0" w:color="000000"/>
            </w:tcBorders>
            <w:vAlign w:val="center"/>
          </w:tcPr>
          <w:p>
            <w:pPr>
              <w:pStyle w:val="4"/>
              <w:spacing w:lineRule="auto" w:line="276" w:before="200" w:after="0"/>
              <w:rPr>
                <w:rFonts w:ascii="Times New Roman" w:hAnsi="Times New Roman" w:cs="Times New Roman"/>
                <w:i w:val="false"/>
                <w:i w:val="false"/>
                <w:color w:val="000000"/>
                <w:lang w:eastAsia="en-US"/>
              </w:rPr>
            </w:pPr>
            <w:r>
              <w:rPr>
                <w:rFonts w:cs="Times New Roman" w:ascii="Times New Roman" w:hAnsi="Times New Roman"/>
                <w:i w:val="false"/>
                <w:color w:val="000000"/>
                <w:lang w:eastAsia="en-US"/>
              </w:rPr>
              <w:t>Всего</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200,0</w:t>
            </w:r>
          </w:p>
        </w:tc>
        <w:tc>
          <w:tcPr>
            <w:tcW w:w="198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c>
          <w:tcPr>
            <w:tcW w:w="1843"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76"/>
              <w:jc w:val="center"/>
              <w:rPr>
                <w:b/>
                <w:b/>
                <w:color w:val="000000"/>
                <w:sz w:val="24"/>
                <w:szCs w:val="24"/>
                <w:lang w:eastAsia="en-US"/>
              </w:rPr>
            </w:pPr>
            <w:r>
              <w:rPr>
                <w:b/>
                <w:color w:val="000000"/>
                <w:sz w:val="24"/>
                <w:szCs w:val="24"/>
                <w:lang w:eastAsia="en-US"/>
              </w:rPr>
              <w:t>-</w:t>
            </w:r>
          </w:p>
        </w:tc>
      </w:tr>
    </w:tbl>
    <w:p>
      <w:pPr>
        <w:pStyle w:val="ConsPlusNormal"/>
        <w:ind w:firstLine="540"/>
        <w:jc w:val="both"/>
        <w:rPr>
          <w:rFonts w:ascii="Times New Roman" w:hAnsi="Times New Roman" w:cs="Times New Roman"/>
          <w:sz w:val="28"/>
          <w:szCs w:val="28"/>
        </w:rPr>
      </w:pPr>
      <w:r>
        <w:rPr>
          <w:rFonts w:cs="Times New Roman" w:ascii="Times New Roman" w:hAnsi="Times New Roman"/>
          <w:sz w:val="28"/>
          <w:szCs w:val="28"/>
        </w:rPr>
      </w:r>
    </w:p>
    <w:sectPr>
      <w:type w:val="nextPage"/>
      <w:pgSz w:w="11906" w:h="16838"/>
      <w:pgMar w:left="1418" w:right="851" w:gutter="0" w:header="0" w:top="851" w:footer="0" w:bottom="851"/>
      <w:pgNumType w:fmt="decimal"/>
      <w:formProt w:val="false"/>
      <w:titlePg/>
      <w:textDirection w:val="lrTb"/>
      <w:docGrid w:type="default" w:linePitch="27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ambria">
    <w:charset w:val="cc"/>
    <w:family w:val="roman"/>
    <w:pitch w:val="variable"/>
  </w:font>
  <w:font w:name="Courier New">
    <w:charset w:val="cc"/>
    <w:family w:val="modern"/>
    <w:pitch w:val="default"/>
  </w:font>
  <w:font w:name="Wingdings">
    <w:charset w:val="02"/>
    <w:family w:val="auto"/>
    <w:pitch w:val="variable"/>
  </w:font>
  <w:font w:name="Tahoma">
    <w:charset w:val="cc"/>
    <w:family w:val="swiss"/>
    <w:pitch w:val="variable"/>
  </w:font>
  <w:font w:name="Consolas">
    <w:charset w:val="cc"/>
    <w:family w:val="modern"/>
    <w:pitch w:val="default"/>
  </w:font>
  <w:font w:name="Georgia">
    <w:charset w:val="cc"/>
    <w:family w:val="roman"/>
    <w:pitch w:val="variable"/>
  </w:font>
  <w:font w:name="Times New Roman CYR">
    <w:charset w:val="cc"/>
    <w:family w:val="roman"/>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pStyle w:val="4"/>
      <w:numFmt w:val="none"/>
      <w:suff w:val="nothing"/>
      <w:lvlText w:val=""/>
      <w:lvlJc w:val="left"/>
      <w:pPr>
        <w:tabs>
          <w:tab w:val="num" w:pos="0"/>
        </w:tabs>
        <w:ind w:left="0" w:hanging="0"/>
      </w:pPr>
    </w:lvl>
    <w:lvl w:ilvl="4">
      <w:start w:val="1"/>
      <w:pStyle w:val="5"/>
      <w:numFmt w:val="none"/>
      <w:suff w:val="nothing"/>
      <w:lvlText w:val=""/>
      <w:lvlJc w:val="left"/>
      <w:pPr>
        <w:tabs>
          <w:tab w:val="num" w:pos="0"/>
        </w:tabs>
        <w:ind w:left="0" w:hanging="0"/>
      </w:pPr>
    </w:lvl>
    <w:lvl w:ilvl="5">
      <w:start w:val="1"/>
      <w:pStyle w:val="6"/>
      <w:numFmt w:val="none"/>
      <w:suff w:val="nothing"/>
      <w:lvlText w:val=""/>
      <w:lvlJc w:val="left"/>
      <w:pPr>
        <w:tabs>
          <w:tab w:val="num" w:pos="0"/>
        </w:tabs>
        <w:ind w:left="0" w:hanging="0"/>
      </w:pPr>
    </w:lvl>
    <w:lvl w:ilvl="6">
      <w:start w:val="1"/>
      <w:pStyle w:val="7"/>
      <w:numFmt w:val="none"/>
      <w:suff w:val="nothing"/>
      <w:lvlText w:val=""/>
      <w:lvlJc w:val="left"/>
      <w:pPr>
        <w:tabs>
          <w:tab w:val="num" w:pos="0"/>
        </w:tabs>
        <w:ind w:left="0" w:hanging="0"/>
      </w:pPr>
    </w:lvl>
    <w:lvl w:ilvl="7">
      <w:start w:val="1"/>
      <w:pStyle w:val="8"/>
      <w:numFmt w:val="none"/>
      <w:suff w:val="nothing"/>
      <w:lvlText w:val=""/>
      <w:lvlJc w:val="left"/>
      <w:pPr>
        <w:tabs>
          <w:tab w:val="num" w:pos="0"/>
        </w:tabs>
        <w:ind w:left="0" w:hanging="0"/>
      </w:pPr>
    </w:lvl>
    <w:lvl w:ilvl="8">
      <w:start w:val="1"/>
      <w:pStyle w:val="9"/>
      <w:numFmt w:val="none"/>
      <w:suff w:val="nothing"/>
      <w:lvlText w:val=""/>
      <w:lvlJc w:val="left"/>
      <w:pPr>
        <w:tabs>
          <w:tab w:val="num" w:pos="0"/>
        </w:tabs>
        <w:ind w:left="0" w:hanging="0"/>
      </w:pPr>
    </w:lvl>
  </w:abstractNum>
  <w:abstractNum w:abstractNumId="2">
    <w:lvl w:ilvl="0">
      <w:start w:val="1"/>
      <w:numFmt w:val="decimal"/>
      <w:lvlText w:val="%1.   "/>
      <w:lvlJc w:val="left"/>
      <w:pPr>
        <w:tabs>
          <w:tab w:val="num" w:pos="1571"/>
        </w:tabs>
        <w:ind w:left="0" w:firstLine="851"/>
      </w:pPr>
      <w:rPr>
        <w:rFonts w:cs="Times New Roman"/>
      </w:rPr>
    </w:lvl>
    <w:lvl w:ilvl="1">
      <w:start w:val="1"/>
      <w:numFmt w:val="decimal"/>
      <w:lvlText w:val="%1.%2 "/>
      <w:lvlJc w:val="left"/>
      <w:pPr>
        <w:tabs>
          <w:tab w:val="num" w:pos="1684"/>
        </w:tabs>
        <w:ind w:left="57" w:firstLine="907"/>
      </w:pPr>
      <w:rPr>
        <w:rFonts w:cs="Times New Roman"/>
      </w:rPr>
    </w:lvl>
    <w:lvl w:ilvl="2">
      <w:start w:val="1"/>
      <w:numFmt w:val="bullet"/>
      <w:lvlText w:val=""/>
      <w:lvlJc w:val="left"/>
      <w:pPr>
        <w:tabs>
          <w:tab w:val="num" w:pos="1531"/>
        </w:tabs>
        <w:ind w:left="1531" w:hanging="397"/>
      </w:pPr>
      <w:rPr>
        <w:rFonts w:ascii="Symbol" w:hAnsi="Symbol" w:cs="Symbol" w:hint="default"/>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3">
    <w:lvl w:ilvl="0">
      <w:start w:val="1"/>
      <w:numFmt w:val="decimal"/>
      <w:lvlText w:val="%1)"/>
      <w:lvlJc w:val="left"/>
      <w:pPr>
        <w:tabs>
          <w:tab w:val="num" w:pos="0"/>
        </w:tabs>
        <w:ind w:left="927" w:hanging="360"/>
      </w:pPr>
      <w:rPr/>
    </w:lvl>
  </w:abstractNum>
  <w:abstractNum w:abstractNumId="4">
    <w:lvl w:ilvl="0">
      <w:start w:val="2"/>
      <w:numFmt w:val="decimal"/>
      <w:lvlText w:val="%1) "/>
      <w:lvlJc w:val="left"/>
      <w:pPr>
        <w:tabs>
          <w:tab w:val="num" w:pos="283"/>
        </w:tabs>
        <w:ind w:left="1003" w:hanging="283"/>
      </w:pPr>
      <w:rPr>
        <w:dstrike w:val="false"/>
        <w:strike w:val="false"/>
        <w:sz w:val="24"/>
        <w:i w:val="false"/>
        <w:u w:val="none"/>
        <w:b w:val="false"/>
        <w:szCs w:val="24"/>
        <w:iCs w:val="false"/>
        <w:bCs w:val="false"/>
        <w:rFonts w:ascii="Times New Roman" w:hAnsi="Times New Roman" w:cs="Times New Roman"/>
      </w:rPr>
    </w:lvl>
  </w:abstractNum>
  <w:num w:numId="1">
    <w:abstractNumId w:val="1"/>
  </w:num>
  <w:num w:numId="2">
    <w:abstractNumId w:val="2"/>
  </w:num>
  <w:num w:numId="3">
    <w:abstractNumId w:val="3"/>
  </w:num>
  <w:num w:numId="4">
    <w:abstractNumId w:val="4"/>
  </w:num>
  <w:num w:numId="5">
    <w:abstractNumId w:val="3"/>
    <w:lvlOverride w:ilvl="0">
      <w:startOverride w:val="1"/>
    </w:lvlOverride>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bCs/>
      <w:kern w:val="2"/>
      <w:sz w:val="32"/>
      <w:szCs w:val="32"/>
    </w:rPr>
  </w:style>
  <w:style w:type="paragraph" w:styleId="2">
    <w:name w:val="Heading 2"/>
    <w:basedOn w:val="Normal"/>
    <w:next w:val="Normal"/>
    <w:qFormat/>
    <w:pPr>
      <w:keepNext w:val="true"/>
      <w:numPr>
        <w:ilvl w:val="1"/>
        <w:numId w:val="1"/>
      </w:numPr>
      <w:jc w:val="center"/>
      <w:outlineLvl w:val="1"/>
    </w:pPr>
    <w:rPr>
      <w:rFonts w:ascii="Arial" w:hAnsi="Arial" w:cs="Arial"/>
      <w:sz w:val="24"/>
      <w:szCs w:val="24"/>
    </w:rPr>
  </w:style>
  <w:style w:type="paragraph" w:styleId="3">
    <w:name w:val="Heading 3"/>
    <w:basedOn w:val="Normal"/>
    <w:next w:val="Normal"/>
    <w:qFormat/>
    <w:pPr>
      <w:keepNext w:val="true"/>
      <w:numPr>
        <w:ilvl w:val="2"/>
        <w:numId w:val="1"/>
      </w:numPr>
      <w:spacing w:before="40" w:after="40"/>
      <w:jc w:val="center"/>
      <w:outlineLvl w:val="2"/>
    </w:pPr>
    <w:rPr>
      <w:rFonts w:ascii="Arial" w:hAnsi="Arial" w:cs="Arial"/>
      <w:b/>
      <w:bCs/>
      <w:sz w:val="22"/>
      <w:szCs w:val="22"/>
    </w:rPr>
  </w:style>
  <w:style w:type="paragraph" w:styleId="4">
    <w:name w:val="Heading 4"/>
    <w:basedOn w:val="Normal"/>
    <w:next w:val="Normal"/>
    <w:qFormat/>
    <w:pPr>
      <w:keepNext w:val="true"/>
      <w:keepLines/>
      <w:numPr>
        <w:ilvl w:val="3"/>
        <w:numId w:val="1"/>
      </w:numPr>
      <w:spacing w:before="200" w:after="0"/>
      <w:outlineLvl w:val="3"/>
    </w:pPr>
    <w:rPr>
      <w:rFonts w:ascii="Cambria" w:hAnsi="Cambria" w:eastAsia="Times New Roman" w:cs="Times New Roman"/>
      <w:b/>
      <w:bCs/>
      <w:i/>
      <w:iCs/>
      <w:color w:val="4F81BD"/>
      <w:sz w:val="24"/>
      <w:szCs w:val="24"/>
    </w:rPr>
  </w:style>
  <w:style w:type="paragraph" w:styleId="5">
    <w:name w:val="Heading 5"/>
    <w:basedOn w:val="Normal"/>
    <w:next w:val="Normal"/>
    <w:qFormat/>
    <w:pPr>
      <w:keepNext w:val="true"/>
      <w:numPr>
        <w:ilvl w:val="4"/>
        <w:numId w:val="1"/>
      </w:numPr>
      <w:autoSpaceDE w:val="false"/>
      <w:outlineLvl w:val="4"/>
    </w:pPr>
    <w:rPr>
      <w:color w:val="000000"/>
      <w:sz w:val="28"/>
      <w:szCs w:val="28"/>
    </w:rPr>
  </w:style>
  <w:style w:type="paragraph" w:styleId="6">
    <w:name w:val="Heading 6"/>
    <w:basedOn w:val="Normal"/>
    <w:next w:val="Normal"/>
    <w:qFormat/>
    <w:pPr>
      <w:numPr>
        <w:ilvl w:val="5"/>
        <w:numId w:val="1"/>
      </w:numPr>
      <w:autoSpaceDE w:val="false"/>
      <w:spacing w:before="240" w:after="60"/>
      <w:outlineLvl w:val="5"/>
    </w:pPr>
    <w:rPr>
      <w:b/>
      <w:bCs/>
      <w:kern w:val="2"/>
      <w:sz w:val="22"/>
      <w:szCs w:val="22"/>
    </w:rPr>
  </w:style>
  <w:style w:type="paragraph" w:styleId="7">
    <w:name w:val="Heading 7"/>
    <w:basedOn w:val="Normal"/>
    <w:next w:val="Normal"/>
    <w:qFormat/>
    <w:pPr>
      <w:keepNext w:val="true"/>
      <w:numPr>
        <w:ilvl w:val="6"/>
        <w:numId w:val="1"/>
      </w:numPr>
      <w:jc w:val="center"/>
      <w:outlineLvl w:val="6"/>
    </w:pPr>
    <w:rPr>
      <w:rFonts w:ascii="Arial" w:hAnsi="Arial" w:cs="Arial"/>
      <w:b/>
      <w:bCs/>
      <w:spacing w:val="204"/>
      <w:sz w:val="72"/>
      <w:szCs w:val="72"/>
    </w:rPr>
  </w:style>
  <w:style w:type="paragraph" w:styleId="8">
    <w:name w:val="Heading 8"/>
    <w:basedOn w:val="Normal"/>
    <w:next w:val="Normal"/>
    <w:qFormat/>
    <w:pPr>
      <w:numPr>
        <w:ilvl w:val="7"/>
        <w:numId w:val="1"/>
      </w:numPr>
      <w:spacing w:before="240" w:after="60"/>
      <w:outlineLvl w:val="7"/>
    </w:pPr>
    <w:rPr>
      <w:i/>
      <w:iCs/>
      <w:sz w:val="24"/>
      <w:szCs w:val="24"/>
    </w:rPr>
  </w:style>
  <w:style w:type="paragraph" w:styleId="9">
    <w:name w:val="Heading 9"/>
    <w:basedOn w:val="Normal"/>
    <w:next w:val="Normal"/>
    <w:qFormat/>
    <w:pPr>
      <w:keepNext w:val="true"/>
      <w:numPr>
        <w:ilvl w:val="8"/>
        <w:numId w:val="1"/>
      </w:numPr>
      <w:jc w:val="right"/>
      <w:outlineLvl w:val="8"/>
    </w:pPr>
    <w:rPr>
      <w:sz w:val="28"/>
      <w:szCs w:val="24"/>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rFonts w:ascii="Times New Roman" w:hAnsi="Times New Roman" w:eastAsia="Times New Roman" w:cs="Times New Roman"/>
    </w:rPr>
  </w:style>
  <w:style w:type="character" w:styleId="WW8Num9z1">
    <w:name w:val="WW8Num9z1"/>
    <w:qFormat/>
    <w:rPr>
      <w:rFonts w:ascii="Courier New" w:hAnsi="Courier New" w:cs="Courier New"/>
    </w:rPr>
  </w:style>
  <w:style w:type="character" w:styleId="WW8Num9z2">
    <w:name w:val="WW8Num9z2"/>
    <w:qFormat/>
    <w:rPr>
      <w:rFonts w:ascii="Wingdings" w:hAnsi="Wingdings" w:cs="Wingdings"/>
    </w:rPr>
  </w:style>
  <w:style w:type="character" w:styleId="WW8Num9z3">
    <w:name w:val="WW8Num9z3"/>
    <w:qFormat/>
    <w:rPr>
      <w:rFonts w:ascii="Symbol" w:hAnsi="Symbol" w:cs="Symbol"/>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rFonts w:ascii="Symbol" w:hAnsi="Symbol" w:cs="Symbol"/>
    </w:rPr>
  </w:style>
  <w:style w:type="character" w:styleId="WW8Num12z1">
    <w:name w:val="WW8Num12z1"/>
    <w:qFormat/>
    <w:rPr>
      <w:rFonts w:ascii="Courier New" w:hAnsi="Courier New" w:cs="Courier New"/>
    </w:rPr>
  </w:style>
  <w:style w:type="character" w:styleId="WW8Num12z2">
    <w:name w:val="WW8Num12z2"/>
    <w:qFormat/>
    <w:rPr>
      <w:rFonts w:ascii="Wingdings" w:hAnsi="Wingdings" w:cs="Wingdings"/>
    </w:rPr>
  </w:style>
  <w:style w:type="character" w:styleId="WW8Num13z0">
    <w:name w:val="WW8Num13z0"/>
    <w:qFormat/>
    <w:rPr>
      <w:rFonts w:cs="Times New Roman"/>
    </w:rPr>
  </w:style>
  <w:style w:type="character" w:styleId="WW8Num13z2">
    <w:name w:val="WW8Num13z2"/>
    <w:qFormat/>
    <w:rPr>
      <w:rFonts w:ascii="Symbol" w:hAnsi="Symbol" w:cs="Symbol"/>
    </w:rPr>
  </w:style>
  <w:style w:type="character" w:styleId="WW8Num14z0">
    <w:name w:val="WW8Num14z0"/>
    <w:qFormat/>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20z0">
    <w:name w:val="WW8Num20z0"/>
    <w:qFormat/>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2z1">
    <w:name w:val="WW8Num22z1"/>
    <w:qFormat/>
    <w:rPr/>
  </w:style>
  <w:style w:type="character" w:styleId="WW8Num22z2">
    <w:name w:val="WW8Num22z2"/>
    <w:qFormat/>
    <w:rPr/>
  </w:style>
  <w:style w:type="character" w:styleId="WW8Num22z3">
    <w:name w:val="WW8Num22z3"/>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0">
    <w:name w:val="WW8Num23z0"/>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rFonts w:ascii="Symbol" w:hAnsi="Symbol" w:cs="Symbol"/>
    </w:rPr>
  </w:style>
  <w:style w:type="character" w:styleId="WW8Num24z1">
    <w:name w:val="WW8Num24z1"/>
    <w:qFormat/>
    <w:rPr>
      <w:rFonts w:ascii="Courier New" w:hAnsi="Courier New" w:cs="Courier New"/>
    </w:rPr>
  </w:style>
  <w:style w:type="character" w:styleId="WW8Num24z2">
    <w:name w:val="WW8Num24z2"/>
    <w:qFormat/>
    <w:rPr>
      <w:rFonts w:ascii="Wingdings" w:hAnsi="Wingdings" w:cs="Wingdings"/>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WW8Num27z0">
    <w:name w:val="WW8Num27z0"/>
    <w:qFormat/>
    <w:rPr/>
  </w:style>
  <w:style w:type="character" w:styleId="WW8Num27z1">
    <w:name w:val="WW8Num27z1"/>
    <w:qFormat/>
    <w:rPr/>
  </w:style>
  <w:style w:type="character" w:styleId="WW8Num27z2">
    <w:name w:val="WW8Num27z2"/>
    <w:qFormat/>
    <w:rPr/>
  </w:style>
  <w:style w:type="character" w:styleId="WW8Num27z3">
    <w:name w:val="WW8Num27z3"/>
    <w:qFormat/>
    <w:rPr/>
  </w:style>
  <w:style w:type="character" w:styleId="WW8Num27z4">
    <w:name w:val="WW8Num27z4"/>
    <w:qFormat/>
    <w:rPr/>
  </w:style>
  <w:style w:type="character" w:styleId="WW8Num27z5">
    <w:name w:val="WW8Num27z5"/>
    <w:qFormat/>
    <w:rPr/>
  </w:style>
  <w:style w:type="character" w:styleId="WW8Num27z6">
    <w:name w:val="WW8Num27z6"/>
    <w:qFormat/>
    <w:rPr/>
  </w:style>
  <w:style w:type="character" w:styleId="WW8Num27z7">
    <w:name w:val="WW8Num27z7"/>
    <w:qFormat/>
    <w:rPr/>
  </w:style>
  <w:style w:type="character" w:styleId="WW8Num27z8">
    <w:name w:val="WW8Num27z8"/>
    <w:qFormat/>
    <w:rPr/>
  </w:style>
  <w:style w:type="character" w:styleId="WW8Num28z0">
    <w:name w:val="WW8Num28z0"/>
    <w:qFormat/>
    <w:rPr/>
  </w:style>
  <w:style w:type="character" w:styleId="WW8Num28z1">
    <w:name w:val="WW8Num28z1"/>
    <w:qFormat/>
    <w:rPr/>
  </w:style>
  <w:style w:type="character" w:styleId="WW8Num28z2">
    <w:name w:val="WW8Num28z2"/>
    <w:qFormat/>
    <w:rPr/>
  </w:style>
  <w:style w:type="character" w:styleId="WW8Num28z3">
    <w:name w:val="WW8Num28z3"/>
    <w:qFormat/>
    <w:rPr/>
  </w:style>
  <w:style w:type="character" w:styleId="WW8Num28z4">
    <w:name w:val="WW8Num28z4"/>
    <w:qFormat/>
    <w:rPr/>
  </w:style>
  <w:style w:type="character" w:styleId="WW8Num28z5">
    <w:name w:val="WW8Num28z5"/>
    <w:qFormat/>
    <w:rPr/>
  </w:style>
  <w:style w:type="character" w:styleId="WW8Num28z6">
    <w:name w:val="WW8Num28z6"/>
    <w:qFormat/>
    <w:rPr/>
  </w:style>
  <w:style w:type="character" w:styleId="WW8Num28z7">
    <w:name w:val="WW8Num28z7"/>
    <w:qFormat/>
    <w:rPr/>
  </w:style>
  <w:style w:type="character" w:styleId="WW8Num28z8">
    <w:name w:val="WW8Num28z8"/>
    <w:qFormat/>
    <w:rPr/>
  </w:style>
  <w:style w:type="character" w:styleId="WW8Num29z0">
    <w:name w:val="WW8Num29z0"/>
    <w:qFormat/>
    <w:rPr>
      <w:sz w:val="28"/>
    </w:rPr>
  </w:style>
  <w:style w:type="character" w:styleId="WW8Num29z1">
    <w:name w:val="WW8Num29z1"/>
    <w:qFormat/>
    <w:rPr/>
  </w:style>
  <w:style w:type="character" w:styleId="WW8Num29z2">
    <w:name w:val="WW8Num29z2"/>
    <w:qFormat/>
    <w:rPr/>
  </w:style>
  <w:style w:type="character" w:styleId="WW8Num29z3">
    <w:name w:val="WW8Num29z3"/>
    <w:qFormat/>
    <w:rPr/>
  </w:style>
  <w:style w:type="character" w:styleId="WW8Num29z4">
    <w:name w:val="WW8Num29z4"/>
    <w:qFormat/>
    <w:rPr/>
  </w:style>
  <w:style w:type="character" w:styleId="WW8Num29z5">
    <w:name w:val="WW8Num29z5"/>
    <w:qFormat/>
    <w:rPr/>
  </w:style>
  <w:style w:type="character" w:styleId="WW8Num29z6">
    <w:name w:val="WW8Num29z6"/>
    <w:qFormat/>
    <w:rPr/>
  </w:style>
  <w:style w:type="character" w:styleId="WW8Num29z7">
    <w:name w:val="WW8Num29z7"/>
    <w:qFormat/>
    <w:rPr/>
  </w:style>
  <w:style w:type="character" w:styleId="WW8Num29z8">
    <w:name w:val="WW8Num29z8"/>
    <w:qFormat/>
    <w:rPr/>
  </w:style>
  <w:style w:type="character" w:styleId="WW8Num30z0">
    <w:name w:val="WW8Num30z0"/>
    <w:qFormat/>
    <w:rPr>
      <w:rFonts w:ascii="Times New Roman" w:hAnsi="Times New Roman" w:cs="Times New Roman"/>
      <w:b w:val="false"/>
      <w:bCs w:val="false"/>
      <w:i w:val="false"/>
      <w:iCs w:val="false"/>
      <w:strike w:val="false"/>
      <w:dstrike w:val="false"/>
      <w:sz w:val="24"/>
      <w:szCs w:val="24"/>
      <w:u w:val="none"/>
    </w:rPr>
  </w:style>
  <w:style w:type="character" w:styleId="WW8Num31z0">
    <w:name w:val="WW8Num31z0"/>
    <w:qFormat/>
    <w:rPr/>
  </w:style>
  <w:style w:type="character" w:styleId="WW8Num31z1">
    <w:name w:val="WW8Num31z1"/>
    <w:qFormat/>
    <w:rPr/>
  </w:style>
  <w:style w:type="character" w:styleId="WW8Num31z2">
    <w:name w:val="WW8Num31z2"/>
    <w:qFormat/>
    <w:rPr/>
  </w:style>
  <w:style w:type="character" w:styleId="WW8Num31z3">
    <w:name w:val="WW8Num31z3"/>
    <w:qFormat/>
    <w:rPr/>
  </w:style>
  <w:style w:type="character" w:styleId="WW8Num31z4">
    <w:name w:val="WW8Num31z4"/>
    <w:qFormat/>
    <w:rPr/>
  </w:style>
  <w:style w:type="character" w:styleId="WW8Num31z5">
    <w:name w:val="WW8Num31z5"/>
    <w:qFormat/>
    <w:rPr/>
  </w:style>
  <w:style w:type="character" w:styleId="WW8Num31z6">
    <w:name w:val="WW8Num31z6"/>
    <w:qFormat/>
    <w:rPr/>
  </w:style>
  <w:style w:type="character" w:styleId="WW8Num31z7">
    <w:name w:val="WW8Num31z7"/>
    <w:qFormat/>
    <w:rPr/>
  </w:style>
  <w:style w:type="character" w:styleId="WW8Num31z8">
    <w:name w:val="WW8Num31z8"/>
    <w:qFormat/>
    <w:rPr/>
  </w:style>
  <w:style w:type="character" w:styleId="WW8Num32z0">
    <w:name w:val="WW8Num32z0"/>
    <w:qFormat/>
    <w:rPr>
      <w:rFonts w:ascii="Times New Roman" w:hAnsi="Times New Roman" w:eastAsia="Times New Roman" w:cs="Times New Roman"/>
    </w:rPr>
  </w:style>
  <w:style w:type="character" w:styleId="WW8Num32z1">
    <w:name w:val="WW8Num32z1"/>
    <w:qFormat/>
    <w:rPr>
      <w:rFonts w:ascii="Courier New" w:hAnsi="Courier New" w:cs="Courier New"/>
    </w:rPr>
  </w:style>
  <w:style w:type="character" w:styleId="WW8Num32z2">
    <w:name w:val="WW8Num32z2"/>
    <w:qFormat/>
    <w:rPr>
      <w:rFonts w:ascii="Wingdings" w:hAnsi="Wingdings" w:cs="Wingdings"/>
    </w:rPr>
  </w:style>
  <w:style w:type="character" w:styleId="WW8Num32z3">
    <w:name w:val="WW8Num32z3"/>
    <w:qFormat/>
    <w:rPr>
      <w:rFonts w:ascii="Symbol" w:hAnsi="Symbol" w:cs="Symbol"/>
    </w:rPr>
  </w:style>
  <w:style w:type="character" w:styleId="WW8Num33z0">
    <w:name w:val="WW8Num33z0"/>
    <w:qFormat/>
    <w:rPr/>
  </w:style>
  <w:style w:type="character" w:styleId="WW8Num33z1">
    <w:name w:val="WW8Num33z1"/>
    <w:qFormat/>
    <w:rPr/>
  </w:style>
  <w:style w:type="character" w:styleId="WW8Num33z2">
    <w:name w:val="WW8Num33z2"/>
    <w:qFormat/>
    <w:rPr/>
  </w:style>
  <w:style w:type="character" w:styleId="WW8Num33z3">
    <w:name w:val="WW8Num33z3"/>
    <w:qFormat/>
    <w:rPr/>
  </w:style>
  <w:style w:type="character" w:styleId="WW8Num33z4">
    <w:name w:val="WW8Num33z4"/>
    <w:qFormat/>
    <w:rPr/>
  </w:style>
  <w:style w:type="character" w:styleId="WW8Num33z5">
    <w:name w:val="WW8Num33z5"/>
    <w:qFormat/>
    <w:rPr/>
  </w:style>
  <w:style w:type="character" w:styleId="WW8Num33z6">
    <w:name w:val="WW8Num33z6"/>
    <w:qFormat/>
    <w:rPr/>
  </w:style>
  <w:style w:type="character" w:styleId="WW8Num33z7">
    <w:name w:val="WW8Num33z7"/>
    <w:qFormat/>
    <w:rPr/>
  </w:style>
  <w:style w:type="character" w:styleId="WW8Num33z8">
    <w:name w:val="WW8Num33z8"/>
    <w:qFormat/>
    <w:rPr/>
  </w:style>
  <w:style w:type="character" w:styleId="WW8NumSt19z0">
    <w:name w:val="WW8NumSt19z0"/>
    <w:qFormat/>
    <w:rPr/>
  </w:style>
  <w:style w:type="character" w:styleId="Style5">
    <w:name w:val="Основной шрифт абзаца"/>
    <w:qFormat/>
    <w:rPr/>
  </w:style>
  <w:style w:type="character" w:styleId="11">
    <w:name w:val="Заголовок 1 Знак"/>
    <w:basedOn w:val="Style5"/>
    <w:qFormat/>
    <w:rPr>
      <w:rFonts w:ascii="Cambria" w:hAnsi="Cambria" w:cs="Cambria"/>
      <w:b/>
      <w:bCs/>
      <w:kern w:val="2"/>
      <w:sz w:val="32"/>
      <w:szCs w:val="32"/>
    </w:rPr>
  </w:style>
  <w:style w:type="character" w:styleId="21">
    <w:name w:val="Заголовок 2 Знак"/>
    <w:basedOn w:val="Style5"/>
    <w:qFormat/>
    <w:rPr>
      <w:rFonts w:ascii="Cambria" w:hAnsi="Cambria" w:cs="Cambria"/>
      <w:b/>
      <w:bCs/>
      <w:i/>
      <w:iCs/>
      <w:sz w:val="28"/>
      <w:szCs w:val="28"/>
    </w:rPr>
  </w:style>
  <w:style w:type="character" w:styleId="31">
    <w:name w:val="Заголовок 3 Знак"/>
    <w:basedOn w:val="Style5"/>
    <w:qFormat/>
    <w:rPr>
      <w:rFonts w:ascii="Cambria" w:hAnsi="Cambria" w:cs="Cambria"/>
      <w:b/>
      <w:bCs/>
      <w:sz w:val="26"/>
      <w:szCs w:val="26"/>
    </w:rPr>
  </w:style>
  <w:style w:type="character" w:styleId="Style6">
    <w:name w:val="Основной текст Знак"/>
    <w:basedOn w:val="Style5"/>
    <w:qFormat/>
    <w:rPr>
      <w:sz w:val="20"/>
      <w:szCs w:val="20"/>
    </w:rPr>
  </w:style>
  <w:style w:type="character" w:styleId="Style7">
    <w:name w:val="Основной текст с отступом Знак"/>
    <w:basedOn w:val="Style5"/>
    <w:qFormat/>
    <w:rPr>
      <w:sz w:val="20"/>
      <w:szCs w:val="20"/>
    </w:rPr>
  </w:style>
  <w:style w:type="character" w:styleId="22">
    <w:name w:val="Основной текст с отступом 2 Знак"/>
    <w:basedOn w:val="Style5"/>
    <w:qFormat/>
    <w:rPr>
      <w:sz w:val="20"/>
      <w:szCs w:val="20"/>
    </w:rPr>
  </w:style>
  <w:style w:type="character" w:styleId="Style8">
    <w:name w:val="Верхний колонтитул Знак"/>
    <w:basedOn w:val="Style5"/>
    <w:qFormat/>
    <w:rPr>
      <w:sz w:val="20"/>
      <w:szCs w:val="20"/>
    </w:rPr>
  </w:style>
  <w:style w:type="character" w:styleId="Style9">
    <w:name w:val="Номер страницы"/>
    <w:basedOn w:val="Style5"/>
    <w:rPr/>
  </w:style>
  <w:style w:type="character" w:styleId="23">
    <w:name w:val="Основной текст 2 Знак"/>
    <w:basedOn w:val="Style5"/>
    <w:qFormat/>
    <w:rPr>
      <w:sz w:val="20"/>
      <w:szCs w:val="20"/>
    </w:rPr>
  </w:style>
  <w:style w:type="character" w:styleId="32">
    <w:name w:val="Основной текст 3 Знак"/>
    <w:basedOn w:val="Style5"/>
    <w:qFormat/>
    <w:rPr>
      <w:sz w:val="16"/>
      <w:szCs w:val="16"/>
    </w:rPr>
  </w:style>
  <w:style w:type="character" w:styleId="Style10">
    <w:name w:val="Текст Знак"/>
    <w:basedOn w:val="Style5"/>
    <w:qFormat/>
    <w:rPr>
      <w:rFonts w:ascii="Courier New" w:hAnsi="Courier New" w:cs="Courier New"/>
      <w:sz w:val="20"/>
      <w:szCs w:val="20"/>
    </w:rPr>
  </w:style>
  <w:style w:type="character" w:styleId="33">
    <w:name w:val="Основной текст с отступом 3 Знак"/>
    <w:basedOn w:val="Style5"/>
    <w:qFormat/>
    <w:rPr>
      <w:sz w:val="16"/>
      <w:szCs w:val="16"/>
    </w:rPr>
  </w:style>
  <w:style w:type="character" w:styleId="Style11">
    <w:name w:val="Нижний колонтитул Знак"/>
    <w:basedOn w:val="Style5"/>
    <w:qFormat/>
    <w:rPr>
      <w:sz w:val="20"/>
      <w:szCs w:val="20"/>
    </w:rPr>
  </w:style>
  <w:style w:type="character" w:styleId="Style12">
    <w:name w:val="Интернет-ссылка"/>
    <w:basedOn w:val="Style5"/>
    <w:rPr>
      <w:rFonts w:ascii="Times New Roman" w:hAnsi="Times New Roman" w:cs="Times New Roman"/>
      <w:color w:val="0000FF"/>
      <w:u w:val="single"/>
    </w:rPr>
  </w:style>
  <w:style w:type="character" w:styleId="41">
    <w:name w:val="Заголовок 4 Знак"/>
    <w:basedOn w:val="Style5"/>
    <w:qFormat/>
    <w:rPr>
      <w:rFonts w:ascii="Cambria" w:hAnsi="Cambria" w:eastAsia="Times New Roman" w:cs="Times New Roman"/>
      <w:b/>
      <w:bCs/>
      <w:i/>
      <w:iCs/>
      <w:color w:val="4F81BD"/>
      <w:sz w:val="24"/>
      <w:szCs w:val="24"/>
    </w:rPr>
  </w:style>
  <w:style w:type="character" w:styleId="51">
    <w:name w:val="Заголовок 5 Знак"/>
    <w:basedOn w:val="Style5"/>
    <w:qFormat/>
    <w:rPr>
      <w:color w:val="000000"/>
      <w:sz w:val="28"/>
      <w:szCs w:val="28"/>
    </w:rPr>
  </w:style>
  <w:style w:type="character" w:styleId="61">
    <w:name w:val="Заголовок 6 Знак"/>
    <w:basedOn w:val="Style5"/>
    <w:qFormat/>
    <w:rPr>
      <w:b/>
      <w:bCs/>
      <w:kern w:val="2"/>
      <w:sz w:val="22"/>
      <w:szCs w:val="22"/>
    </w:rPr>
  </w:style>
  <w:style w:type="character" w:styleId="71">
    <w:name w:val="Заголовок 7 Знак"/>
    <w:basedOn w:val="Style5"/>
    <w:qFormat/>
    <w:rPr>
      <w:rFonts w:ascii="Arial" w:hAnsi="Arial" w:cs="Arial"/>
      <w:b/>
      <w:bCs/>
      <w:spacing w:val="204"/>
      <w:sz w:val="72"/>
      <w:szCs w:val="72"/>
    </w:rPr>
  </w:style>
  <w:style w:type="character" w:styleId="81">
    <w:name w:val="Заголовок 8 Знак"/>
    <w:basedOn w:val="Style5"/>
    <w:qFormat/>
    <w:rPr>
      <w:i/>
      <w:iCs/>
      <w:sz w:val="24"/>
      <w:szCs w:val="24"/>
    </w:rPr>
  </w:style>
  <w:style w:type="character" w:styleId="91">
    <w:name w:val="Заголовок 9 Знак"/>
    <w:basedOn w:val="Style5"/>
    <w:qFormat/>
    <w:rPr>
      <w:sz w:val="28"/>
      <w:szCs w:val="24"/>
    </w:rPr>
  </w:style>
  <w:style w:type="character" w:styleId="Style13">
    <w:name w:val="Текст выноски Знак"/>
    <w:basedOn w:val="Style5"/>
    <w:qFormat/>
    <w:rPr>
      <w:rFonts w:ascii="Tahoma" w:hAnsi="Tahoma" w:cs="Tahoma"/>
      <w:sz w:val="16"/>
      <w:szCs w:val="16"/>
    </w:rPr>
  </w:style>
  <w:style w:type="character" w:styleId="Style14">
    <w:name w:val="Текст сноски Знак"/>
    <w:basedOn w:val="Style5"/>
    <w:qFormat/>
    <w:rPr>
      <w:szCs w:val="24"/>
    </w:rPr>
  </w:style>
  <w:style w:type="character" w:styleId="Style15">
    <w:name w:val="Текст примечания Знак"/>
    <w:basedOn w:val="Style5"/>
    <w:qFormat/>
    <w:rPr/>
  </w:style>
  <w:style w:type="character" w:styleId="12">
    <w:name w:val="Текст примечания Знак1"/>
    <w:basedOn w:val="Style5"/>
    <w:qFormat/>
    <w:rPr/>
  </w:style>
  <w:style w:type="character" w:styleId="Style16">
    <w:name w:val="Название Знак"/>
    <w:basedOn w:val="Style5"/>
    <w:qFormat/>
    <w:rPr>
      <w:rFonts w:ascii="Cambria" w:hAnsi="Cambria" w:cs="Cambria"/>
      <w:b/>
      <w:bCs/>
      <w:kern w:val="2"/>
      <w:sz w:val="32"/>
      <w:szCs w:val="32"/>
    </w:rPr>
  </w:style>
  <w:style w:type="character" w:styleId="13">
    <w:name w:val="Основной текст с отступом Знак1"/>
    <w:basedOn w:val="Style5"/>
    <w:qFormat/>
    <w:rPr>
      <w:rFonts w:ascii="Times New Roman" w:hAnsi="Times New Roman" w:eastAsia="Times New Roman" w:cs="Times New Roman"/>
      <w:sz w:val="24"/>
      <w:szCs w:val="24"/>
    </w:rPr>
  </w:style>
  <w:style w:type="character" w:styleId="Style17">
    <w:name w:val="Приветствие Знак"/>
    <w:basedOn w:val="Style5"/>
    <w:qFormat/>
    <w:rPr>
      <w:kern w:val="2"/>
      <w:sz w:val="24"/>
      <w:szCs w:val="24"/>
    </w:rPr>
  </w:style>
  <w:style w:type="character" w:styleId="14">
    <w:name w:val="Приветствие Знак1"/>
    <w:basedOn w:val="Style5"/>
    <w:qFormat/>
    <w:rPr/>
  </w:style>
  <w:style w:type="character" w:styleId="Style18">
    <w:name w:val="Дата Знак"/>
    <w:basedOn w:val="Style5"/>
    <w:qFormat/>
    <w:rPr>
      <w:rFonts w:ascii="Courier New" w:hAnsi="Courier New" w:cs="Courier New"/>
      <w:sz w:val="24"/>
      <w:szCs w:val="24"/>
    </w:rPr>
  </w:style>
  <w:style w:type="character" w:styleId="15">
    <w:name w:val="Дата Знак1"/>
    <w:basedOn w:val="Style5"/>
    <w:qFormat/>
    <w:rPr/>
  </w:style>
  <w:style w:type="character" w:styleId="211">
    <w:name w:val="Основной текст 2 Знак1"/>
    <w:basedOn w:val="Style5"/>
    <w:qFormat/>
    <w:rPr>
      <w:rFonts w:ascii="Times New Roman" w:hAnsi="Times New Roman" w:eastAsia="Times New Roman" w:cs="Times New Roman"/>
      <w:sz w:val="24"/>
      <w:szCs w:val="24"/>
    </w:rPr>
  </w:style>
  <w:style w:type="character" w:styleId="311">
    <w:name w:val="Основной текст 3 Знак1"/>
    <w:basedOn w:val="Style5"/>
    <w:qFormat/>
    <w:rPr>
      <w:rFonts w:ascii="Times New Roman" w:hAnsi="Times New Roman" w:eastAsia="Times New Roman" w:cs="Times New Roman"/>
      <w:sz w:val="16"/>
      <w:szCs w:val="16"/>
    </w:rPr>
  </w:style>
  <w:style w:type="character" w:styleId="212">
    <w:name w:val="Основной текст с отступом 2 Знак1"/>
    <w:basedOn w:val="Style5"/>
    <w:qFormat/>
    <w:rPr>
      <w:rFonts w:ascii="Times New Roman" w:hAnsi="Times New Roman" w:eastAsia="Times New Roman" w:cs="Times New Roman"/>
      <w:sz w:val="24"/>
      <w:szCs w:val="24"/>
    </w:rPr>
  </w:style>
  <w:style w:type="character" w:styleId="312">
    <w:name w:val="Основной текст с отступом 3 Знак1"/>
    <w:basedOn w:val="Style5"/>
    <w:qFormat/>
    <w:rPr>
      <w:rFonts w:ascii="Times New Roman" w:hAnsi="Times New Roman" w:eastAsia="Times New Roman" w:cs="Times New Roman"/>
      <w:sz w:val="16"/>
      <w:szCs w:val="16"/>
    </w:rPr>
  </w:style>
  <w:style w:type="character" w:styleId="Style19">
    <w:name w:val="Схема документа Знак"/>
    <w:basedOn w:val="Style5"/>
    <w:qFormat/>
    <w:rPr>
      <w:rFonts w:ascii="Tahoma" w:hAnsi="Tahoma" w:cs="Tahoma"/>
      <w:kern w:val="2"/>
      <w:sz w:val="24"/>
      <w:szCs w:val="24"/>
      <w:shd w:fill="000080" w:val="clear"/>
    </w:rPr>
  </w:style>
  <w:style w:type="character" w:styleId="16">
    <w:name w:val="Схема документа Знак1"/>
    <w:basedOn w:val="Style5"/>
    <w:qFormat/>
    <w:rPr>
      <w:rFonts w:ascii="Tahoma" w:hAnsi="Tahoma" w:cs="Tahoma"/>
      <w:sz w:val="16"/>
      <w:szCs w:val="16"/>
    </w:rPr>
  </w:style>
  <w:style w:type="character" w:styleId="17">
    <w:name w:val="Текст Знак1"/>
    <w:basedOn w:val="Style5"/>
    <w:qFormat/>
    <w:rPr>
      <w:rFonts w:ascii="Consolas" w:hAnsi="Consolas" w:eastAsia="Times New Roman" w:cs="Times New Roman"/>
      <w:sz w:val="21"/>
      <w:szCs w:val="21"/>
    </w:rPr>
  </w:style>
  <w:style w:type="character" w:styleId="Style20">
    <w:name w:val="Тема примечания Знак"/>
    <w:basedOn w:val="Style15"/>
    <w:qFormat/>
    <w:rPr>
      <w:b/>
      <w:bCs/>
      <w:lang w:val="en-US"/>
    </w:rPr>
  </w:style>
  <w:style w:type="character" w:styleId="18">
    <w:name w:val="Тема примечания Знак1"/>
    <w:basedOn w:val="12"/>
    <w:qFormat/>
    <w:rPr>
      <w:b/>
      <w:bCs/>
    </w:rPr>
  </w:style>
  <w:style w:type="character" w:styleId="ProGramma">
    <w:name w:val="Pro-Gramma Знак"/>
    <w:qFormat/>
    <w:rPr>
      <w:rFonts w:ascii="Georgia" w:hAnsi="Georgia" w:cs="Georgia"/>
      <w:sz w:val="24"/>
      <w:szCs w:val="24"/>
    </w:rPr>
  </w:style>
  <w:style w:type="character" w:styleId="19">
    <w:name w:val="Верхний колонтитул Знак1"/>
    <w:basedOn w:val="Style5"/>
    <w:qFormat/>
    <w:rPr>
      <w:rFonts w:ascii="Times New Roman" w:hAnsi="Times New Roman" w:eastAsia="Times New Roman" w:cs="Times New Roman"/>
      <w:sz w:val="24"/>
      <w:szCs w:val="24"/>
    </w:rPr>
  </w:style>
  <w:style w:type="character" w:styleId="110">
    <w:name w:val="Нижний колонтитул Знак1"/>
    <w:basedOn w:val="Style5"/>
    <w:qFormat/>
    <w:rPr>
      <w:rFonts w:ascii="Times New Roman" w:hAnsi="Times New Roman" w:eastAsia="Times New Roman" w:cs="Times New Roman"/>
      <w:sz w:val="24"/>
      <w:szCs w:val="24"/>
    </w:rPr>
  </w:style>
  <w:style w:type="character" w:styleId="111">
    <w:name w:val="Текст выноски Знак1"/>
    <w:basedOn w:val="Style5"/>
    <w:qFormat/>
    <w:rPr>
      <w:rFonts w:ascii="Tahoma" w:hAnsi="Tahoma" w:eastAsia="Times New Roman" w:cs="Tahoma"/>
      <w:sz w:val="16"/>
      <w:szCs w:val="16"/>
    </w:rPr>
  </w:style>
  <w:style w:type="character" w:styleId="112">
    <w:name w:val="Заголовок 1 Знак1"/>
    <w:qFormat/>
    <w:rPr>
      <w:kern w:val="2"/>
      <w:sz w:val="28"/>
      <w:lang w:val="ru-RU"/>
    </w:rPr>
  </w:style>
  <w:style w:type="character" w:styleId="121">
    <w:name w:val="Знак12"/>
    <w:qFormat/>
    <w:rPr>
      <w:kern w:val="2"/>
      <w:sz w:val="24"/>
      <w:lang w:val="ru-RU"/>
    </w:rPr>
  </w:style>
  <w:style w:type="character" w:styleId="24">
    <w:name w:val="Дата Знак2"/>
    <w:qFormat/>
    <w:rPr>
      <w:kern w:val="2"/>
      <w:sz w:val="24"/>
    </w:rPr>
  </w:style>
  <w:style w:type="character" w:styleId="122">
    <w:name w:val="Заголовок 1 Знак2"/>
    <w:qFormat/>
    <w:rPr>
      <w:rFonts w:ascii="Cambria" w:hAnsi="Cambria" w:cs="Cambria"/>
      <w:b/>
      <w:bCs w:val="false"/>
      <w:kern w:val="2"/>
      <w:sz w:val="32"/>
    </w:rPr>
  </w:style>
  <w:style w:type="character" w:styleId="25">
    <w:name w:val="Приветствие Знак2"/>
    <w:qFormat/>
    <w:rPr>
      <w:kern w:val="2"/>
      <w:sz w:val="24"/>
    </w:rPr>
  </w:style>
  <w:style w:type="character" w:styleId="26">
    <w:name w:val="Верхний колонтитул Знак2"/>
    <w:qFormat/>
    <w:rPr>
      <w:kern w:val="2"/>
      <w:sz w:val="24"/>
    </w:rPr>
  </w:style>
  <w:style w:type="character" w:styleId="27">
    <w:name w:val="Нижний колонтитул Знак2"/>
    <w:qFormat/>
    <w:rPr>
      <w:kern w:val="2"/>
      <w:sz w:val="24"/>
    </w:rPr>
  </w:style>
  <w:style w:type="character" w:styleId="20">
    <w:name w:val="Знак20"/>
    <w:qFormat/>
    <w:rPr>
      <w:kern w:val="2"/>
      <w:sz w:val="28"/>
      <w:lang w:val="ru-RU"/>
    </w:rPr>
  </w:style>
  <w:style w:type="character" w:styleId="213">
    <w:name w:val="Заголовок 2 Знак1"/>
    <w:qFormat/>
    <w:rPr>
      <w:rFonts w:ascii="Arial" w:hAnsi="Arial" w:cs="Arial"/>
      <w:b/>
      <w:bCs w:val="false"/>
      <w:i/>
      <w:iCs w:val="false"/>
      <w:kern w:val="2"/>
      <w:sz w:val="28"/>
    </w:rPr>
  </w:style>
  <w:style w:type="character" w:styleId="313">
    <w:name w:val="Заголовок 3 Знак1"/>
    <w:qFormat/>
    <w:rPr>
      <w:rFonts w:ascii="Arial" w:hAnsi="Arial" w:cs="Arial"/>
      <w:b/>
      <w:bCs w:val="false"/>
      <w:kern w:val="2"/>
      <w:sz w:val="26"/>
    </w:rPr>
  </w:style>
  <w:style w:type="character" w:styleId="411">
    <w:name w:val="Заголовок 4 Знак1"/>
    <w:qFormat/>
    <w:rPr>
      <w:rFonts w:ascii="Times New Roman" w:hAnsi="Times New Roman" w:cs="Times New Roman"/>
      <w:b/>
      <w:bCs w:val="false"/>
      <w:kern w:val="2"/>
      <w:sz w:val="28"/>
    </w:rPr>
  </w:style>
  <w:style w:type="character" w:styleId="511">
    <w:name w:val="Заголовок 5 Знак1"/>
    <w:qFormat/>
    <w:rPr>
      <w:rFonts w:ascii="Times New Roman" w:hAnsi="Times New Roman" w:cs="Times New Roman"/>
      <w:color w:val="000000"/>
      <w:sz w:val="28"/>
    </w:rPr>
  </w:style>
  <w:style w:type="character" w:styleId="611">
    <w:name w:val="Заголовок 6 Знак1"/>
    <w:qFormat/>
    <w:rPr>
      <w:rFonts w:ascii="Times New Roman" w:hAnsi="Times New Roman" w:cs="Times New Roman"/>
      <w:b/>
      <w:bCs w:val="false"/>
      <w:kern w:val="2"/>
      <w:sz w:val="22"/>
    </w:rPr>
  </w:style>
  <w:style w:type="character" w:styleId="113">
    <w:name w:val="Основной текст Знак1"/>
    <w:qFormat/>
    <w:rPr>
      <w:rFonts w:ascii="Times New Roman" w:hAnsi="Times New Roman" w:cs="Times New Roman"/>
      <w:kern w:val="2"/>
      <w:sz w:val="24"/>
    </w:rPr>
  </w:style>
  <w:style w:type="character" w:styleId="131">
    <w:name w:val="Знак13"/>
    <w:qFormat/>
    <w:rPr>
      <w:kern w:val="2"/>
      <w:sz w:val="24"/>
      <w:lang w:val="ru-RU"/>
    </w:rPr>
  </w:style>
  <w:style w:type="character" w:styleId="114">
    <w:name w:val="Основной шрифт абзаца1"/>
    <w:qFormat/>
    <w:rPr/>
  </w:style>
  <w:style w:type="character" w:styleId="Style21">
    <w:name w:val="Символ нумерации"/>
    <w:qFormat/>
    <w:rPr/>
  </w:style>
  <w:style w:type="character" w:styleId="115">
    <w:name w:val="Текст сноски Знак1"/>
    <w:basedOn w:val="Style5"/>
    <w:qFormat/>
    <w:rPr>
      <w:sz w:val="20"/>
      <w:szCs w:val="20"/>
    </w:rPr>
  </w:style>
  <w:style w:type="character" w:styleId="28">
    <w:name w:val="Основной текст с отступом Знак2"/>
    <w:basedOn w:val="Style5"/>
    <w:qFormat/>
    <w:rPr>
      <w:rFonts w:ascii="Times New Roman" w:hAnsi="Times New Roman" w:eastAsia="Times New Roman" w:cs="Times New Roman"/>
      <w:sz w:val="24"/>
      <w:szCs w:val="24"/>
    </w:rPr>
  </w:style>
  <w:style w:type="character" w:styleId="Style22">
    <w:name w:val="Посещённая гиперссылка"/>
    <w:basedOn w:val="Style5"/>
    <w:rPr>
      <w:color w:val="800080"/>
      <w:u w:val="single"/>
    </w:rPr>
  </w:style>
  <w:style w:type="paragraph" w:styleId="Style23">
    <w:name w:val="Заголовок"/>
    <w:basedOn w:val="Normal"/>
    <w:next w:val="Normal"/>
    <w:qFormat/>
    <w:pPr>
      <w:overflowPunct w:val="false"/>
      <w:autoSpaceDE w:val="false"/>
      <w:spacing w:before="240" w:after="60"/>
      <w:jc w:val="center"/>
      <w:outlineLvl w:val="0"/>
    </w:pPr>
    <w:rPr>
      <w:rFonts w:ascii="Cambria" w:hAnsi="Cambria" w:cs="Cambria"/>
      <w:b/>
      <w:bCs/>
      <w:kern w:val="2"/>
      <w:sz w:val="32"/>
      <w:szCs w:val="32"/>
    </w:rPr>
  </w:style>
  <w:style w:type="paragraph" w:styleId="Style24">
    <w:name w:val="Body Text"/>
    <w:basedOn w:val="Normal"/>
    <w:pPr>
      <w:spacing w:lineRule="auto" w:line="360"/>
      <w:jc w:val="center"/>
    </w:pPr>
    <w:rPr>
      <w:rFonts w:ascii="Arial" w:hAnsi="Arial" w:cs="Arial"/>
      <w:b/>
      <w:bCs/>
      <w:sz w:val="28"/>
      <w:szCs w:val="28"/>
    </w:rPr>
  </w:style>
  <w:style w:type="paragraph" w:styleId="Style25">
    <w:name w:val="List"/>
    <w:basedOn w:val="Style24"/>
    <w:pPr/>
    <w:rPr>
      <w:rFonts w:cs="Mangal"/>
    </w:rPr>
  </w:style>
  <w:style w:type="paragraph" w:styleId="Style26">
    <w:name w:val="Caption"/>
    <w:basedOn w:val="Normal"/>
    <w:qFormat/>
    <w:pPr>
      <w:suppressLineNumbers/>
      <w:spacing w:before="120" w:after="120"/>
    </w:pPr>
    <w:rPr>
      <w:rFonts w:cs="Mangal"/>
      <w:i/>
      <w:iCs/>
      <w:sz w:val="24"/>
      <w:szCs w:val="24"/>
    </w:rPr>
  </w:style>
  <w:style w:type="paragraph" w:styleId="Style27">
    <w:name w:val="Указатель"/>
    <w:basedOn w:val="Normal"/>
    <w:qFormat/>
    <w:pPr>
      <w:suppressLineNumbers/>
    </w:pPr>
    <w:rPr>
      <w:rFonts w:cs="Mangal"/>
      <w:lang w:val="zxx" w:eastAsia="zxx" w:bidi="zxx"/>
    </w:rPr>
  </w:style>
  <w:style w:type="paragraph" w:styleId="141">
    <w:name w:val="Загл.14"/>
    <w:basedOn w:val="Normal"/>
    <w:qFormat/>
    <w:pPr>
      <w:jc w:val="center"/>
    </w:pPr>
    <w:rPr>
      <w:b/>
      <w:bCs/>
      <w:sz w:val="28"/>
      <w:szCs w:val="28"/>
    </w:rPr>
  </w:style>
  <w:style w:type="paragraph" w:styleId="Style28">
    <w:name w:val="Body Text Indent"/>
    <w:basedOn w:val="Normal"/>
    <w:pPr>
      <w:spacing w:before="60" w:after="0"/>
      <w:ind w:firstLine="708"/>
      <w:jc w:val="both"/>
    </w:pPr>
    <w:rPr>
      <w:rFonts w:ascii="Arial" w:hAnsi="Arial" w:cs="Arial"/>
      <w:sz w:val="26"/>
      <w:szCs w:val="26"/>
    </w:rPr>
  </w:style>
  <w:style w:type="paragraph" w:styleId="29">
    <w:name w:val="Основной текст с отступом 2"/>
    <w:basedOn w:val="Normal"/>
    <w:qFormat/>
    <w:pPr>
      <w:spacing w:lineRule="auto" w:line="288"/>
      <w:ind w:firstLine="709"/>
      <w:jc w:val="both"/>
    </w:pPr>
    <w:rPr>
      <w:rFonts w:ascii="Arial" w:hAnsi="Arial" w:cs="Arial"/>
      <w:sz w:val="26"/>
      <w:szCs w:val="26"/>
    </w:rPr>
  </w:style>
  <w:style w:type="paragraph" w:styleId="Style29">
    <w:name w:val="Колонтитул"/>
    <w:basedOn w:val="Normal"/>
    <w:qFormat/>
    <w:pPr>
      <w:suppressLineNumbers/>
      <w:tabs>
        <w:tab w:val="clear" w:pos="720"/>
        <w:tab w:val="center" w:pos="4819" w:leader="none"/>
        <w:tab w:val="right" w:pos="9638" w:leader="none"/>
      </w:tabs>
    </w:pPr>
    <w:rPr/>
  </w:style>
  <w:style w:type="paragraph" w:styleId="Style30">
    <w:name w:val="Header"/>
    <w:basedOn w:val="Normal"/>
    <w:pPr>
      <w:tabs>
        <w:tab w:val="clear" w:pos="720"/>
        <w:tab w:val="center" w:pos="4677" w:leader="none"/>
        <w:tab w:val="right" w:pos="9355" w:leader="none"/>
      </w:tabs>
    </w:pPr>
    <w:rPr/>
  </w:style>
  <w:style w:type="paragraph" w:styleId="210">
    <w:name w:val="Основной текст 2"/>
    <w:basedOn w:val="Normal"/>
    <w:qFormat/>
    <w:pPr>
      <w:jc w:val="center"/>
    </w:pPr>
    <w:rPr>
      <w:rFonts w:ascii="Arial" w:hAnsi="Arial" w:cs="Arial"/>
      <w:sz w:val="24"/>
      <w:szCs w:val="24"/>
    </w:rPr>
  </w:style>
  <w:style w:type="paragraph" w:styleId="34">
    <w:name w:val="Основной текст 3"/>
    <w:basedOn w:val="Normal"/>
    <w:qFormat/>
    <w:pPr>
      <w:jc w:val="center"/>
    </w:pPr>
    <w:rPr>
      <w:rFonts w:ascii="Arial" w:hAnsi="Arial" w:cs="Arial"/>
      <w:b/>
      <w:bCs/>
      <w:sz w:val="26"/>
      <w:szCs w:val="26"/>
    </w:rPr>
  </w:style>
  <w:style w:type="paragraph" w:styleId="Style31">
    <w:name w:val="Текст"/>
    <w:basedOn w:val="Normal"/>
    <w:qFormat/>
    <w:pPr/>
    <w:rPr>
      <w:rFonts w:ascii="Courier New" w:hAnsi="Courier New" w:cs="Courier New"/>
    </w:rPr>
  </w:style>
  <w:style w:type="paragraph" w:styleId="35">
    <w:name w:val="Основной текст с отступом 3"/>
    <w:basedOn w:val="Normal"/>
    <w:qFormat/>
    <w:pPr>
      <w:spacing w:before="40" w:after="0"/>
      <w:ind w:firstLine="708"/>
      <w:jc w:val="both"/>
    </w:pPr>
    <w:rPr>
      <w:rFonts w:ascii="Arial" w:hAnsi="Arial" w:eastAsia="MS Mincho;ＭＳ 明朝" w:cs="Arial"/>
      <w:sz w:val="24"/>
      <w:szCs w:val="24"/>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szCs w:val="28"/>
    </w:rPr>
  </w:style>
  <w:style w:type="paragraph" w:styleId="Style32">
    <w:name w:val="Footer"/>
    <w:basedOn w:val="Normal"/>
    <w:pPr>
      <w:tabs>
        <w:tab w:val="clear" w:pos="720"/>
        <w:tab w:val="center" w:pos="4677" w:leader="none"/>
        <w:tab w:val="right" w:pos="9355" w:leader="none"/>
      </w:tabs>
    </w:pPr>
    <w:rPr/>
  </w:style>
  <w:style w:type="paragraph" w:styleId="1411">
    <w:name w:val="Текст14-1"/>
    <w:basedOn w:val="Normal"/>
    <w:qFormat/>
    <w:pPr>
      <w:spacing w:lineRule="auto" w:line="360"/>
      <w:ind w:firstLine="720"/>
      <w:jc w:val="both"/>
    </w:pPr>
    <w:rPr>
      <w:sz w:val="28"/>
      <w:szCs w:val="28"/>
    </w:rPr>
  </w:style>
  <w:style w:type="paragraph" w:styleId="116">
    <w:name w:val="Без интервала1"/>
    <w:qFormat/>
    <w:pPr>
      <w:widowControl/>
      <w:bidi w:val="0"/>
    </w:pPr>
    <w:rPr>
      <w:rFonts w:ascii="Times New Roman" w:hAnsi="Times New Roman" w:eastAsia="Times New Roman" w:cs="Times New Roman"/>
      <w:color w:val="auto"/>
      <w:sz w:val="20"/>
      <w:szCs w:val="20"/>
      <w:lang w:val="ru-RU" w:bidi="ar-SA" w:eastAsia="zh-CN"/>
    </w:rPr>
  </w:style>
  <w:style w:type="paragraph" w:styleId="Style33">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Normal">
    <w:name w:val="ConsPlusNormal"/>
    <w:qFormat/>
    <w:pPr>
      <w:widowControl w:val="false"/>
      <w:autoSpaceDE w:val="false"/>
      <w:bidi w:val="0"/>
    </w:pPr>
    <w:rPr>
      <w:rFonts w:ascii="Calibri" w:hAnsi="Calibri" w:eastAsia="Times New Roman" w:cs="Calibri"/>
      <w:color w:val="auto"/>
      <w:sz w:val="22"/>
      <w:szCs w:val="20"/>
      <w:lang w:val="ru-RU" w:bidi="ar-SA" w:eastAsia="zh-CN"/>
    </w:rPr>
  </w:style>
  <w:style w:type="paragraph" w:styleId="Times12">
    <w:name w:val="Times12"/>
    <w:basedOn w:val="Normal"/>
    <w:qFormat/>
    <w:pPr>
      <w:overflowPunct w:val="false"/>
      <w:autoSpaceDE w:val="false"/>
      <w:ind w:firstLine="709"/>
      <w:jc w:val="both"/>
    </w:pPr>
    <w:rPr>
      <w:sz w:val="24"/>
    </w:rPr>
  </w:style>
  <w:style w:type="paragraph" w:styleId="ConsPlusTitle">
    <w:name w:val="ConsPlusTitle"/>
    <w:qFormat/>
    <w:pPr>
      <w:widowControl w:val="false"/>
      <w:autoSpaceDE w:val="false"/>
      <w:bidi w:val="0"/>
    </w:pPr>
    <w:rPr>
      <w:rFonts w:ascii="Arial" w:hAnsi="Arial" w:eastAsia="Times New Roman" w:cs="Arial"/>
      <w:b/>
      <w:bCs/>
      <w:color w:val="auto"/>
      <w:sz w:val="20"/>
      <w:szCs w:val="20"/>
      <w:lang w:val="ru-RU" w:bidi="ar-SA" w:eastAsia="zh-CN"/>
    </w:rPr>
  </w:style>
  <w:style w:type="paragraph" w:styleId="ConsPlusNonformat">
    <w:name w:val="ConsPlusNonforma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ConsNormal">
    <w:name w:val="ConsNormal"/>
    <w:qFormat/>
    <w:pPr>
      <w:widowControl/>
      <w:autoSpaceDE w:val="false"/>
      <w:bidi w:val="0"/>
      <w:ind w:firstLine="720"/>
    </w:pPr>
    <w:rPr>
      <w:rFonts w:ascii="Arial" w:hAnsi="Arial" w:eastAsia="Times New Roman" w:cs="Arial"/>
      <w:color w:val="auto"/>
      <w:sz w:val="20"/>
      <w:szCs w:val="20"/>
      <w:lang w:val="ru-RU" w:bidi="ar-SA" w:eastAsia="zh-CN"/>
    </w:rPr>
  </w:style>
  <w:style w:type="paragraph" w:styleId="Style34">
    <w:name w:val="Текст выноски"/>
    <w:basedOn w:val="Normal"/>
    <w:qFormat/>
    <w:pPr/>
    <w:rPr>
      <w:rFonts w:ascii="Tahoma" w:hAnsi="Tahoma" w:cs="Tahoma"/>
      <w:sz w:val="16"/>
      <w:szCs w:val="16"/>
    </w:rPr>
  </w:style>
  <w:style w:type="paragraph" w:styleId="ConsNonformat">
    <w:name w:val="ConsNonformat"/>
    <w:qFormat/>
    <w:pPr>
      <w:widowControl/>
      <w:autoSpaceDE w:val="false"/>
      <w:bidi w:val="0"/>
    </w:pPr>
    <w:rPr>
      <w:rFonts w:ascii="Courier New" w:hAnsi="Courier New" w:eastAsia="Times New Roman" w:cs="Courier New"/>
      <w:color w:val="auto"/>
      <w:sz w:val="20"/>
      <w:szCs w:val="20"/>
      <w:lang w:val="ru-RU" w:bidi="ar-SA" w:eastAsia="zh-CN"/>
    </w:rPr>
  </w:style>
  <w:style w:type="paragraph" w:styleId="117">
    <w:name w:val="Основной текст с отступом1"/>
    <w:basedOn w:val="Normal"/>
    <w:qFormat/>
    <w:pPr>
      <w:autoSpaceDE w:val="false"/>
      <w:ind w:firstLine="567"/>
      <w:jc w:val="both"/>
    </w:pPr>
    <w:rPr>
      <w:sz w:val="24"/>
      <w:szCs w:val="24"/>
    </w:rPr>
  </w:style>
  <w:style w:type="paragraph" w:styleId="Style35">
    <w:name w:val="Footnote Text"/>
    <w:basedOn w:val="Normal"/>
    <w:pPr/>
    <w:rPr>
      <w:szCs w:val="24"/>
    </w:rPr>
  </w:style>
  <w:style w:type="paragraph" w:styleId="Style36">
    <w:name w:val="Текст примечания"/>
    <w:basedOn w:val="Normal"/>
    <w:qFormat/>
    <w:pPr/>
    <w:rPr/>
  </w:style>
  <w:style w:type="paragraph" w:styleId="Style37">
    <w:name w:val="Envelope Address"/>
    <w:basedOn w:val="Normal"/>
    <w:pPr>
      <w:overflowPunct w:val="false"/>
      <w:autoSpaceDE w:val="false"/>
      <w:spacing w:before="0" w:after="120"/>
      <w:ind w:left="2880" w:hanging="0"/>
    </w:pPr>
    <w:rPr>
      <w:rFonts w:ascii="Arial" w:hAnsi="Arial" w:cs="Arial"/>
      <w:kern w:val="2"/>
      <w:sz w:val="24"/>
      <w:szCs w:val="24"/>
    </w:rPr>
  </w:style>
  <w:style w:type="paragraph" w:styleId="Style38">
    <w:name w:val="Приветствие"/>
    <w:basedOn w:val="Normal"/>
    <w:next w:val="Normal"/>
    <w:qFormat/>
    <w:pPr>
      <w:overflowPunct w:val="false"/>
      <w:autoSpaceDE w:val="false"/>
      <w:spacing w:before="0" w:after="120"/>
    </w:pPr>
    <w:rPr>
      <w:kern w:val="2"/>
      <w:sz w:val="24"/>
      <w:szCs w:val="24"/>
    </w:rPr>
  </w:style>
  <w:style w:type="paragraph" w:styleId="Style39">
    <w:name w:val="Дата"/>
    <w:basedOn w:val="Normal"/>
    <w:next w:val="Normal"/>
    <w:qFormat/>
    <w:pPr>
      <w:overflowPunct w:val="false"/>
      <w:autoSpaceDE w:val="false"/>
      <w:spacing w:before="0" w:after="720"/>
      <w:ind w:left="4680" w:hanging="0"/>
    </w:pPr>
    <w:rPr>
      <w:rFonts w:ascii="Courier New" w:hAnsi="Courier New" w:cs="Courier New"/>
      <w:sz w:val="24"/>
      <w:szCs w:val="24"/>
    </w:rPr>
  </w:style>
  <w:style w:type="paragraph" w:styleId="Style40">
    <w:name w:val="Схема документа"/>
    <w:basedOn w:val="Normal"/>
    <w:qFormat/>
    <w:pPr>
      <w:shd w:fill="000080" w:val="clear"/>
      <w:overflowPunct w:val="false"/>
      <w:autoSpaceDE w:val="false"/>
      <w:spacing w:before="0" w:after="120"/>
    </w:pPr>
    <w:rPr>
      <w:rFonts w:ascii="Tahoma" w:hAnsi="Tahoma" w:cs="Tahoma"/>
      <w:kern w:val="2"/>
      <w:sz w:val="24"/>
      <w:szCs w:val="24"/>
    </w:rPr>
  </w:style>
  <w:style w:type="paragraph" w:styleId="Style41">
    <w:name w:val="Тема примечания"/>
    <w:basedOn w:val="Style36"/>
    <w:next w:val="Style36"/>
    <w:qFormat/>
    <w:pPr/>
    <w:rPr>
      <w:b/>
      <w:bCs/>
      <w:lang w:val="en-US"/>
    </w:rPr>
  </w:style>
  <w:style w:type="paragraph" w:styleId="Style42">
    <w:name w:val="Без интервала"/>
    <w:qFormat/>
    <w:pPr>
      <w:widowControl/>
      <w:bidi w:val="0"/>
    </w:pPr>
    <w:rPr>
      <w:rFonts w:ascii="Calibri" w:hAnsi="Calibri" w:eastAsia="Calibri" w:cs="Times New Roman"/>
      <w:color w:val="auto"/>
      <w:sz w:val="22"/>
      <w:szCs w:val="22"/>
      <w:lang w:val="ru-RU" w:bidi="ar-SA" w:eastAsia="zh-CN"/>
    </w:rPr>
  </w:style>
  <w:style w:type="paragraph" w:styleId="ConsPlusCell">
    <w:name w:val="ConsPlusCell"/>
    <w:qFormat/>
    <w:pPr>
      <w:widowControl/>
      <w:autoSpaceDE w:val="false"/>
      <w:bidi w:val="0"/>
    </w:pPr>
    <w:rPr>
      <w:rFonts w:ascii="Times New Roman" w:hAnsi="Times New Roman" w:eastAsia="Times New Roman" w:cs="Times New Roman"/>
      <w:color w:val="auto"/>
      <w:sz w:val="24"/>
      <w:szCs w:val="24"/>
      <w:lang w:val="ru-RU" w:bidi="ar-SA" w:eastAsia="zh-CN"/>
    </w:rPr>
  </w:style>
  <w:style w:type="paragraph" w:styleId="Eiiey">
    <w:name w:val="Eiiey"/>
    <w:basedOn w:val="Normal"/>
    <w:qFormat/>
    <w:pPr>
      <w:overflowPunct w:val="false"/>
      <w:autoSpaceDE w:val="false"/>
      <w:spacing w:before="240" w:after="0"/>
      <w:ind w:left="547" w:hanging="547"/>
    </w:pPr>
    <w:rPr>
      <w:rFonts w:ascii="Courier New" w:hAnsi="Courier New" w:cs="Courier New"/>
      <w:sz w:val="24"/>
      <w:szCs w:val="24"/>
    </w:rPr>
  </w:style>
  <w:style w:type="paragraph" w:styleId="Iaaoiueaaan">
    <w:name w:val="Ia?aoiue aa?an"/>
    <w:basedOn w:val="Style37"/>
    <w:next w:val="Style39"/>
    <w:qFormat/>
    <w:pPr>
      <w:keepLines/>
      <w:spacing w:before="0" w:after="0"/>
      <w:ind w:left="4680" w:hanging="0"/>
    </w:pPr>
    <w:rPr>
      <w:rFonts w:ascii="Courier New" w:hAnsi="Courier New" w:cs="Courier New"/>
      <w:kern w:val="0"/>
    </w:rPr>
  </w:style>
  <w:style w:type="paragraph" w:styleId="NoieaAieiaiea">
    <w:name w:val="No?iea Aieiaiea"/>
    <w:basedOn w:val="Normal"/>
    <w:next w:val="Style38"/>
    <w:qFormat/>
    <w:pPr>
      <w:overflowPunct w:val="false"/>
      <w:autoSpaceDE w:val="false"/>
      <w:spacing w:before="240" w:after="0"/>
      <w:jc w:val="center"/>
    </w:pPr>
    <w:rPr>
      <w:rFonts w:ascii="Courier New" w:hAnsi="Courier New" w:cs="Courier New"/>
      <w:sz w:val="24"/>
      <w:szCs w:val="24"/>
    </w:rPr>
  </w:style>
  <w:style w:type="paragraph" w:styleId="118">
    <w:name w:val="Знак1 Знак Знак"/>
    <w:basedOn w:val="Normal"/>
    <w:qFormat/>
    <w:pPr>
      <w:spacing w:before="100" w:after="100"/>
    </w:pPr>
    <w:rPr>
      <w:rFonts w:ascii="Tahoma" w:hAnsi="Tahoma" w:cs="Tahoma"/>
      <w:lang w:val="en-US"/>
    </w:rPr>
  </w:style>
  <w:style w:type="paragraph" w:styleId="Times14">
    <w:name w:val="Times14"/>
    <w:basedOn w:val="Normal"/>
    <w:qFormat/>
    <w:pPr>
      <w:autoSpaceDE w:val="false"/>
      <w:ind w:firstLine="851"/>
      <w:jc w:val="both"/>
    </w:pPr>
    <w:rPr>
      <w:sz w:val="28"/>
      <w:szCs w:val="28"/>
    </w:rPr>
  </w:style>
  <w:style w:type="paragraph" w:styleId="ConsCell">
    <w:name w:val="ConsCell"/>
    <w:qFormat/>
    <w:pPr>
      <w:widowControl/>
      <w:autoSpaceDE w:val="false"/>
      <w:bidi w:val="0"/>
    </w:pPr>
    <w:rPr>
      <w:rFonts w:ascii="Arial" w:hAnsi="Arial" w:eastAsia="Times New Roman" w:cs="Arial"/>
      <w:color w:val="auto"/>
      <w:sz w:val="20"/>
      <w:szCs w:val="20"/>
      <w:lang w:val="ru-RU" w:bidi="ar-SA" w:eastAsia="zh-CN"/>
    </w:rPr>
  </w:style>
  <w:style w:type="paragraph" w:styleId="Courier14">
    <w:name w:val="Courier14"/>
    <w:basedOn w:val="Normal"/>
    <w:qFormat/>
    <w:pPr>
      <w:autoSpaceDE w:val="false"/>
      <w:ind w:firstLine="851"/>
      <w:jc w:val="both"/>
    </w:pPr>
    <w:rPr>
      <w:rFonts w:ascii="Courier New" w:hAnsi="Courier New" w:cs="Courier New"/>
      <w:sz w:val="28"/>
      <w:szCs w:val="28"/>
    </w:rPr>
  </w:style>
  <w:style w:type="paragraph" w:styleId="Style43">
    <w:name w:val="МОН"/>
    <w:basedOn w:val="Normal"/>
    <w:qFormat/>
    <w:pPr>
      <w:autoSpaceDE w:val="false"/>
      <w:spacing w:lineRule="auto" w:line="360"/>
      <w:ind w:firstLine="709"/>
      <w:jc w:val="both"/>
    </w:pPr>
    <w:rPr>
      <w:sz w:val="28"/>
      <w:szCs w:val="28"/>
    </w:rPr>
  </w:style>
  <w:style w:type="paragraph" w:styleId="ConsPlusDocList">
    <w:name w:val="ConsPlusDocLis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Heading">
    <w:name w:val="Heading"/>
    <w:qFormat/>
    <w:pPr>
      <w:widowControl w:val="false"/>
      <w:autoSpaceDE w:val="false"/>
      <w:bidi w:val="0"/>
    </w:pPr>
    <w:rPr>
      <w:rFonts w:ascii="Times New Roman" w:hAnsi="Times New Roman" w:eastAsia="Times New Roman" w:cs="Times New Roman"/>
      <w:b/>
      <w:bCs/>
      <w:color w:val="auto"/>
      <w:sz w:val="28"/>
      <w:szCs w:val="28"/>
      <w:lang w:val="ru-RU" w:bidi="ar-SA" w:eastAsia="zh-CN"/>
    </w:rPr>
  </w:style>
  <w:style w:type="paragraph" w:styleId="Oaenoaieoiaioa">
    <w:name w:val="Oaeno aieoiaioa"/>
    <w:basedOn w:val="Normal"/>
    <w:qFormat/>
    <w:pPr>
      <w:suppressAutoHyphens w:val="true"/>
      <w:ind w:firstLine="709"/>
      <w:jc w:val="both"/>
    </w:pPr>
    <w:rPr>
      <w:rFonts w:ascii="Times New Roman CYR" w:hAnsi="Times New Roman CYR" w:cs="Times New Roman CYR"/>
      <w:sz w:val="28"/>
      <w:szCs w:val="28"/>
    </w:rPr>
  </w:style>
  <w:style w:type="paragraph" w:styleId="ConsTitle">
    <w:name w:val="ConsTitle"/>
    <w:qFormat/>
    <w:pPr>
      <w:widowControl/>
      <w:bidi w:val="0"/>
    </w:pPr>
    <w:rPr>
      <w:rFonts w:ascii="Arial" w:hAnsi="Arial" w:eastAsia="Times New Roman" w:cs="Arial"/>
      <w:b/>
      <w:bCs/>
      <w:color w:val="auto"/>
      <w:sz w:val="16"/>
      <w:szCs w:val="16"/>
      <w:lang w:val="ru-RU" w:bidi="ar-SA" w:eastAsia="zh-CN"/>
    </w:rPr>
  </w:style>
  <w:style w:type="paragraph" w:styleId="14pt">
    <w:name w:val="Стиль 14 pt по центру"/>
    <w:basedOn w:val="Normal"/>
    <w:qFormat/>
    <w:pPr>
      <w:overflowPunct w:val="false"/>
      <w:autoSpaceDE w:val="false"/>
      <w:spacing w:before="0" w:after="120"/>
      <w:jc w:val="center"/>
    </w:pPr>
    <w:rPr>
      <w:rFonts w:ascii="Times New Roman CYR" w:hAnsi="Times New Roman CYR" w:cs="Times New Roman CYR"/>
      <w:kern w:val="2"/>
      <w:sz w:val="28"/>
      <w:szCs w:val="28"/>
    </w:rPr>
  </w:style>
  <w:style w:type="paragraph" w:styleId="151">
    <w:name w:val="Знак1 Знак Знак5"/>
    <w:basedOn w:val="Normal"/>
    <w:qFormat/>
    <w:pPr>
      <w:spacing w:before="100" w:after="100"/>
    </w:pPr>
    <w:rPr>
      <w:rFonts w:ascii="Tahoma" w:hAnsi="Tahoma" w:cs="Tahoma"/>
      <w:lang w:val="en-US"/>
    </w:rPr>
  </w:style>
  <w:style w:type="paragraph" w:styleId="Style44">
    <w:name w:val="Знак Знак Знак Знак Знак Знак Знак Знак Знак"/>
    <w:basedOn w:val="Normal"/>
    <w:qFormat/>
    <w:pPr>
      <w:spacing w:before="100" w:after="100"/>
    </w:pPr>
    <w:rPr>
      <w:rFonts w:ascii="Tahoma" w:hAnsi="Tahoma" w:cs="Tahoma"/>
      <w:lang w:val="en-US"/>
    </w:rPr>
  </w:style>
  <w:style w:type="paragraph" w:styleId="Style45">
    <w:name w:val="Знак Знак"/>
    <w:basedOn w:val="Normal"/>
    <w:qFormat/>
    <w:pPr>
      <w:spacing w:before="100" w:after="100"/>
    </w:pPr>
    <w:rPr>
      <w:rFonts w:ascii="Tahoma" w:hAnsi="Tahoma" w:cs="Tahoma"/>
      <w:lang w:val="en-US"/>
    </w:rPr>
  </w:style>
  <w:style w:type="paragraph" w:styleId="123">
    <w:name w:val="Знак1 Знак Знак2"/>
    <w:basedOn w:val="Normal"/>
    <w:qFormat/>
    <w:pPr>
      <w:spacing w:before="100" w:after="100"/>
    </w:pPr>
    <w:rPr>
      <w:rFonts w:ascii="Tahoma" w:hAnsi="Tahoma" w:cs="Tahoma"/>
      <w:lang w:val="en-US"/>
    </w:rPr>
  </w:style>
  <w:style w:type="paragraph" w:styleId="42">
    <w:name w:val="Знак Знак Знак Знак Знак Знак Знак Знак Знак4"/>
    <w:basedOn w:val="Normal"/>
    <w:qFormat/>
    <w:pPr>
      <w:spacing w:before="100" w:after="100"/>
    </w:pPr>
    <w:rPr>
      <w:rFonts w:ascii="Tahoma" w:hAnsi="Tahoma" w:cs="Tahoma"/>
      <w:lang w:val="en-US"/>
    </w:rPr>
  </w:style>
  <w:style w:type="paragraph" w:styleId="119">
    <w:name w:val="Стиль1"/>
    <w:basedOn w:val="Normal"/>
    <w:qFormat/>
    <w:pPr>
      <w:jc w:val="center"/>
    </w:pPr>
    <w:rPr>
      <w:b/>
      <w:bCs/>
      <w:sz w:val="28"/>
      <w:szCs w:val="28"/>
    </w:rPr>
  </w:style>
  <w:style w:type="paragraph" w:styleId="214">
    <w:name w:val="Стиль2"/>
    <w:basedOn w:val="Times14"/>
    <w:qFormat/>
    <w:pPr>
      <w:autoSpaceDE w:val="true"/>
      <w:spacing w:before="100" w:after="100"/>
    </w:pPr>
    <w:rPr/>
  </w:style>
  <w:style w:type="paragraph" w:styleId="1110">
    <w:name w:val="Знак1 Знак Знак1"/>
    <w:basedOn w:val="Normal"/>
    <w:qFormat/>
    <w:pPr>
      <w:spacing w:before="100" w:after="100"/>
    </w:pPr>
    <w:rPr>
      <w:rFonts w:ascii="Tahoma" w:hAnsi="Tahoma" w:cs="Tahoma"/>
      <w:lang w:val="en-US"/>
    </w:rPr>
  </w:style>
  <w:style w:type="paragraph" w:styleId="120">
    <w:name w:val="Знак Знак Знак Знак Знак Знак Знак Знак Знак1"/>
    <w:basedOn w:val="Normal"/>
    <w:qFormat/>
    <w:pPr>
      <w:spacing w:before="100" w:after="100"/>
    </w:pPr>
    <w:rPr>
      <w:rFonts w:ascii="Tahoma" w:hAnsi="Tahoma" w:cs="Tahoma"/>
      <w:lang w:val="en-US"/>
    </w:rPr>
  </w:style>
  <w:style w:type="paragraph" w:styleId="132">
    <w:name w:val="Знак1 Знак Знак3"/>
    <w:basedOn w:val="Normal"/>
    <w:qFormat/>
    <w:pPr>
      <w:spacing w:before="100" w:after="100"/>
    </w:pPr>
    <w:rPr>
      <w:rFonts w:ascii="Tahoma" w:hAnsi="Tahoma" w:cs="Tahoma"/>
      <w:lang w:val="en-US"/>
    </w:rPr>
  </w:style>
  <w:style w:type="paragraph" w:styleId="43">
    <w:name w:val="Знак Знак4"/>
    <w:basedOn w:val="Normal"/>
    <w:qFormat/>
    <w:pPr>
      <w:spacing w:before="100" w:after="100"/>
    </w:pPr>
    <w:rPr>
      <w:rFonts w:ascii="Tahoma" w:hAnsi="Tahoma" w:cs="Tahoma"/>
      <w:lang w:val="en-US"/>
    </w:rPr>
  </w:style>
  <w:style w:type="paragraph" w:styleId="215">
    <w:name w:val="Знак Знак Знак Знак Знак Знак Знак Знак Знак2"/>
    <w:basedOn w:val="Normal"/>
    <w:qFormat/>
    <w:pPr>
      <w:spacing w:before="100" w:after="100"/>
    </w:pPr>
    <w:rPr>
      <w:rFonts w:ascii="Tahoma" w:hAnsi="Tahoma" w:cs="Tahoma"/>
      <w:lang w:val="en-US"/>
    </w:rPr>
  </w:style>
  <w:style w:type="paragraph" w:styleId="36">
    <w:name w:val="Знак Знак3"/>
    <w:basedOn w:val="Normal"/>
    <w:qFormat/>
    <w:pPr>
      <w:spacing w:before="100" w:after="100"/>
    </w:pPr>
    <w:rPr>
      <w:rFonts w:ascii="Tahoma" w:hAnsi="Tahoma" w:cs="Tahoma"/>
      <w:lang w:val="en-US"/>
    </w:rPr>
  </w:style>
  <w:style w:type="paragraph" w:styleId="142">
    <w:name w:val="Знак1 Знак Знак4"/>
    <w:basedOn w:val="Normal"/>
    <w:qFormat/>
    <w:pPr>
      <w:spacing w:before="100" w:after="100"/>
    </w:pPr>
    <w:rPr>
      <w:rFonts w:ascii="Tahoma" w:hAnsi="Tahoma" w:cs="Tahoma"/>
      <w:lang w:val="en-US"/>
    </w:rPr>
  </w:style>
  <w:style w:type="paragraph" w:styleId="37">
    <w:name w:val="Знак Знак Знак Знак Знак Знак Знак Знак Знак3"/>
    <w:basedOn w:val="Normal"/>
    <w:qFormat/>
    <w:pPr>
      <w:spacing w:before="100" w:after="100"/>
    </w:pPr>
    <w:rPr>
      <w:rFonts w:ascii="Tahoma" w:hAnsi="Tahoma" w:cs="Tahoma"/>
      <w:lang w:val="en-US"/>
    </w:rPr>
  </w:style>
  <w:style w:type="paragraph" w:styleId="216">
    <w:name w:val="Знак Знак2"/>
    <w:basedOn w:val="Normal"/>
    <w:qFormat/>
    <w:pPr>
      <w:spacing w:before="100" w:after="100"/>
    </w:pPr>
    <w:rPr>
      <w:rFonts w:ascii="Tahoma" w:hAnsi="Tahoma" w:cs="Tahoma"/>
      <w:lang w:val="en-US"/>
    </w:rPr>
  </w:style>
  <w:style w:type="paragraph" w:styleId="161">
    <w:name w:val="Знак1 Знак Знак6"/>
    <w:basedOn w:val="Normal"/>
    <w:qFormat/>
    <w:pPr>
      <w:spacing w:before="100" w:after="100"/>
    </w:pPr>
    <w:rPr>
      <w:rFonts w:ascii="Tahoma" w:hAnsi="Tahoma" w:cs="Tahoma"/>
      <w:lang w:val="en-US"/>
    </w:rPr>
  </w:style>
  <w:style w:type="paragraph" w:styleId="52">
    <w:name w:val="Знак Знак Знак Знак Знак Знак Знак Знак Знак5"/>
    <w:basedOn w:val="Normal"/>
    <w:qFormat/>
    <w:pPr>
      <w:spacing w:before="100" w:after="100"/>
    </w:pPr>
    <w:rPr>
      <w:rFonts w:ascii="Tahoma" w:hAnsi="Tahoma" w:cs="Tahoma"/>
      <w:lang w:val="en-US"/>
    </w:rPr>
  </w:style>
  <w:style w:type="paragraph" w:styleId="53">
    <w:name w:val="Знак Знак5"/>
    <w:basedOn w:val="Normal"/>
    <w:qFormat/>
    <w:pPr>
      <w:spacing w:before="100" w:after="100"/>
    </w:pPr>
    <w:rPr>
      <w:rFonts w:ascii="Tahoma" w:hAnsi="Tahoma" w:cs="Tahoma"/>
      <w:lang w:val="en-US"/>
    </w:rPr>
  </w:style>
  <w:style w:type="paragraph" w:styleId="62">
    <w:name w:val="Знак Знак Знак Знак Знак Знак Знак Знак Знак6"/>
    <w:basedOn w:val="Normal"/>
    <w:qFormat/>
    <w:pPr>
      <w:spacing w:before="100" w:after="100"/>
    </w:pPr>
    <w:rPr>
      <w:rFonts w:ascii="Tahoma" w:hAnsi="Tahoma" w:cs="Tahoma"/>
      <w:lang w:val="en-US"/>
    </w:rPr>
  </w:style>
  <w:style w:type="paragraph" w:styleId="63">
    <w:name w:val="Знак Знак6"/>
    <w:basedOn w:val="Normal"/>
    <w:qFormat/>
    <w:pPr>
      <w:spacing w:before="100" w:after="100"/>
    </w:pPr>
    <w:rPr>
      <w:rFonts w:ascii="Tahoma" w:hAnsi="Tahoma" w:cs="Tahoma"/>
      <w:lang w:val="en-US"/>
    </w:rPr>
  </w:style>
  <w:style w:type="paragraph" w:styleId="72">
    <w:name w:val="Знак Знак Знак Знак Знак Знак Знак Знак Знак7"/>
    <w:basedOn w:val="Normal"/>
    <w:qFormat/>
    <w:pPr>
      <w:spacing w:before="100" w:after="100"/>
    </w:pPr>
    <w:rPr>
      <w:rFonts w:ascii="Tahoma" w:hAnsi="Tahoma" w:cs="Tahoma"/>
      <w:lang w:val="en-US"/>
    </w:rPr>
  </w:style>
  <w:style w:type="paragraph" w:styleId="171">
    <w:name w:val="Знак1 Знак Знак7"/>
    <w:basedOn w:val="Normal"/>
    <w:qFormat/>
    <w:pPr>
      <w:spacing w:before="100" w:after="100"/>
    </w:pPr>
    <w:rPr>
      <w:rFonts w:ascii="Tahoma" w:hAnsi="Tahoma" w:cs="Tahoma"/>
      <w:lang w:val="en-US"/>
    </w:rPr>
  </w:style>
  <w:style w:type="paragraph" w:styleId="82">
    <w:name w:val="Знак Знак Знак Знак Знак Знак Знак Знак Знак8"/>
    <w:basedOn w:val="Normal"/>
    <w:qFormat/>
    <w:pPr>
      <w:spacing w:before="100" w:after="100"/>
    </w:pPr>
    <w:rPr>
      <w:rFonts w:ascii="Tahoma" w:hAnsi="Tahoma" w:cs="Tahoma"/>
      <w:lang w:val="en-US"/>
    </w:rPr>
  </w:style>
  <w:style w:type="paragraph" w:styleId="Xl65">
    <w:name w:val="xl65"/>
    <w:basedOn w:val="Normal"/>
    <w:qFormat/>
    <w:pPr>
      <w:pBdr>
        <w:top w:val="single" w:sz="4" w:space="0" w:color="000000"/>
        <w:left w:val="single" w:sz="4" w:space="0" w:color="000000"/>
        <w:bottom w:val="single" w:sz="4" w:space="0" w:color="000000"/>
        <w:right w:val="single" w:sz="4" w:space="0" w:color="000000"/>
      </w:pBdr>
      <w:spacing w:before="100" w:after="100"/>
      <w:jc w:val="center"/>
    </w:pPr>
    <w:rPr>
      <w:rFonts w:ascii="Arial" w:hAnsi="Arial" w:cs="Arial"/>
      <w:sz w:val="24"/>
      <w:szCs w:val="24"/>
    </w:rPr>
  </w:style>
  <w:style w:type="paragraph" w:styleId="Xl66">
    <w:name w:val="xl66"/>
    <w:basedOn w:val="Normal"/>
    <w:qFormat/>
    <w:pPr>
      <w:pBdr>
        <w:top w:val="single" w:sz="4" w:space="0" w:color="000000"/>
        <w:left w:val="single" w:sz="4" w:space="0" w:color="000000"/>
        <w:bottom w:val="single" w:sz="4" w:space="0" w:color="000000"/>
        <w:right w:val="single" w:sz="4" w:space="0" w:color="000000"/>
      </w:pBdr>
      <w:spacing w:before="100" w:after="100"/>
      <w:jc w:val="center"/>
    </w:pPr>
    <w:rPr>
      <w:rFonts w:ascii="Arial" w:hAnsi="Arial" w:cs="Arial"/>
      <w:b/>
      <w:bCs/>
      <w:sz w:val="24"/>
      <w:szCs w:val="24"/>
    </w:rPr>
  </w:style>
  <w:style w:type="paragraph" w:styleId="Xl67">
    <w:name w:val="xl67"/>
    <w:basedOn w:val="Normal"/>
    <w:qFormat/>
    <w:pPr>
      <w:pBdr>
        <w:top w:val="single" w:sz="4" w:space="0" w:color="000000"/>
        <w:left w:val="single" w:sz="4" w:space="0" w:color="000000"/>
        <w:bottom w:val="single" w:sz="4" w:space="0" w:color="000000"/>
        <w:right w:val="single" w:sz="4" w:space="0" w:color="000000"/>
      </w:pBdr>
      <w:spacing w:before="100" w:after="100"/>
    </w:pPr>
    <w:rPr>
      <w:rFonts w:ascii="Arial" w:hAnsi="Arial" w:cs="Arial"/>
      <w:sz w:val="24"/>
      <w:szCs w:val="24"/>
    </w:rPr>
  </w:style>
  <w:style w:type="paragraph" w:styleId="Xl68">
    <w:name w:val="xl68"/>
    <w:basedOn w:val="Normal"/>
    <w:qFormat/>
    <w:pPr>
      <w:pBdr>
        <w:top w:val="single" w:sz="4" w:space="0" w:color="000000"/>
        <w:left w:val="single" w:sz="4" w:space="0" w:color="000000"/>
        <w:bottom w:val="single" w:sz="4" w:space="0" w:color="000000"/>
        <w:right w:val="single" w:sz="4" w:space="0" w:color="000000"/>
      </w:pBdr>
      <w:spacing w:before="100" w:after="100"/>
      <w:jc w:val="center"/>
    </w:pPr>
    <w:rPr>
      <w:rFonts w:ascii="Arial" w:hAnsi="Arial" w:cs="Arial"/>
      <w:sz w:val="24"/>
      <w:szCs w:val="24"/>
    </w:rPr>
  </w:style>
  <w:style w:type="paragraph" w:styleId="Xl69">
    <w:name w:val="xl69"/>
    <w:basedOn w:val="Normal"/>
    <w:qFormat/>
    <w:pPr>
      <w:pBdr>
        <w:top w:val="single" w:sz="4" w:space="0" w:color="000000"/>
        <w:left w:val="single" w:sz="4" w:space="0" w:color="000000"/>
        <w:bottom w:val="single" w:sz="4" w:space="0" w:color="000000"/>
        <w:right w:val="single" w:sz="4" w:space="0" w:color="000000"/>
      </w:pBdr>
      <w:spacing w:before="100" w:after="100"/>
    </w:pPr>
    <w:rPr>
      <w:rFonts w:ascii="Arial" w:hAnsi="Arial" w:cs="Arial"/>
      <w:b/>
      <w:bCs/>
      <w:sz w:val="24"/>
      <w:szCs w:val="24"/>
    </w:rPr>
  </w:style>
  <w:style w:type="paragraph" w:styleId="Xl70">
    <w:name w:val="xl70"/>
    <w:basedOn w:val="Normal"/>
    <w:qFormat/>
    <w:pPr>
      <w:pBdr>
        <w:top w:val="single" w:sz="4" w:space="0" w:color="000000"/>
        <w:left w:val="single" w:sz="4" w:space="0" w:color="000000"/>
        <w:bottom w:val="single" w:sz="4" w:space="0" w:color="000000"/>
        <w:right w:val="single" w:sz="4" w:space="0" w:color="000000"/>
      </w:pBdr>
      <w:spacing w:before="100" w:after="100"/>
    </w:pPr>
    <w:rPr>
      <w:sz w:val="24"/>
      <w:szCs w:val="24"/>
    </w:rPr>
  </w:style>
  <w:style w:type="paragraph" w:styleId="Xl71">
    <w:name w:val="xl71"/>
    <w:basedOn w:val="Normal"/>
    <w:qFormat/>
    <w:pPr>
      <w:pBdr>
        <w:top w:val="single" w:sz="4" w:space="0" w:color="000000"/>
        <w:left w:val="single" w:sz="4" w:space="0" w:color="000000"/>
        <w:bottom w:val="single" w:sz="4" w:space="0" w:color="000000"/>
        <w:right w:val="single" w:sz="4" w:space="0" w:color="000000"/>
      </w:pBdr>
      <w:spacing w:before="100" w:after="100"/>
      <w:jc w:val="center"/>
    </w:pPr>
    <w:rPr>
      <w:sz w:val="24"/>
      <w:szCs w:val="24"/>
    </w:rPr>
  </w:style>
  <w:style w:type="paragraph" w:styleId="Xl72">
    <w:name w:val="xl72"/>
    <w:basedOn w:val="Normal"/>
    <w:qFormat/>
    <w:pPr>
      <w:pBdr>
        <w:top w:val="single" w:sz="4" w:space="0" w:color="000000"/>
        <w:left w:val="single" w:sz="4" w:space="0" w:color="000000"/>
        <w:bottom w:val="single" w:sz="4" w:space="0" w:color="000000"/>
        <w:right w:val="single" w:sz="4" w:space="0" w:color="000000"/>
      </w:pBdr>
      <w:spacing w:before="100" w:after="100"/>
    </w:pPr>
    <w:rPr>
      <w:b/>
      <w:bCs/>
      <w:sz w:val="24"/>
      <w:szCs w:val="24"/>
    </w:rPr>
  </w:style>
  <w:style w:type="paragraph" w:styleId="Xl73">
    <w:name w:val="xl73"/>
    <w:basedOn w:val="Normal"/>
    <w:qFormat/>
    <w:pPr>
      <w:pBdr>
        <w:top w:val="single" w:sz="4" w:space="0" w:color="000000"/>
        <w:left w:val="single" w:sz="4" w:space="0" w:color="000000"/>
        <w:bottom w:val="single" w:sz="4" w:space="0" w:color="000000"/>
        <w:right w:val="single" w:sz="4" w:space="0" w:color="000000"/>
      </w:pBdr>
      <w:spacing w:before="100" w:after="100"/>
      <w:jc w:val="center"/>
    </w:pPr>
    <w:rPr>
      <w:b/>
      <w:bCs/>
      <w:sz w:val="24"/>
      <w:szCs w:val="24"/>
    </w:rPr>
  </w:style>
  <w:style w:type="paragraph" w:styleId="Xl74">
    <w:name w:val="xl74"/>
    <w:basedOn w:val="Normal"/>
    <w:qFormat/>
    <w:pPr>
      <w:pBdr>
        <w:top w:val="single" w:sz="4" w:space="0" w:color="000000"/>
        <w:left w:val="single" w:sz="4" w:space="0" w:color="000000"/>
        <w:bottom w:val="single" w:sz="4" w:space="0" w:color="000000"/>
        <w:right w:val="single" w:sz="4" w:space="0" w:color="000000"/>
      </w:pBdr>
      <w:spacing w:before="100" w:after="100"/>
      <w:jc w:val="center"/>
    </w:pPr>
    <w:rPr>
      <w:sz w:val="24"/>
      <w:szCs w:val="24"/>
    </w:rPr>
  </w:style>
  <w:style w:type="paragraph" w:styleId="Xl75">
    <w:name w:val="xl75"/>
    <w:basedOn w:val="Normal"/>
    <w:qFormat/>
    <w:pPr>
      <w:pBdr>
        <w:top w:val="single" w:sz="4" w:space="0" w:color="000000"/>
        <w:left w:val="single" w:sz="4" w:space="0" w:color="000000"/>
        <w:bottom w:val="single" w:sz="4" w:space="0" w:color="000000"/>
        <w:right w:val="single" w:sz="4" w:space="0" w:color="000000"/>
      </w:pBdr>
      <w:spacing w:before="100" w:after="100"/>
    </w:pPr>
    <w:rPr>
      <w:sz w:val="24"/>
      <w:szCs w:val="24"/>
    </w:rPr>
  </w:style>
  <w:style w:type="paragraph" w:styleId="Xl76">
    <w:name w:val="xl76"/>
    <w:basedOn w:val="Normal"/>
    <w:qFormat/>
    <w:pPr>
      <w:pBdr>
        <w:left w:val="single" w:sz="4" w:space="0" w:color="000000"/>
        <w:bottom w:val="single" w:sz="4" w:space="0" w:color="000000"/>
        <w:right w:val="single" w:sz="4" w:space="0" w:color="000000"/>
      </w:pBdr>
      <w:spacing w:before="100" w:after="100"/>
      <w:jc w:val="center"/>
    </w:pPr>
    <w:rPr>
      <w:b/>
      <w:bCs/>
      <w:sz w:val="24"/>
      <w:szCs w:val="24"/>
    </w:rPr>
  </w:style>
  <w:style w:type="paragraph" w:styleId="Xl77">
    <w:name w:val="xl77"/>
    <w:basedOn w:val="Normal"/>
    <w:qFormat/>
    <w:pPr>
      <w:spacing w:before="100" w:after="100"/>
    </w:pPr>
    <w:rPr>
      <w:b/>
      <w:bCs/>
      <w:sz w:val="24"/>
      <w:szCs w:val="24"/>
    </w:rPr>
  </w:style>
  <w:style w:type="paragraph" w:styleId="Xl78">
    <w:name w:val="xl78"/>
    <w:basedOn w:val="Normal"/>
    <w:qFormat/>
    <w:pPr>
      <w:pBdr>
        <w:left w:val="single" w:sz="4" w:space="0" w:color="000000"/>
        <w:bottom w:val="single" w:sz="4" w:space="0" w:color="000000"/>
        <w:right w:val="single" w:sz="4" w:space="0" w:color="000000"/>
      </w:pBdr>
      <w:spacing w:before="100" w:after="100"/>
      <w:jc w:val="center"/>
    </w:pPr>
    <w:rPr>
      <w:rFonts w:ascii="Arial" w:hAnsi="Arial" w:cs="Arial"/>
      <w:sz w:val="24"/>
      <w:szCs w:val="24"/>
    </w:rPr>
  </w:style>
  <w:style w:type="paragraph" w:styleId="Xl79">
    <w:name w:val="xl79"/>
    <w:basedOn w:val="Normal"/>
    <w:qFormat/>
    <w:pPr>
      <w:pBdr>
        <w:left w:val="single" w:sz="4" w:space="0" w:color="000000"/>
        <w:bottom w:val="single" w:sz="4" w:space="0" w:color="000000"/>
        <w:right w:val="single" w:sz="4" w:space="0" w:color="000000"/>
      </w:pBdr>
      <w:spacing w:before="100" w:after="100"/>
    </w:pPr>
    <w:rPr>
      <w:b/>
      <w:bCs/>
      <w:sz w:val="24"/>
      <w:szCs w:val="24"/>
    </w:rPr>
  </w:style>
  <w:style w:type="paragraph" w:styleId="Xl80">
    <w:name w:val="xl80"/>
    <w:basedOn w:val="Normal"/>
    <w:qFormat/>
    <w:pPr>
      <w:pBdr>
        <w:top w:val="single" w:sz="4" w:space="0" w:color="000000"/>
        <w:left w:val="single" w:sz="4" w:space="0" w:color="000000"/>
        <w:bottom w:val="single" w:sz="4" w:space="0" w:color="000000"/>
        <w:right w:val="single" w:sz="4" w:space="0" w:color="000000"/>
      </w:pBdr>
      <w:spacing w:before="100" w:after="100"/>
    </w:pPr>
    <w:rPr>
      <w:sz w:val="24"/>
      <w:szCs w:val="24"/>
    </w:rPr>
  </w:style>
  <w:style w:type="paragraph" w:styleId="Xl81">
    <w:name w:val="xl81"/>
    <w:basedOn w:val="Normal"/>
    <w:qFormat/>
    <w:pPr>
      <w:pBdr>
        <w:top w:val="single" w:sz="4" w:space="0" w:color="000000"/>
        <w:left w:val="single" w:sz="4" w:space="0" w:color="000000"/>
        <w:bottom w:val="single" w:sz="4" w:space="0" w:color="000000"/>
        <w:right w:val="single" w:sz="4" w:space="0" w:color="000000"/>
      </w:pBdr>
      <w:spacing w:before="100" w:after="100"/>
    </w:pPr>
    <w:rPr>
      <w:b/>
      <w:bCs/>
      <w:sz w:val="24"/>
      <w:szCs w:val="24"/>
    </w:rPr>
  </w:style>
  <w:style w:type="paragraph" w:styleId="Xl82">
    <w:name w:val="xl82"/>
    <w:basedOn w:val="Normal"/>
    <w:qFormat/>
    <w:pPr>
      <w:pBdr>
        <w:top w:val="single" w:sz="4" w:space="0" w:color="000000"/>
        <w:left w:val="single" w:sz="4" w:space="0" w:color="000000"/>
        <w:bottom w:val="single" w:sz="4" w:space="0" w:color="000000"/>
        <w:right w:val="single" w:sz="4" w:space="0" w:color="000000"/>
      </w:pBdr>
      <w:spacing w:before="100" w:after="100"/>
    </w:pPr>
    <w:rPr>
      <w:rFonts w:ascii="Arial" w:hAnsi="Arial" w:cs="Arial"/>
      <w:sz w:val="24"/>
      <w:szCs w:val="24"/>
    </w:rPr>
  </w:style>
  <w:style w:type="paragraph" w:styleId="Xl83">
    <w:name w:val="xl83"/>
    <w:basedOn w:val="Normal"/>
    <w:qFormat/>
    <w:pPr>
      <w:spacing w:before="100" w:after="100"/>
    </w:pPr>
    <w:rPr>
      <w:rFonts w:ascii="Arial" w:hAnsi="Arial" w:cs="Arial"/>
      <w:sz w:val="24"/>
      <w:szCs w:val="24"/>
    </w:rPr>
  </w:style>
  <w:style w:type="paragraph" w:styleId="Xl84">
    <w:name w:val="xl84"/>
    <w:basedOn w:val="Normal"/>
    <w:qFormat/>
    <w:pPr>
      <w:spacing w:before="100" w:after="100"/>
    </w:pPr>
    <w:rPr>
      <w:rFonts w:ascii="Arial" w:hAnsi="Arial" w:cs="Arial"/>
      <w:b/>
      <w:bCs/>
      <w:sz w:val="24"/>
      <w:szCs w:val="24"/>
    </w:rPr>
  </w:style>
  <w:style w:type="paragraph" w:styleId="Xl85">
    <w:name w:val="xl85"/>
    <w:basedOn w:val="Normal"/>
    <w:qFormat/>
    <w:pPr>
      <w:pBdr>
        <w:left w:val="single" w:sz="4" w:space="0" w:color="000000"/>
        <w:bottom w:val="single" w:sz="4" w:space="0" w:color="000000"/>
        <w:right w:val="single" w:sz="4" w:space="0" w:color="000000"/>
      </w:pBdr>
      <w:spacing w:before="100" w:after="100"/>
    </w:pPr>
    <w:rPr>
      <w:sz w:val="24"/>
      <w:szCs w:val="24"/>
    </w:rPr>
  </w:style>
  <w:style w:type="paragraph" w:styleId="Xl86">
    <w:name w:val="xl86"/>
    <w:basedOn w:val="Normal"/>
    <w:qFormat/>
    <w:pPr>
      <w:pBdr>
        <w:top w:val="single" w:sz="4" w:space="0" w:color="000000"/>
        <w:left w:val="single" w:sz="4" w:space="0" w:color="000000"/>
        <w:bottom w:val="single" w:sz="4" w:space="0" w:color="000000"/>
        <w:right w:val="single" w:sz="4" w:space="0" w:color="000000"/>
      </w:pBdr>
      <w:spacing w:before="100" w:after="100"/>
      <w:jc w:val="center"/>
    </w:pPr>
    <w:rPr>
      <w:sz w:val="24"/>
      <w:szCs w:val="24"/>
    </w:rPr>
  </w:style>
  <w:style w:type="paragraph" w:styleId="Xl87">
    <w:name w:val="xl87"/>
    <w:basedOn w:val="Normal"/>
    <w:qFormat/>
    <w:pPr>
      <w:pBdr>
        <w:top w:val="single" w:sz="4" w:space="0" w:color="000000"/>
        <w:left w:val="single" w:sz="4" w:space="0" w:color="000000"/>
        <w:bottom w:val="single" w:sz="4" w:space="0" w:color="000000"/>
        <w:right w:val="single" w:sz="4" w:space="0" w:color="000000"/>
      </w:pBdr>
      <w:spacing w:before="100" w:after="100"/>
    </w:pPr>
    <w:rPr>
      <w:rFonts w:ascii="Arial" w:hAnsi="Arial" w:cs="Arial"/>
      <w:sz w:val="24"/>
      <w:szCs w:val="24"/>
    </w:rPr>
  </w:style>
  <w:style w:type="paragraph" w:styleId="Xl88">
    <w:name w:val="xl88"/>
    <w:basedOn w:val="Normal"/>
    <w:qFormat/>
    <w:pPr>
      <w:pBdr>
        <w:top w:val="single" w:sz="4" w:space="0" w:color="000000"/>
        <w:left w:val="single" w:sz="4" w:space="0" w:color="000000"/>
        <w:bottom w:val="single" w:sz="4" w:space="0" w:color="000000"/>
        <w:right w:val="single" w:sz="4" w:space="0" w:color="000000"/>
      </w:pBdr>
      <w:spacing w:before="100" w:after="100"/>
      <w:jc w:val="center"/>
    </w:pPr>
    <w:rPr>
      <w:rFonts w:ascii="Arial" w:hAnsi="Arial" w:cs="Arial"/>
      <w:sz w:val="24"/>
      <w:szCs w:val="24"/>
    </w:rPr>
  </w:style>
  <w:style w:type="paragraph" w:styleId="Xl89">
    <w:name w:val="xl89"/>
    <w:basedOn w:val="Normal"/>
    <w:qFormat/>
    <w:pPr>
      <w:pBdr>
        <w:top w:val="single" w:sz="4" w:space="0" w:color="000000"/>
        <w:bottom w:val="single" w:sz="4" w:space="0" w:color="000000"/>
        <w:right w:val="single" w:sz="4" w:space="0" w:color="000000"/>
      </w:pBdr>
      <w:spacing w:before="100" w:after="100"/>
    </w:pPr>
    <w:rPr>
      <w:sz w:val="24"/>
      <w:szCs w:val="24"/>
    </w:rPr>
  </w:style>
  <w:style w:type="paragraph" w:styleId="Xl90">
    <w:name w:val="xl90"/>
    <w:basedOn w:val="Normal"/>
    <w:qFormat/>
    <w:pPr>
      <w:pBdr>
        <w:top w:val="single" w:sz="4" w:space="0" w:color="000000"/>
        <w:left w:val="single" w:sz="4" w:space="0" w:color="000000"/>
        <w:bottom w:val="single" w:sz="4" w:space="0" w:color="000000"/>
        <w:right w:val="single" w:sz="4" w:space="0" w:color="000000"/>
      </w:pBdr>
      <w:spacing w:before="100" w:after="100"/>
      <w:jc w:val="right"/>
    </w:pPr>
    <w:rPr>
      <w:b/>
      <w:bCs/>
      <w:sz w:val="24"/>
      <w:szCs w:val="24"/>
    </w:rPr>
  </w:style>
  <w:style w:type="paragraph" w:styleId="Xl91">
    <w:name w:val="xl91"/>
    <w:basedOn w:val="Normal"/>
    <w:qFormat/>
    <w:pPr>
      <w:pBdr>
        <w:top w:val="single" w:sz="4" w:space="0" w:color="000000"/>
        <w:left w:val="single" w:sz="4" w:space="0" w:color="000000"/>
        <w:bottom w:val="single" w:sz="4" w:space="0" w:color="000000"/>
        <w:right w:val="single" w:sz="4" w:space="0" w:color="000000"/>
      </w:pBdr>
      <w:spacing w:before="100" w:after="100"/>
      <w:jc w:val="right"/>
    </w:pPr>
    <w:rPr>
      <w:sz w:val="24"/>
      <w:szCs w:val="24"/>
    </w:rPr>
  </w:style>
  <w:style w:type="paragraph" w:styleId="Xl92">
    <w:name w:val="xl92"/>
    <w:basedOn w:val="Normal"/>
    <w:qFormat/>
    <w:pPr>
      <w:pBdr>
        <w:left w:val="single" w:sz="4" w:space="0" w:color="000000"/>
        <w:bottom w:val="single" w:sz="4" w:space="0" w:color="000000"/>
        <w:right w:val="single" w:sz="4" w:space="0" w:color="000000"/>
      </w:pBdr>
      <w:spacing w:before="100" w:after="100"/>
      <w:jc w:val="right"/>
    </w:pPr>
    <w:rPr>
      <w:sz w:val="24"/>
      <w:szCs w:val="24"/>
    </w:rPr>
  </w:style>
  <w:style w:type="paragraph" w:styleId="Xl93">
    <w:name w:val="xl93"/>
    <w:basedOn w:val="Normal"/>
    <w:qFormat/>
    <w:pPr>
      <w:pBdr>
        <w:top w:val="single" w:sz="4" w:space="0" w:color="000000"/>
        <w:left w:val="single" w:sz="4" w:space="0" w:color="000000"/>
        <w:bottom w:val="single" w:sz="4" w:space="0" w:color="000000"/>
        <w:right w:val="single" w:sz="4" w:space="0" w:color="000000"/>
      </w:pBdr>
      <w:spacing w:before="100" w:after="100"/>
      <w:jc w:val="right"/>
    </w:pPr>
    <w:rPr>
      <w:rFonts w:ascii="Arial" w:hAnsi="Arial" w:cs="Arial"/>
      <w:sz w:val="24"/>
      <w:szCs w:val="24"/>
    </w:rPr>
  </w:style>
  <w:style w:type="paragraph" w:styleId="Xl94">
    <w:name w:val="xl94"/>
    <w:basedOn w:val="Normal"/>
    <w:qFormat/>
    <w:pPr>
      <w:spacing w:before="100" w:after="100"/>
    </w:pPr>
    <w:rPr>
      <w:rFonts w:ascii="Arial" w:hAnsi="Arial" w:cs="Arial"/>
      <w:color w:val="FF0000"/>
      <w:sz w:val="24"/>
      <w:szCs w:val="24"/>
    </w:rPr>
  </w:style>
  <w:style w:type="paragraph" w:styleId="Xl95">
    <w:name w:val="xl95"/>
    <w:basedOn w:val="Normal"/>
    <w:qFormat/>
    <w:pPr>
      <w:pBdr>
        <w:top w:val="single" w:sz="4" w:space="0" w:color="000000"/>
        <w:bottom w:val="single" w:sz="4" w:space="0" w:color="000000"/>
        <w:right w:val="single" w:sz="4" w:space="0" w:color="000000"/>
      </w:pBdr>
      <w:spacing w:before="100" w:after="100"/>
      <w:jc w:val="right"/>
    </w:pPr>
    <w:rPr>
      <w:sz w:val="24"/>
      <w:szCs w:val="24"/>
    </w:rPr>
  </w:style>
  <w:style w:type="paragraph" w:styleId="Xl96">
    <w:name w:val="xl96"/>
    <w:basedOn w:val="Normal"/>
    <w:qFormat/>
    <w:pPr>
      <w:spacing w:before="100" w:after="100"/>
    </w:pPr>
    <w:rPr>
      <w:color w:val="0000FF"/>
      <w:sz w:val="24"/>
      <w:szCs w:val="24"/>
    </w:rPr>
  </w:style>
  <w:style w:type="paragraph" w:styleId="Xl97">
    <w:name w:val="xl97"/>
    <w:basedOn w:val="Normal"/>
    <w:qFormat/>
    <w:pPr>
      <w:spacing w:before="100" w:after="100"/>
    </w:pPr>
    <w:rPr>
      <w:rFonts w:ascii="Arial" w:hAnsi="Arial" w:cs="Arial"/>
      <w:color w:val="0000FF"/>
      <w:sz w:val="24"/>
      <w:szCs w:val="24"/>
    </w:rPr>
  </w:style>
  <w:style w:type="paragraph" w:styleId="Xl98">
    <w:name w:val="xl98"/>
    <w:basedOn w:val="Normal"/>
    <w:qFormat/>
    <w:pPr>
      <w:spacing w:before="100" w:after="100"/>
    </w:pPr>
    <w:rPr>
      <w:b/>
      <w:bCs/>
      <w:color w:val="0000FF"/>
      <w:sz w:val="24"/>
      <w:szCs w:val="24"/>
    </w:rPr>
  </w:style>
  <w:style w:type="paragraph" w:styleId="Xl99">
    <w:name w:val="xl99"/>
    <w:basedOn w:val="Normal"/>
    <w:qFormat/>
    <w:pPr>
      <w:spacing w:before="100" w:after="100"/>
    </w:pPr>
    <w:rPr>
      <w:rFonts w:ascii="Arial" w:hAnsi="Arial" w:cs="Arial"/>
      <w:b/>
      <w:bCs/>
      <w:color w:val="0000FF"/>
      <w:sz w:val="24"/>
      <w:szCs w:val="24"/>
    </w:rPr>
  </w:style>
  <w:style w:type="paragraph" w:styleId="Xl100">
    <w:name w:val="xl100"/>
    <w:basedOn w:val="Normal"/>
    <w:qFormat/>
    <w:pPr>
      <w:spacing w:before="100" w:after="100"/>
    </w:pPr>
    <w:rPr>
      <w:b/>
      <w:bCs/>
      <w:color w:val="FF0000"/>
      <w:sz w:val="24"/>
      <w:szCs w:val="24"/>
    </w:rPr>
  </w:style>
  <w:style w:type="paragraph" w:styleId="Xl101">
    <w:name w:val="xl101"/>
    <w:basedOn w:val="Normal"/>
    <w:qFormat/>
    <w:pPr>
      <w:spacing w:before="100" w:after="100"/>
    </w:pPr>
    <w:rPr>
      <w:color w:val="FF0000"/>
      <w:sz w:val="24"/>
      <w:szCs w:val="24"/>
    </w:rPr>
  </w:style>
  <w:style w:type="paragraph" w:styleId="Xl102">
    <w:name w:val="xl102"/>
    <w:basedOn w:val="Normal"/>
    <w:qFormat/>
    <w:pPr>
      <w:spacing w:before="100" w:after="100"/>
    </w:pPr>
    <w:rPr>
      <w:color w:val="800000"/>
      <w:sz w:val="24"/>
      <w:szCs w:val="24"/>
    </w:rPr>
  </w:style>
  <w:style w:type="paragraph" w:styleId="Xl103">
    <w:name w:val="xl103"/>
    <w:basedOn w:val="Normal"/>
    <w:qFormat/>
    <w:pPr>
      <w:pBdr>
        <w:left w:val="single" w:sz="4" w:space="0" w:color="000000"/>
        <w:bottom w:val="single" w:sz="4" w:space="0" w:color="000000"/>
        <w:right w:val="single" w:sz="4" w:space="0" w:color="000000"/>
      </w:pBdr>
      <w:spacing w:before="100" w:after="100"/>
    </w:pPr>
    <w:rPr>
      <w:rFonts w:ascii="Arial" w:hAnsi="Arial" w:cs="Arial"/>
      <w:b/>
      <w:bCs/>
      <w:sz w:val="24"/>
      <w:szCs w:val="24"/>
    </w:rPr>
  </w:style>
  <w:style w:type="paragraph" w:styleId="Xl104">
    <w:name w:val="xl104"/>
    <w:basedOn w:val="Normal"/>
    <w:qFormat/>
    <w:pPr>
      <w:pBdr>
        <w:left w:val="single" w:sz="4" w:space="0" w:color="000000"/>
        <w:bottom w:val="single" w:sz="4" w:space="0" w:color="000000"/>
        <w:right w:val="single" w:sz="4" w:space="0" w:color="000000"/>
      </w:pBdr>
      <w:spacing w:before="100" w:after="100"/>
      <w:jc w:val="center"/>
    </w:pPr>
    <w:rPr>
      <w:rFonts w:ascii="Arial" w:hAnsi="Arial" w:cs="Arial"/>
      <w:b/>
      <w:bCs/>
      <w:sz w:val="24"/>
      <w:szCs w:val="24"/>
    </w:rPr>
  </w:style>
  <w:style w:type="paragraph" w:styleId="Xl105">
    <w:name w:val="xl105"/>
    <w:basedOn w:val="Normal"/>
    <w:qFormat/>
    <w:pPr>
      <w:pBdr>
        <w:top w:val="single" w:sz="4" w:space="0" w:color="000000"/>
        <w:left w:val="single" w:sz="4" w:space="0" w:color="000000"/>
        <w:bottom w:val="single" w:sz="4" w:space="0" w:color="000000"/>
        <w:right w:val="single" w:sz="4" w:space="0" w:color="000000"/>
      </w:pBdr>
      <w:spacing w:before="100" w:after="100"/>
    </w:pPr>
    <w:rPr>
      <w:b/>
      <w:bCs/>
      <w:sz w:val="24"/>
      <w:szCs w:val="24"/>
    </w:rPr>
  </w:style>
  <w:style w:type="paragraph" w:styleId="Xl106">
    <w:name w:val="xl106"/>
    <w:basedOn w:val="Normal"/>
    <w:qFormat/>
    <w:pPr>
      <w:pBdr>
        <w:left w:val="single" w:sz="4" w:space="0" w:color="000000"/>
        <w:bottom w:val="single" w:sz="4" w:space="0" w:color="000000"/>
        <w:right w:val="single" w:sz="4" w:space="0" w:color="000000"/>
      </w:pBdr>
      <w:spacing w:before="100" w:after="100"/>
      <w:jc w:val="right"/>
    </w:pPr>
    <w:rPr>
      <w:b/>
      <w:bCs/>
      <w:sz w:val="24"/>
      <w:szCs w:val="24"/>
    </w:rPr>
  </w:style>
  <w:style w:type="paragraph" w:styleId="Xl107">
    <w:name w:val="xl107"/>
    <w:basedOn w:val="Normal"/>
    <w:qFormat/>
    <w:pPr>
      <w:pBdr>
        <w:top w:val="single" w:sz="4" w:space="0" w:color="000000"/>
        <w:left w:val="single" w:sz="4" w:space="0" w:color="000000"/>
        <w:bottom w:val="single" w:sz="4" w:space="0" w:color="000000"/>
        <w:right w:val="single" w:sz="4" w:space="0" w:color="000000"/>
      </w:pBdr>
      <w:spacing w:before="100" w:after="100"/>
    </w:pPr>
    <w:rPr>
      <w:sz w:val="24"/>
      <w:szCs w:val="24"/>
    </w:rPr>
  </w:style>
  <w:style w:type="paragraph" w:styleId="Xl108">
    <w:name w:val="xl108"/>
    <w:basedOn w:val="Normal"/>
    <w:qFormat/>
    <w:pPr>
      <w:pBdr>
        <w:top w:val="single" w:sz="4" w:space="0" w:color="000000"/>
        <w:left w:val="single" w:sz="4" w:space="0" w:color="000000"/>
        <w:bottom w:val="single" w:sz="4" w:space="0" w:color="000000"/>
        <w:right w:val="single" w:sz="4" w:space="0" w:color="000000"/>
      </w:pBdr>
      <w:spacing w:before="100" w:after="100"/>
      <w:jc w:val="center"/>
    </w:pPr>
    <w:rPr>
      <w:rFonts w:ascii="Arial" w:hAnsi="Arial" w:cs="Arial"/>
      <w:b/>
      <w:bCs/>
      <w:sz w:val="22"/>
      <w:szCs w:val="22"/>
    </w:rPr>
  </w:style>
  <w:style w:type="paragraph" w:styleId="Xl109">
    <w:name w:val="xl109"/>
    <w:basedOn w:val="Normal"/>
    <w:qFormat/>
    <w:pPr>
      <w:pBdr>
        <w:top w:val="single" w:sz="4" w:space="0" w:color="000000"/>
        <w:left w:val="single" w:sz="4" w:space="0" w:color="000000"/>
        <w:bottom w:val="single" w:sz="4" w:space="0" w:color="000000"/>
        <w:right w:val="single" w:sz="4" w:space="0" w:color="000000"/>
      </w:pBdr>
      <w:spacing w:before="100" w:after="100"/>
      <w:jc w:val="center"/>
    </w:pPr>
    <w:rPr>
      <w:rFonts w:ascii="Arial" w:hAnsi="Arial" w:cs="Arial"/>
      <w:b/>
      <w:bCs/>
      <w:sz w:val="24"/>
      <w:szCs w:val="24"/>
    </w:rPr>
  </w:style>
  <w:style w:type="paragraph" w:styleId="Xl110">
    <w:name w:val="xl110"/>
    <w:basedOn w:val="Normal"/>
    <w:qFormat/>
    <w:pPr>
      <w:pBdr>
        <w:top w:val="single" w:sz="4" w:space="0" w:color="000000"/>
        <w:left w:val="single" w:sz="4" w:space="0" w:color="000000"/>
        <w:bottom w:val="single" w:sz="4" w:space="0" w:color="000000"/>
        <w:right w:val="single" w:sz="4" w:space="0" w:color="000000"/>
      </w:pBdr>
      <w:spacing w:before="100" w:after="100"/>
      <w:jc w:val="center"/>
    </w:pPr>
    <w:rPr>
      <w:rFonts w:ascii="Times New Roman CYR" w:hAnsi="Times New Roman CYR" w:cs="Times New Roman CYR"/>
      <w:b/>
      <w:bCs/>
      <w:sz w:val="28"/>
      <w:szCs w:val="28"/>
    </w:rPr>
  </w:style>
  <w:style w:type="paragraph" w:styleId="Xl111">
    <w:name w:val="xl111"/>
    <w:basedOn w:val="Normal"/>
    <w:qFormat/>
    <w:pPr>
      <w:pBdr>
        <w:top w:val="single" w:sz="4" w:space="0" w:color="000000"/>
        <w:left w:val="single" w:sz="4" w:space="0" w:color="000000"/>
        <w:right w:val="single" w:sz="4" w:space="0" w:color="000000"/>
      </w:pBdr>
      <w:spacing w:before="100" w:after="100"/>
      <w:jc w:val="center"/>
    </w:pPr>
    <w:rPr>
      <w:b/>
      <w:bCs/>
      <w:sz w:val="24"/>
      <w:szCs w:val="24"/>
    </w:rPr>
  </w:style>
  <w:style w:type="paragraph" w:styleId="Xl112">
    <w:name w:val="xl112"/>
    <w:basedOn w:val="Normal"/>
    <w:qFormat/>
    <w:pPr>
      <w:pBdr>
        <w:left w:val="single" w:sz="4" w:space="0" w:color="000000"/>
        <w:right w:val="single" w:sz="4" w:space="0" w:color="000000"/>
      </w:pBdr>
      <w:spacing w:before="100" w:after="100"/>
      <w:jc w:val="center"/>
    </w:pPr>
    <w:rPr>
      <w:b/>
      <w:bCs/>
      <w:sz w:val="24"/>
      <w:szCs w:val="24"/>
    </w:rPr>
  </w:style>
  <w:style w:type="paragraph" w:styleId="Xl113">
    <w:name w:val="xl113"/>
    <w:basedOn w:val="Normal"/>
    <w:qFormat/>
    <w:pPr>
      <w:pBdr>
        <w:left w:val="single" w:sz="4" w:space="0" w:color="000000"/>
        <w:bottom w:val="single" w:sz="4" w:space="0" w:color="000000"/>
        <w:right w:val="single" w:sz="4" w:space="0" w:color="000000"/>
      </w:pBdr>
      <w:spacing w:before="100" w:after="100"/>
      <w:jc w:val="center"/>
    </w:pPr>
    <w:rPr>
      <w:b/>
      <w:bCs/>
      <w:sz w:val="24"/>
      <w:szCs w:val="24"/>
    </w:rPr>
  </w:style>
  <w:style w:type="paragraph" w:styleId="92">
    <w:name w:val="Знак Знак Знак Знак Знак Знак Знак Знак Знак9"/>
    <w:basedOn w:val="Normal"/>
    <w:qFormat/>
    <w:pPr>
      <w:spacing w:before="100" w:after="100"/>
    </w:pPr>
    <w:rPr>
      <w:rFonts w:ascii="Tahoma" w:hAnsi="Tahoma" w:cs="Tahoma"/>
      <w:lang w:val="en-US"/>
    </w:rPr>
  </w:style>
  <w:style w:type="paragraph" w:styleId="Style46">
    <w:name w:val="Знак Знак Знак Знак Знак"/>
    <w:basedOn w:val="Normal"/>
    <w:qFormat/>
    <w:pPr>
      <w:spacing w:before="100" w:after="100"/>
    </w:pPr>
    <w:rPr>
      <w:rFonts w:ascii="Tahoma" w:hAnsi="Tahoma" w:cs="Tahoma"/>
      <w:lang w:val="en-US"/>
    </w:rPr>
  </w:style>
  <w:style w:type="paragraph" w:styleId="Courier12">
    <w:name w:val="Courier12"/>
    <w:basedOn w:val="Normal"/>
    <w:qFormat/>
    <w:pPr>
      <w:numPr>
        <w:ilvl w:val="0"/>
        <w:numId w:val="2"/>
      </w:numPr>
      <w:jc w:val="both"/>
    </w:pPr>
    <w:rPr>
      <w:rFonts w:ascii="Courier New" w:hAnsi="Courier New" w:cs="Courier New"/>
      <w:sz w:val="24"/>
      <w:szCs w:val="24"/>
    </w:rPr>
  </w:style>
  <w:style w:type="paragraph" w:styleId="ProGramma1">
    <w:name w:val="Pro-Gramma"/>
    <w:basedOn w:val="Normal"/>
    <w:qFormat/>
    <w:pPr>
      <w:spacing w:lineRule="auto" w:line="288" w:before="120" w:after="0"/>
      <w:ind w:left="1134" w:hanging="0"/>
      <w:jc w:val="both"/>
    </w:pPr>
    <w:rPr>
      <w:rFonts w:ascii="Georgia" w:hAnsi="Georgia" w:cs="Georgia"/>
      <w:sz w:val="24"/>
      <w:szCs w:val="24"/>
      <w:lang w:val="ru-RU"/>
    </w:rPr>
  </w:style>
  <w:style w:type="paragraph" w:styleId="217">
    <w:name w:val="Знак Знак21"/>
    <w:basedOn w:val="Normal"/>
    <w:qFormat/>
    <w:pPr>
      <w:spacing w:before="100" w:after="100"/>
    </w:pPr>
    <w:rPr>
      <w:rFonts w:ascii="Tahoma" w:hAnsi="Tahoma" w:cs="Tahoma"/>
      <w:lang w:val="en-US"/>
    </w:rPr>
  </w:style>
  <w:style w:type="paragraph" w:styleId="Arial14">
    <w:name w:val="Arial14"/>
    <w:basedOn w:val="Normal"/>
    <w:qFormat/>
    <w:pPr>
      <w:ind w:firstLine="851"/>
      <w:jc w:val="both"/>
    </w:pPr>
    <w:rPr>
      <w:rFonts w:ascii="Arial" w:hAnsi="Arial" w:cs="Arial"/>
      <w:sz w:val="28"/>
      <w:szCs w:val="28"/>
    </w:rPr>
  </w:style>
  <w:style w:type="paragraph" w:styleId="Arial12">
    <w:name w:val="Arial12"/>
    <w:basedOn w:val="Normal"/>
    <w:qFormat/>
    <w:pPr>
      <w:ind w:firstLine="851"/>
      <w:jc w:val="both"/>
    </w:pPr>
    <w:rPr>
      <w:rFonts w:ascii="Arial" w:hAnsi="Arial" w:cs="Arial"/>
      <w:sz w:val="24"/>
      <w:szCs w:val="24"/>
    </w:rPr>
  </w:style>
  <w:style w:type="paragraph" w:styleId="Style47">
    <w:name w:val="Знак Знак Знак"/>
    <w:basedOn w:val="Normal"/>
    <w:qFormat/>
    <w:pPr>
      <w:spacing w:lineRule="exact" w:line="240" w:before="0" w:after="160"/>
    </w:pPr>
    <w:rPr>
      <w:rFonts w:eastAsia="SimSun;宋体"/>
      <w:b/>
      <w:bCs/>
      <w:sz w:val="28"/>
      <w:szCs w:val="28"/>
      <w:lang w:val="en-US"/>
    </w:rPr>
  </w:style>
  <w:style w:type="paragraph" w:styleId="124">
    <w:name w:val="Знак Знак Знак1"/>
    <w:basedOn w:val="Normal"/>
    <w:qFormat/>
    <w:pPr>
      <w:spacing w:lineRule="exact" w:line="240" w:before="0" w:after="160"/>
    </w:pPr>
    <w:rPr>
      <w:rFonts w:eastAsia="SimSun;宋体"/>
      <w:b/>
      <w:bCs/>
      <w:sz w:val="28"/>
      <w:szCs w:val="28"/>
      <w:lang w:val="en-US"/>
    </w:rPr>
  </w:style>
  <w:style w:type="paragraph" w:styleId="125">
    <w:name w:val="Знак1 Знак Знак Знак"/>
    <w:basedOn w:val="Normal"/>
    <w:qFormat/>
    <w:pPr>
      <w:widowControl w:val="false"/>
      <w:spacing w:lineRule="exact" w:line="240" w:before="0" w:after="160"/>
      <w:jc w:val="right"/>
    </w:pPr>
    <w:rPr>
      <w:lang w:val="en-GB"/>
    </w:rPr>
  </w:style>
  <w:style w:type="paragraph" w:styleId="218">
    <w:name w:val="Знак Знак Знак2"/>
    <w:basedOn w:val="Normal"/>
    <w:qFormat/>
    <w:pPr>
      <w:spacing w:lineRule="exact" w:line="240" w:before="0" w:after="160"/>
    </w:pPr>
    <w:rPr>
      <w:rFonts w:eastAsia="SimSun;宋体"/>
      <w:b/>
      <w:bCs/>
      <w:sz w:val="28"/>
      <w:szCs w:val="28"/>
      <w:lang w:val="en-US"/>
    </w:rPr>
  </w:style>
  <w:style w:type="paragraph" w:styleId="38">
    <w:name w:val="Знак Знак Знак3"/>
    <w:basedOn w:val="Normal"/>
    <w:qFormat/>
    <w:pPr>
      <w:spacing w:lineRule="exact" w:line="240" w:before="0" w:after="160"/>
    </w:pPr>
    <w:rPr>
      <w:rFonts w:eastAsia="SimSun;宋体"/>
      <w:b/>
      <w:bCs/>
      <w:sz w:val="28"/>
      <w:szCs w:val="28"/>
      <w:lang w:val="en-US"/>
    </w:rPr>
  </w:style>
  <w:style w:type="paragraph" w:styleId="Style48">
    <w:name w:val="Нумерованный абзац"/>
    <w:qFormat/>
    <w:pPr>
      <w:widowControl/>
      <w:numPr>
        <w:ilvl w:val="0"/>
        <w:numId w:val="4"/>
      </w:numPr>
      <w:tabs>
        <w:tab w:val="clear" w:pos="720"/>
        <w:tab w:val="left" w:pos="1134" w:leader="none"/>
      </w:tabs>
      <w:suppressAutoHyphens w:val="true"/>
      <w:bidi w:val="0"/>
      <w:spacing w:before="240" w:after="0"/>
      <w:jc w:val="both"/>
    </w:pPr>
    <w:rPr>
      <w:rFonts w:ascii="Times New Roman" w:hAnsi="Times New Roman" w:eastAsia="Times New Roman" w:cs="Times New Roman"/>
      <w:color w:val="auto"/>
      <w:sz w:val="28"/>
      <w:szCs w:val="20"/>
      <w:lang w:val="ru-RU" w:eastAsia="ru-RU" w:bidi="ar-SA"/>
    </w:rPr>
  </w:style>
  <w:style w:type="paragraph" w:styleId="Style49">
    <w:name w:val="Заголовок текста"/>
    <w:qFormat/>
    <w:pPr>
      <w:widowControl/>
      <w:bidi w:val="0"/>
      <w:spacing w:before="0" w:after="240"/>
      <w:jc w:val="center"/>
    </w:pPr>
    <w:rPr>
      <w:rFonts w:ascii="Times New Roman" w:hAnsi="Times New Roman" w:eastAsia="Times New Roman" w:cs="Times New Roman"/>
      <w:b/>
      <w:color w:val="auto"/>
      <w:sz w:val="28"/>
      <w:szCs w:val="20"/>
      <w:lang w:val="ru-RU" w:eastAsia="ru-RU" w:bidi="ar-SA"/>
    </w:rPr>
  </w:style>
  <w:style w:type="paragraph" w:styleId="Style50">
    <w:name w:val="Текст постановления"/>
    <w:qFormat/>
    <w:pPr>
      <w:widowControl/>
      <w:suppressAutoHyphens w:val="true"/>
      <w:bidi w:val="0"/>
      <w:spacing w:lineRule="auto" w:line="288"/>
      <w:ind w:firstLine="720"/>
      <w:jc w:val="both"/>
    </w:pPr>
    <w:rPr>
      <w:rFonts w:ascii="Times New Roman" w:hAnsi="Times New Roman" w:eastAsia="Times New Roman" w:cs="Times New Roman"/>
      <w:color w:val="auto"/>
      <w:sz w:val="28"/>
      <w:szCs w:val="20"/>
      <w:lang w:val="en-US" w:eastAsia="ru-RU" w:bidi="ar-SA"/>
    </w:rPr>
  </w:style>
  <w:style w:type="paragraph" w:styleId="10">
    <w:name w:val="Знак Знак Знак Знак Знак Знак Знак Знак Знак10"/>
    <w:basedOn w:val="Normal"/>
    <w:qFormat/>
    <w:pPr>
      <w:spacing w:before="100" w:after="100"/>
    </w:pPr>
    <w:rPr>
      <w:rFonts w:ascii="Tahoma" w:hAnsi="Tahoma" w:cs="Tahoma"/>
      <w:lang w:val="en-US"/>
    </w:rPr>
  </w:style>
  <w:style w:type="paragraph" w:styleId="126">
    <w:name w:val="Знак Знак Знак Знак Знак1"/>
    <w:basedOn w:val="Normal"/>
    <w:qFormat/>
    <w:pPr>
      <w:spacing w:before="100" w:after="100"/>
    </w:pPr>
    <w:rPr>
      <w:rFonts w:ascii="Tahoma" w:hAnsi="Tahoma" w:cs="Tahoma"/>
      <w:lang w:val="en-US"/>
    </w:rPr>
  </w:style>
  <w:style w:type="paragraph" w:styleId="181">
    <w:name w:val="Знак1 Знак Знак8"/>
    <w:basedOn w:val="Normal"/>
    <w:qFormat/>
    <w:pPr>
      <w:spacing w:before="100" w:after="100"/>
    </w:pPr>
    <w:rPr>
      <w:rFonts w:ascii="Tahoma" w:hAnsi="Tahoma" w:cs="Tahoma"/>
      <w:lang w:val="en-US"/>
    </w:rPr>
  </w:style>
  <w:style w:type="paragraph" w:styleId="73">
    <w:name w:val="Знак Знак7"/>
    <w:basedOn w:val="Normal"/>
    <w:qFormat/>
    <w:pPr>
      <w:spacing w:before="100" w:after="100"/>
    </w:pPr>
    <w:rPr>
      <w:rFonts w:ascii="Tahoma" w:hAnsi="Tahoma" w:cs="Tahoma"/>
      <w:lang w:val="en-US"/>
    </w:rPr>
  </w:style>
  <w:style w:type="paragraph" w:styleId="Entrymetaentrymetaspaced">
    <w:name w:val="entry-meta entry-meta-spaced"/>
    <w:basedOn w:val="Normal"/>
    <w:qFormat/>
    <w:pPr>
      <w:spacing w:before="100" w:after="100"/>
    </w:pPr>
    <w:rPr>
      <w:sz w:val="24"/>
      <w:szCs w:val="24"/>
    </w:rPr>
  </w:style>
  <w:style w:type="paragraph" w:styleId="314">
    <w:name w:val="Знак Знак31"/>
    <w:basedOn w:val="Normal"/>
    <w:qFormat/>
    <w:pPr>
      <w:spacing w:before="100" w:after="100"/>
    </w:pPr>
    <w:rPr>
      <w:rFonts w:ascii="Tahoma" w:hAnsi="Tahoma" w:cs="Tahoma"/>
      <w:lang w:val="en-US"/>
    </w:rPr>
  </w:style>
  <w:style w:type="paragraph" w:styleId="Xl117">
    <w:name w:val="xl117"/>
    <w:basedOn w:val="Normal"/>
    <w:qFormat/>
    <w:pPr>
      <w:pBdr>
        <w:top w:val="single" w:sz="4" w:space="0" w:color="000000"/>
        <w:left w:val="single" w:sz="4" w:space="0" w:color="000000"/>
        <w:bottom w:val="single" w:sz="4" w:space="0" w:color="000000"/>
        <w:right w:val="single" w:sz="4" w:space="0" w:color="000000"/>
      </w:pBdr>
      <w:spacing w:before="100" w:after="100"/>
      <w:jc w:val="center"/>
    </w:pPr>
    <w:rPr>
      <w:sz w:val="24"/>
      <w:szCs w:val="24"/>
    </w:rPr>
  </w:style>
  <w:style w:type="paragraph" w:styleId="127">
    <w:name w:val="1"/>
    <w:basedOn w:val="Normal"/>
    <w:qFormat/>
    <w:pPr>
      <w:spacing w:before="100" w:after="100"/>
    </w:pPr>
    <w:rPr>
      <w:rFonts w:ascii="Tahoma" w:hAnsi="Tahoma" w:cs="Tahoma"/>
      <w:lang w:val="en-US"/>
    </w:rPr>
  </w:style>
  <w:style w:type="paragraph" w:styleId="54">
    <w:name w:val="Знак Знак5 Знак Знак"/>
    <w:basedOn w:val="Normal"/>
    <w:qFormat/>
    <w:pPr>
      <w:spacing w:before="100" w:after="100"/>
    </w:pPr>
    <w:rPr>
      <w:rFonts w:ascii="Tahoma" w:hAnsi="Tahoma" w:cs="Tahoma"/>
      <w:lang w:val="en-US"/>
    </w:rPr>
  </w:style>
  <w:style w:type="paragraph" w:styleId="Style51">
    <w:name w:val="Знак"/>
    <w:basedOn w:val="Normal"/>
    <w:qFormat/>
    <w:pPr>
      <w:spacing w:before="100" w:after="100"/>
    </w:pPr>
    <w:rPr>
      <w:rFonts w:ascii="Tahoma" w:hAnsi="Tahoma" w:cs="Tahoma"/>
      <w:lang w:val="en-US"/>
    </w:rPr>
  </w:style>
  <w:style w:type="paragraph" w:styleId="83">
    <w:name w:val="Знак Знак8"/>
    <w:basedOn w:val="Normal"/>
    <w:qFormat/>
    <w:pPr>
      <w:spacing w:before="100" w:after="100"/>
    </w:pPr>
    <w:rPr>
      <w:rFonts w:ascii="Tahoma" w:hAnsi="Tahoma" w:cs="Tahoma"/>
      <w:lang w:val="en-US"/>
    </w:rPr>
  </w:style>
  <w:style w:type="paragraph" w:styleId="1111">
    <w:name w:val="Знак Знак Знак Знак Знак Знак Знак Знак Знак11"/>
    <w:basedOn w:val="Normal"/>
    <w:qFormat/>
    <w:pPr>
      <w:spacing w:before="100" w:after="100"/>
    </w:pPr>
    <w:rPr>
      <w:rFonts w:ascii="Tahoma" w:hAnsi="Tahoma" w:cs="Tahoma"/>
      <w:lang w:val="en-US"/>
    </w:rPr>
  </w:style>
  <w:style w:type="paragraph" w:styleId="93">
    <w:name w:val="Знак Знак9"/>
    <w:basedOn w:val="Normal"/>
    <w:qFormat/>
    <w:pPr>
      <w:spacing w:before="100" w:after="100"/>
    </w:pPr>
    <w:rPr>
      <w:rFonts w:ascii="Tahoma" w:hAnsi="Tahoma" w:cs="Tahoma"/>
      <w:lang w:val="en-US"/>
    </w:rPr>
  </w:style>
  <w:style w:type="paragraph" w:styleId="128">
    <w:name w:val="Знак Знак Знак Знак Знак Знак Знак Знак Знак12"/>
    <w:basedOn w:val="Normal"/>
    <w:qFormat/>
    <w:pPr>
      <w:spacing w:before="100" w:after="100"/>
    </w:pPr>
    <w:rPr>
      <w:rFonts w:ascii="Tahoma" w:hAnsi="Tahoma" w:cs="Tahoma"/>
      <w:lang w:val="en-US"/>
    </w:rPr>
  </w:style>
  <w:style w:type="paragraph" w:styleId="39">
    <w:name w:val="Знак3"/>
    <w:basedOn w:val="Normal"/>
    <w:qFormat/>
    <w:pPr>
      <w:spacing w:before="100" w:after="100"/>
    </w:pPr>
    <w:rPr>
      <w:rFonts w:ascii="Tahoma" w:hAnsi="Tahoma" w:cs="Tahoma"/>
      <w:lang w:val="en-US"/>
    </w:rPr>
  </w:style>
  <w:style w:type="paragraph" w:styleId="191">
    <w:name w:val="Знак1 Знак Знак9"/>
    <w:basedOn w:val="Normal"/>
    <w:qFormat/>
    <w:pPr>
      <w:spacing w:before="100" w:after="100"/>
    </w:pPr>
    <w:rPr>
      <w:rFonts w:ascii="Tahoma" w:hAnsi="Tahoma" w:cs="Tahoma"/>
      <w:lang w:val="en-US"/>
    </w:rPr>
  </w:style>
  <w:style w:type="paragraph" w:styleId="Xl22">
    <w:name w:val="xl22"/>
    <w:basedOn w:val="Normal"/>
    <w:qFormat/>
    <w:pPr>
      <w:spacing w:before="100" w:after="100"/>
    </w:pPr>
    <w:rPr>
      <w:rFonts w:eastAsia="Arial Unicode MS"/>
      <w:sz w:val="24"/>
      <w:szCs w:val="24"/>
    </w:rPr>
  </w:style>
  <w:style w:type="paragraph" w:styleId="219">
    <w:name w:val="Основной текст с отступом2"/>
    <w:basedOn w:val="Normal"/>
    <w:qFormat/>
    <w:pPr>
      <w:autoSpaceDE w:val="false"/>
      <w:ind w:firstLine="567"/>
      <w:jc w:val="both"/>
    </w:pPr>
    <w:rPr>
      <w:sz w:val="24"/>
      <w:szCs w:val="24"/>
    </w:rPr>
  </w:style>
  <w:style w:type="paragraph" w:styleId="143">
    <w:name w:val="Знак14"/>
    <w:basedOn w:val="Normal"/>
    <w:qFormat/>
    <w:pPr>
      <w:spacing w:before="100" w:after="100"/>
    </w:pPr>
    <w:rPr>
      <w:rFonts w:ascii="Tahoma" w:hAnsi="Tahoma" w:cs="Tahoma"/>
      <w:lang w:val="en-US"/>
    </w:rPr>
  </w:style>
  <w:style w:type="paragraph" w:styleId="129">
    <w:name w:val="Название1"/>
    <w:basedOn w:val="Normal"/>
    <w:qFormat/>
    <w:pPr>
      <w:suppressLineNumbers/>
      <w:suppressAutoHyphens w:val="true"/>
      <w:spacing w:before="120" w:after="120"/>
    </w:pPr>
    <w:rPr>
      <w:rFonts w:cs="Tahoma"/>
      <w:i/>
      <w:iCs/>
    </w:rPr>
  </w:style>
  <w:style w:type="paragraph" w:styleId="130">
    <w:name w:val="Указатель1"/>
    <w:basedOn w:val="Normal"/>
    <w:qFormat/>
    <w:pPr>
      <w:suppressLineNumbers/>
      <w:suppressAutoHyphens w:val="true"/>
    </w:pPr>
    <w:rPr>
      <w:rFonts w:cs="Tahoma"/>
    </w:rPr>
  </w:style>
  <w:style w:type="paragraph" w:styleId="WW">
    <w:name w:val="WW-Заголовок"/>
    <w:basedOn w:val="Normal"/>
    <w:next w:val="Style24"/>
    <w:qFormat/>
    <w:pPr>
      <w:keepNext w:val="true"/>
      <w:suppressAutoHyphens w:val="true"/>
      <w:spacing w:before="240" w:after="120"/>
    </w:pPr>
    <w:rPr>
      <w:rFonts w:ascii="Arial" w:hAnsi="Arial" w:eastAsia="Arial Unicode MS" w:cs="Tahoma"/>
      <w:sz w:val="28"/>
      <w:szCs w:val="28"/>
    </w:rPr>
  </w:style>
  <w:style w:type="paragraph" w:styleId="Style52">
    <w:name w:val="Содержимое врезки"/>
    <w:basedOn w:val="Style24"/>
    <w:qFormat/>
    <w:pPr>
      <w:suppressAutoHyphens w:val="true"/>
    </w:pPr>
    <w:rPr>
      <w:rFonts w:cs="Times New Roman"/>
      <w:bCs w:val="false"/>
      <w:szCs w:val="20"/>
    </w:rPr>
  </w:style>
  <w:style w:type="paragraph" w:styleId="133">
    <w:name w:val="Заголовок1"/>
    <w:basedOn w:val="Normal"/>
    <w:next w:val="Style24"/>
    <w:qFormat/>
    <w:pPr>
      <w:keepNext w:val="true"/>
      <w:suppressAutoHyphens w:val="true"/>
      <w:spacing w:before="240" w:after="120"/>
    </w:pPr>
    <w:rPr>
      <w:rFonts w:ascii="Arial" w:hAnsi="Arial" w:eastAsia="Arial Unicode MS" w:cs="Tahoma"/>
      <w:sz w:val="28"/>
      <w:szCs w:val="28"/>
    </w:rPr>
  </w:style>
  <w:style w:type="paragraph" w:styleId="Font5">
    <w:name w:val="font5"/>
    <w:basedOn w:val="Normal"/>
    <w:qFormat/>
    <w:pPr>
      <w:spacing w:before="100" w:after="100"/>
    </w:pPr>
    <w:rPr>
      <w:color w:val="000000"/>
      <w:sz w:val="24"/>
      <w:szCs w:val="24"/>
    </w:rPr>
  </w:style>
  <w:style w:type="paragraph" w:styleId="Font6">
    <w:name w:val="font6"/>
    <w:basedOn w:val="Normal"/>
    <w:qFormat/>
    <w:pPr>
      <w:spacing w:before="100" w:after="100"/>
    </w:pPr>
    <w:rPr>
      <w:sz w:val="24"/>
      <w:szCs w:val="24"/>
    </w:rPr>
  </w:style>
  <w:style w:type="paragraph" w:styleId="Xl63">
    <w:name w:val="xl63"/>
    <w:basedOn w:val="Normal"/>
    <w:qFormat/>
    <w:pPr>
      <w:pBdr>
        <w:top w:val="single" w:sz="4" w:space="0" w:color="000000"/>
        <w:left w:val="single" w:sz="4" w:space="0" w:color="000000"/>
        <w:bottom w:val="single" w:sz="4" w:space="0" w:color="000000"/>
        <w:right w:val="single" w:sz="4" w:space="0" w:color="000000"/>
      </w:pBdr>
      <w:spacing w:before="100" w:after="100"/>
      <w:jc w:val="center"/>
      <w:textAlignment w:val="center"/>
    </w:pPr>
    <w:rPr>
      <w:sz w:val="24"/>
      <w:szCs w:val="24"/>
    </w:rPr>
  </w:style>
  <w:style w:type="paragraph" w:styleId="Xl64">
    <w:name w:val="xl64"/>
    <w:basedOn w:val="Normal"/>
    <w:qFormat/>
    <w:pPr>
      <w:pBdr>
        <w:top w:val="single" w:sz="4" w:space="0" w:color="000000"/>
        <w:left w:val="single" w:sz="4" w:space="0" w:color="000000"/>
        <w:bottom w:val="single" w:sz="4" w:space="0" w:color="000000"/>
        <w:right w:val="single" w:sz="4" w:space="0" w:color="000000"/>
      </w:pBdr>
      <w:spacing w:before="100" w:after="100"/>
      <w:jc w:val="center"/>
      <w:textAlignment w:val="center"/>
    </w:pPr>
    <w:rPr>
      <w:b/>
      <w:bCs/>
      <w:color w:val="000000"/>
      <w:sz w:val="24"/>
      <w:szCs w:val="24"/>
    </w:rPr>
  </w:style>
  <w:style w:type="paragraph" w:styleId="Style53">
    <w:name w:val="Содержимое таблицы"/>
    <w:basedOn w:val="Normal"/>
    <w:qFormat/>
    <w:pPr>
      <w:widowControl w:val="false"/>
      <w:suppressLineNumbers/>
    </w:pPr>
    <w:rPr/>
  </w:style>
  <w:style w:type="paragraph" w:styleId="Style54">
    <w:name w:val="Заголовок таблицы"/>
    <w:basedOn w:val="Style53"/>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F7531A6F286318C6E3083CA78D26179BF76CDAE7AE25B36598E7819AF3BDC851FA3AB80411CDB6D8E8D232C1A7F0DD1E8F2C29F9E1213D61K9v2F" TargetMode="External"/><Relationship Id="rId4" Type="http://schemas.openxmlformats.org/officeDocument/2006/relationships/hyperlink" Target="consultantplus://offline/ref=42D64CF9F4B96C871727836BC77E29A17787D40F4DE0A1FC7433D08DB90746CB555AAAA91401A8C868B53FEE785CBD31D713DE9626F9EDEA3BvEF" TargetMode="External"/><Relationship Id="rId5" Type="http://schemas.openxmlformats.org/officeDocument/2006/relationships/hyperlink" Target="consultantplus://offline/ref=268EDA1069B158F87377AD2BDFE5FA5768C90A424E148D84C1F282146C190AC1CAEF68C727C1F25494CBEE3CF8B2DF7D71BB36EC382B35C8j708F" TargetMode="External"/><Relationship Id="rId6" Type="http://schemas.openxmlformats.org/officeDocument/2006/relationships/hyperlink" Target="consultantplus://offline/ref=268EDA1069B158F87377AD2BDFE5FA5768C90A424E148D84C1F282146C190AC1CAEF68C727C1F25494CBEE3CF8B2DF7D71BB36EC382B35C8j708F" TargetMode="External"/><Relationship Id="rId7" Type="http://schemas.openxmlformats.org/officeDocument/2006/relationships/hyperlink" Target="consultantplus://offline/ref=1183EB478FB1B8F121DD7B73E034B1FBAD8CA3DC50BB847197535F0F07363D4BC422B5BE7E6B6FtEF" TargetMode="External"/><Relationship Id="rId8" Type="http://schemas.openxmlformats.org/officeDocument/2006/relationships/hyperlink" Target="consultantplus://offline/ref=1183EB478FB1B8F121DD7B73E034B1FBAD8CA3DC50BB847197535F0F07363D4BC422B5B87B626Ft5F" TargetMode="External"/><Relationship Id="rId9" Type="http://schemas.openxmlformats.org/officeDocument/2006/relationships/hyperlink" Target="consultantplus://offline/ref=1183EB478FB1B8F121DD7B73E034B1FBAD8CA3DC50BB847197535F0F07363D4BC422B5BC7E6BF3F06DtAF" TargetMode="External"/><Relationship Id="rId10" Type="http://schemas.openxmlformats.org/officeDocument/2006/relationships/hyperlink" Target="consultantplus://offline/ref=3F1302EAC6728A67476F57BCC152AF941C8587E2237F3C150484C184BE35D3B578696661E55EoCu1F" TargetMode="External"/><Relationship Id="rId11" Type="http://schemas.openxmlformats.org/officeDocument/2006/relationships/hyperlink" Target="consultantplus://offline/ref=6BF47E39319B04FB6DD9619E0D3801F34C8C5181E915A6FF8BF2CD9B6B6C95B71B7AD282A62BE079b7v9F" TargetMode="External"/><Relationship Id="rId12" Type="http://schemas.openxmlformats.org/officeDocument/2006/relationships/hyperlink" Target="consultantplus://offline/ref=1183EB478FB1B8F121DD7B73E034B1FBAD8CA3DC50BB847197535F0F07363D4BC422B5B87B626Ft5F" TargetMode="External"/><Relationship Id="rId13" Type="http://schemas.openxmlformats.org/officeDocument/2006/relationships/hyperlink" Target="consultantplus://offline/ref=F7531A6F286318C6E3083CA78D26179BF76CDAE7AE25B36598E7819AF3BDC851FA3AB80411CDB6D8E8D232C1A7F0DD1E8F2C29F9E1213D61K9v2F" TargetMode="External"/><Relationship Id="rId14" Type="http://schemas.openxmlformats.org/officeDocument/2006/relationships/hyperlink" Target="consultantplus://offline/ref=42D64CF9F4B96C871727836BC77E29A17787D40F4DE0A1FC7433D08DB90746CB555AAAA91401A8C868B53FEE785CBD31D713DE9626F9EDEA3BvEF" TargetMode="External"/><Relationship Id="rId15" Type="http://schemas.openxmlformats.org/officeDocument/2006/relationships/numbering" Target="numbering.xml"/><Relationship Id="rId16" Type="http://schemas.openxmlformats.org/officeDocument/2006/relationships/fontTable" Target="fontTable.xml"/><Relationship Id="rId1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257</TotalTime>
  <Application>LibreOffice/7.2.4.1$Windows_X86_64 LibreOffice_project/27d75539669ac387bb498e35313b970b7fe9c4f9</Application>
  <AppVersion>15.0000</AppVersion>
  <Pages>144</Pages>
  <Words>32182</Words>
  <Characters>212991</Characters>
  <CharactersWithSpaces>236251</CharactersWithSpaces>
  <Paragraphs>11540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2016-02-04T16:47:00Z</dcterms:created>
  <dc:creator>Катышева Е. В.</dc:creator>
  <dc:description/>
  <cp:keywords> </cp:keywords>
  <dc:language>ru-RU</dc:language>
  <cp:lastModifiedBy>ЗС</cp:lastModifiedBy>
  <cp:lastPrinted>2021-12-23T08:13:00Z</cp:lastPrinted>
  <dcterms:modified xsi:type="dcterms:W3CDTF">2021-12-23T09:28:00Z</dcterms:modified>
  <cp:revision>31</cp:revision>
  <dc:subject/>
  <dc:title>ПОСТАНОВЛЕНИЕ</dc:title>
</cp:coreProperties>
</file>