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szCs w:val="28"/>
        </w:rPr>
      </w:pPr>
      <w:r>
        <w:rPr>
          <w:szCs w:val="28"/>
        </w:rPr>
        <w:drawing>
          <wp:inline distT="0" distB="0" distL="0" distR="0">
            <wp:extent cx="632460" cy="608330"/>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48" t="-50" r="-48" b="-50"/>
                    <a:stretch>
                      <a:fillRect/>
                    </a:stretch>
                  </pic:blipFill>
                  <pic:spPr bwMode="auto">
                    <a:xfrm>
                      <a:off x="0" y="0"/>
                      <a:ext cx="632460" cy="608330"/>
                    </a:xfrm>
                    <a:prstGeom prst="rect">
                      <a:avLst/>
                    </a:prstGeom>
                  </pic:spPr>
                </pic:pic>
              </a:graphicData>
            </a:graphic>
          </wp:inline>
        </w:drawing>
      </w:r>
    </w:p>
    <w:p>
      <w:pPr>
        <w:pStyle w:val="Normal"/>
        <w:spacing w:lineRule="auto" w:line="216" w:before="40" w:after="0"/>
        <w:jc w:val="center"/>
        <w:rPr>
          <w:b/>
          <w:b/>
          <w:kern w:val="2"/>
          <w:sz w:val="32"/>
          <w:szCs w:val="32"/>
        </w:rPr>
      </w:pPr>
      <w:r>
        <w:rPr>
          <w:b/>
          <w:kern w:val="2"/>
          <w:sz w:val="32"/>
          <w:szCs w:val="32"/>
        </w:rPr>
      </w:r>
    </w:p>
    <w:p>
      <w:pPr>
        <w:pStyle w:val="Normal"/>
        <w:spacing w:lineRule="auto" w:line="216" w:before="40" w:after="0"/>
        <w:jc w:val="center"/>
        <w:rPr>
          <w:b/>
          <w:b/>
          <w:kern w:val="2"/>
          <w:sz w:val="28"/>
          <w:szCs w:val="28"/>
        </w:rPr>
      </w:pPr>
      <w:r>
        <w:rPr>
          <w:b/>
          <w:kern w:val="2"/>
          <w:sz w:val="28"/>
          <w:szCs w:val="28"/>
        </w:rPr>
        <w:t>ЗЕМСКОЕ СОБРАНИЕ</w:t>
      </w:r>
    </w:p>
    <w:p>
      <w:pPr>
        <w:pStyle w:val="Normal"/>
        <w:spacing w:lineRule="auto" w:line="216" w:before="40" w:after="0"/>
        <w:jc w:val="center"/>
        <w:rPr>
          <w:b/>
          <w:b/>
          <w:kern w:val="2"/>
          <w:sz w:val="28"/>
          <w:szCs w:val="28"/>
        </w:rPr>
      </w:pPr>
      <w:r>
        <w:rPr>
          <w:b/>
          <w:kern w:val="2"/>
          <w:sz w:val="28"/>
          <w:szCs w:val="28"/>
        </w:rPr>
        <w:t>ШАРАНГСКОГО МУНИЦИПАЛЬНОГО РАЙОНА</w:t>
      </w:r>
    </w:p>
    <w:p>
      <w:pPr>
        <w:pStyle w:val="1"/>
        <w:rPr>
          <w:sz w:val="28"/>
          <w:szCs w:val="28"/>
        </w:rPr>
      </w:pPr>
      <w:r>
        <w:rPr>
          <w:sz w:val="28"/>
          <w:szCs w:val="28"/>
        </w:rPr>
        <w:t>НИЖЕГОРОДСКОЙ ОБЛАСТИ</w:t>
      </w:r>
    </w:p>
    <w:p>
      <w:pPr>
        <w:pStyle w:val="1"/>
        <w:rPr>
          <w:spacing w:val="60"/>
          <w:sz w:val="28"/>
          <w:szCs w:val="28"/>
        </w:rPr>
      </w:pPr>
      <w:r>
        <w:rPr>
          <w:spacing w:val="60"/>
          <w:sz w:val="28"/>
          <w:szCs w:val="28"/>
        </w:rPr>
      </w:r>
    </w:p>
    <w:p>
      <w:pPr>
        <w:pStyle w:val="1"/>
        <w:ind w:left="142" w:hanging="142"/>
        <w:rPr>
          <w:spacing w:val="60"/>
          <w:sz w:val="28"/>
          <w:szCs w:val="28"/>
        </w:rPr>
      </w:pPr>
      <w:r>
        <w:rPr>
          <w:spacing w:val="60"/>
          <w:sz w:val="28"/>
          <w:szCs w:val="28"/>
        </w:rPr>
        <w:t>РЕШЕНИЕ</w:t>
      </w:r>
    </w:p>
    <w:p>
      <w:pPr>
        <w:pStyle w:val="Normal"/>
        <w:jc w:val="both"/>
        <w:rPr>
          <w:spacing w:val="60"/>
          <w:sz w:val="28"/>
          <w:szCs w:val="28"/>
          <w:lang w:val="ru-RU" w:eastAsia="ru-RU"/>
        </w:rPr>
      </w:pPr>
      <w:r>
        <w:rPr>
          <w:spacing w:val="60"/>
          <w:sz w:val="28"/>
          <w:szCs w:val="28"/>
          <w:lang w:val="ru-RU" w:eastAsia="ru-RU"/>
        </w:rPr>
      </w:r>
      <w:r>
        <mc:AlternateContent>
          <mc:Choice Requires="wps">
            <w:drawing>
              <wp:anchor behindDoc="0" distT="0" distB="0" distL="114935" distR="114935" simplePos="0" locked="0" layoutInCell="0" allowOverlap="1" relativeHeight="6">
                <wp:simplePos x="0" y="0"/>
                <wp:positionH relativeFrom="column">
                  <wp:posOffset>4643120</wp:posOffset>
                </wp:positionH>
                <wp:positionV relativeFrom="paragraph">
                  <wp:posOffset>40005</wp:posOffset>
                </wp:positionV>
                <wp:extent cx="1228725" cy="320040"/>
                <wp:effectExtent l="0" t="0" r="0" b="0"/>
                <wp:wrapNone/>
                <wp:docPr id="2" name="Врезка1"/>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jc w:val="center"/>
                              <w:rPr>
                                <w:sz w:val="28"/>
                                <w:szCs w:val="28"/>
                              </w:rPr>
                            </w:pPr>
                            <w:r>
                              <w:rPr>
                                <w:sz w:val="28"/>
                                <w:szCs w:val="28"/>
                              </w:rPr>
                              <w:t>44</w:t>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365.6pt;mso-position-horizontal-relative:text">
                <v:fill opacity="0f"/>
                <v:textbox inset="0.100694444444444in,0.0506944444444444in,0.100694444444444in,0.0506944444444444in">
                  <w:txbxContent>
                    <w:p>
                      <w:pPr>
                        <w:pStyle w:val="Normal"/>
                        <w:jc w:val="center"/>
                        <w:rPr>
                          <w:sz w:val="28"/>
                          <w:szCs w:val="28"/>
                        </w:rPr>
                      </w:pPr>
                      <w:r>
                        <w:rPr>
                          <w:sz w:val="28"/>
                          <w:szCs w:val="28"/>
                        </w:rPr>
                        <w:t>44</w:t>
                      </w:r>
                    </w:p>
                  </w:txbxContent>
                </v:textbox>
                <w10:wrap type="none"/>
              </v:rect>
            </w:pict>
          </mc:Fallback>
        </mc:AlternateContent>
      </w:r>
      <w:r>
        <mc:AlternateContent>
          <mc:Choice Requires="wps">
            <w:drawing>
              <wp:anchor behindDoc="0" distT="0" distB="0" distL="114935" distR="114935" simplePos="0" locked="0" layoutInCell="0" allowOverlap="1" relativeHeight="5">
                <wp:simplePos x="0" y="0"/>
                <wp:positionH relativeFrom="column">
                  <wp:posOffset>261620</wp:posOffset>
                </wp:positionH>
                <wp:positionV relativeFrom="paragraph">
                  <wp:posOffset>40005</wp:posOffset>
                </wp:positionV>
                <wp:extent cx="1228725" cy="320040"/>
                <wp:effectExtent l="0" t="0" r="0" b="0"/>
                <wp:wrapNone/>
                <wp:docPr id="3" name="Врезка2"/>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 w:val="28"/>
                                <w:szCs w:val="28"/>
                              </w:rPr>
                            </w:pPr>
                            <w:r>
                              <w:rPr>
                                <w:sz w:val="28"/>
                                <w:szCs w:val="28"/>
                              </w:rPr>
                              <w:t>25.11.2021</w:t>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20.6pt;mso-position-horizontal-relative:text">
                <v:fill opacity="0f"/>
                <v:textbox inset="0.100694444444444in,0.0506944444444444in,0.100694444444444in,0.0506944444444444in">
                  <w:txbxContent>
                    <w:p>
                      <w:pPr>
                        <w:pStyle w:val="Normal"/>
                        <w:rPr>
                          <w:sz w:val="28"/>
                          <w:szCs w:val="28"/>
                        </w:rPr>
                      </w:pPr>
                      <w:r>
                        <w:rPr>
                          <w:sz w:val="28"/>
                          <w:szCs w:val="28"/>
                        </w:rPr>
                        <w:t>25.11.2021</w:t>
                      </w:r>
                    </w:p>
                  </w:txbxContent>
                </v:textbox>
                <w10:wrap type="none"/>
              </v:rect>
            </w:pict>
          </mc:Fallback>
        </mc:AlternateContent>
      </w:r>
    </w:p>
    <w:p>
      <w:pPr>
        <w:pStyle w:val="Normal"/>
        <w:tabs>
          <w:tab w:val="clear" w:pos="720"/>
          <w:tab w:val="left" w:pos="6946" w:leader="none"/>
        </w:tabs>
        <w:rPr>
          <w:sz w:val="28"/>
          <w:szCs w:val="28"/>
        </w:rPr>
      </w:pPr>
      <w:r>
        <mc:AlternateContent>
          <mc:Choice Requires="wps">
            <w:drawing>
              <wp:anchor behindDoc="0" distT="4445" distB="4445" distL="119380" distR="119380" simplePos="0" locked="0" layoutInCell="0" allowOverlap="1" relativeHeight="3">
                <wp:simplePos x="0" y="0"/>
                <wp:positionH relativeFrom="column">
                  <wp:posOffset>294005</wp:posOffset>
                </wp:positionH>
                <wp:positionV relativeFrom="paragraph">
                  <wp:posOffset>156210</wp:posOffset>
                </wp:positionV>
                <wp:extent cx="1257935" cy="635"/>
                <wp:effectExtent l="0" t="0" r="0" b="0"/>
                <wp:wrapNone/>
                <wp:docPr id="4" name=""/>
                <a:graphic xmlns:a="http://schemas.openxmlformats.org/drawingml/2006/main">
                  <a:graphicData uri="http://schemas.microsoft.com/office/word/2010/wordprocessingShape">
                    <wps:wsp>
                      <wps:cNvSpPr/>
                      <wps:spPr>
                        <a:xfrm>
                          <a:off x="0" y="0"/>
                          <a:ext cx="1257480" cy="0"/>
                        </a:xfrm>
                        <a:prstGeom prst="line">
                          <a:avLst/>
                        </a:prstGeom>
                        <a:ln w="9360">
                          <a:solidFill>
                            <a:srgbClr val="000000"/>
                          </a:solidFill>
                          <a:miter/>
                        </a:ln>
                      </wps:spPr>
                      <wps:style>
                        <a:lnRef idx="0"/>
                        <a:fillRef idx="0"/>
                        <a:effectRef idx="0"/>
                        <a:fontRef idx="minor"/>
                      </wps:style>
                      <wps:bodyPr/>
                    </wps:wsp>
                  </a:graphicData>
                </a:graphic>
              </wp:anchor>
            </w:drawing>
          </mc:Choice>
          <mc:Fallback>
            <w:pict>
              <v:line id="shape_0" from="23.15pt,12.3pt" to="122.1pt,12.3pt" stroked="t" o:allowincell="f" style="position:absolute">
                <v:stroke color="black" weight="9360" joinstyle="miter" endcap="flat"/>
                <v:fill o:detectmouseclick="t" on="false"/>
                <w10:wrap type="none"/>
              </v:line>
            </w:pict>
          </mc:Fallback>
        </mc:AlternateContent>
        <mc:AlternateContent>
          <mc:Choice Requires="wps">
            <w:drawing>
              <wp:anchor behindDoc="0" distT="4445" distB="4445" distL="119380" distR="119380" simplePos="0" locked="0" layoutInCell="0" allowOverlap="1" relativeHeight="4">
                <wp:simplePos x="0" y="0"/>
                <wp:positionH relativeFrom="column">
                  <wp:posOffset>4688205</wp:posOffset>
                </wp:positionH>
                <wp:positionV relativeFrom="paragraph">
                  <wp:posOffset>156210</wp:posOffset>
                </wp:positionV>
                <wp:extent cx="1118235" cy="635"/>
                <wp:effectExtent l="0" t="0" r="0" b="0"/>
                <wp:wrapNone/>
                <wp:docPr id="5" name=""/>
                <a:graphic xmlns:a="http://schemas.openxmlformats.org/drawingml/2006/main">
                  <a:graphicData uri="http://schemas.microsoft.com/office/word/2010/wordprocessingShape">
                    <wps:wsp>
                      <wps:cNvSpPr/>
                      <wps:spPr>
                        <a:xfrm>
                          <a:off x="0" y="0"/>
                          <a:ext cx="1117440" cy="0"/>
                        </a:xfrm>
                        <a:prstGeom prst="line">
                          <a:avLst/>
                        </a:prstGeom>
                        <a:ln w="9360">
                          <a:solidFill>
                            <a:srgbClr val="000000"/>
                          </a:solidFill>
                          <a:miter/>
                        </a:ln>
                      </wps:spPr>
                      <wps:style>
                        <a:lnRef idx="0"/>
                        <a:fillRef idx="0"/>
                        <a:effectRef idx="0"/>
                        <a:fontRef idx="minor"/>
                      </wps:style>
                      <wps:bodyPr/>
                    </wps:wsp>
                  </a:graphicData>
                </a:graphic>
              </wp:anchor>
            </w:drawing>
          </mc:Choice>
          <mc:Fallback>
            <w:pict>
              <v:line id="shape_0" from="369.15pt,12.3pt" to="457.1pt,12.3pt" stroked="t" o:allowincell="f" style="position:absolute">
                <v:stroke color="black" weight="9360" joinstyle="miter" endcap="flat"/>
                <v:fill o:detectmouseclick="t" on="false"/>
                <w10:wrap type="none"/>
              </v:line>
            </w:pict>
          </mc:Fallback>
        </mc:AlternateContent>
      </w:r>
      <w:r>
        <w:rPr>
          <w:sz w:val="28"/>
          <w:szCs w:val="28"/>
        </w:rPr>
        <w:t>от</w:t>
        <w:tab/>
        <w:t xml:space="preserve">№ </w:t>
      </w:r>
    </w:p>
    <w:p>
      <w:pPr>
        <w:pStyle w:val="Normal"/>
        <w:jc w:val="center"/>
        <w:rPr>
          <w:b/>
          <w:b/>
          <w:sz w:val="28"/>
          <w:szCs w:val="28"/>
        </w:rPr>
      </w:pPr>
      <w:r>
        <w:rPr>
          <w:b/>
          <w:sz w:val="28"/>
          <w:szCs w:val="28"/>
        </w:rPr>
      </w:r>
    </w:p>
    <w:p>
      <w:pPr>
        <w:pStyle w:val="Normal"/>
        <w:jc w:val="center"/>
        <w:rPr/>
      </w:pPr>
      <w:r>
        <w:rPr>
          <w:b/>
          <w:sz w:val="28"/>
          <w:szCs w:val="28"/>
        </w:rPr>
        <w:t xml:space="preserve">О внесении изменений в решение Земского собрания Шарангского муниципального района от 24.12.2020 г. №42 </w:t>
      </w:r>
    </w:p>
    <w:p>
      <w:pPr>
        <w:pStyle w:val="Normal"/>
        <w:jc w:val="center"/>
        <w:rPr/>
      </w:pPr>
      <w:r>
        <w:rPr>
          <w:b/>
          <w:sz w:val="28"/>
          <w:szCs w:val="28"/>
        </w:rPr>
        <w:t>«О районном бюджете на 2021 год и на плановый</w:t>
      </w:r>
    </w:p>
    <w:p>
      <w:pPr>
        <w:pStyle w:val="Normal"/>
        <w:jc w:val="center"/>
        <w:rPr>
          <w:b/>
          <w:b/>
          <w:sz w:val="28"/>
          <w:szCs w:val="28"/>
        </w:rPr>
      </w:pPr>
      <w:r>
        <w:rPr>
          <w:b/>
          <w:sz w:val="28"/>
          <w:szCs w:val="28"/>
        </w:rPr>
        <w:t>период 2022 и 2023 годов»</w:t>
      </w:r>
    </w:p>
    <w:p>
      <w:pPr>
        <w:pStyle w:val="Normal"/>
        <w:tabs>
          <w:tab w:val="clear" w:pos="720"/>
          <w:tab w:val="left" w:pos="0" w:leader="none"/>
        </w:tabs>
        <w:ind w:firstLine="567"/>
        <w:rPr>
          <w:b/>
          <w:b/>
          <w:sz w:val="28"/>
          <w:szCs w:val="28"/>
        </w:rPr>
      </w:pPr>
      <w:r>
        <w:rPr>
          <w:b/>
          <w:sz w:val="28"/>
          <w:szCs w:val="28"/>
        </w:rPr>
      </w:r>
    </w:p>
    <w:p>
      <w:pPr>
        <w:pStyle w:val="Normal"/>
        <w:tabs>
          <w:tab w:val="clear" w:pos="720"/>
          <w:tab w:val="left" w:pos="0" w:leader="none"/>
        </w:tabs>
        <w:ind w:firstLine="567"/>
        <w:rPr>
          <w:b/>
          <w:b/>
          <w:sz w:val="28"/>
          <w:szCs w:val="28"/>
        </w:rPr>
      </w:pPr>
      <w:r>
        <w:rPr>
          <w:b/>
          <w:sz w:val="28"/>
          <w:szCs w:val="28"/>
        </w:rPr>
        <w:t>Статья 1.</w:t>
      </w:r>
    </w:p>
    <w:p>
      <w:pPr>
        <w:pStyle w:val="Normal"/>
        <w:tabs>
          <w:tab w:val="clear" w:pos="720"/>
          <w:tab w:val="left" w:pos="0" w:leader="none"/>
        </w:tabs>
        <w:ind w:firstLine="567"/>
        <w:rPr>
          <w:b/>
          <w:b/>
          <w:sz w:val="28"/>
          <w:szCs w:val="28"/>
        </w:rPr>
      </w:pPr>
      <w:r>
        <w:rPr>
          <w:b/>
          <w:sz w:val="28"/>
          <w:szCs w:val="28"/>
        </w:rPr>
      </w:r>
    </w:p>
    <w:p>
      <w:pPr>
        <w:pStyle w:val="Normal"/>
        <w:tabs>
          <w:tab w:val="clear" w:pos="720"/>
          <w:tab w:val="left" w:pos="0" w:leader="none"/>
        </w:tabs>
        <w:ind w:firstLine="567"/>
        <w:jc w:val="both"/>
        <w:rPr/>
      </w:pPr>
      <w:r>
        <w:rPr>
          <w:sz w:val="28"/>
          <w:szCs w:val="28"/>
        </w:rPr>
        <w:t>Внести в решение Земского собрания Шарангского муниципального района от 24.12.2020 г. №42 «О районном бюджете на 2021 год и на плановый период 2022 и 2023 годов» (с изменениями, внесенными решениями Земского собрания Шарангского муниципального района №1 от 25.02.2021 г., №12 от 29.04.2021 г., №18 от 07.06.2021 г., №19 от 24.06.2021 г., №25 от 29.07.2021 г., №30 от 29.09.2021 г.) следующие изменения:</w:t>
      </w:r>
    </w:p>
    <w:p>
      <w:pPr>
        <w:pStyle w:val="Normal"/>
        <w:tabs>
          <w:tab w:val="clear" w:pos="720"/>
          <w:tab w:val="left" w:pos="0" w:leader="none"/>
        </w:tabs>
        <w:ind w:firstLine="567"/>
        <w:jc w:val="both"/>
        <w:rPr>
          <w:sz w:val="28"/>
          <w:szCs w:val="28"/>
        </w:rPr>
      </w:pPr>
      <w:r>
        <w:rPr>
          <w:sz w:val="28"/>
          <w:szCs w:val="28"/>
        </w:rPr>
      </w:r>
    </w:p>
    <w:p>
      <w:pPr>
        <w:pStyle w:val="Style33"/>
        <w:numPr>
          <w:ilvl w:val="0"/>
          <w:numId w:val="3"/>
        </w:numPr>
        <w:tabs>
          <w:tab w:val="clear" w:pos="720"/>
          <w:tab w:val="left" w:pos="0" w:leader="none"/>
        </w:tabs>
        <w:spacing w:lineRule="auto" w:line="240" w:before="0" w:after="0"/>
        <w:contextualSpacing w:val="false"/>
        <w:jc w:val="both"/>
        <w:rPr>
          <w:rFonts w:ascii="Times New Roman" w:hAnsi="Times New Roman" w:cs="Times New Roman"/>
          <w:sz w:val="28"/>
          <w:szCs w:val="28"/>
        </w:rPr>
      </w:pPr>
      <w:r>
        <w:rPr>
          <w:rFonts w:cs="Times New Roman" w:ascii="Times New Roman" w:hAnsi="Times New Roman"/>
          <w:sz w:val="28"/>
          <w:szCs w:val="28"/>
        </w:rPr>
        <w:t>Статью 1 изложить в следующей редакции:</w:t>
      </w:r>
    </w:p>
    <w:p>
      <w:pPr>
        <w:pStyle w:val="Style33"/>
        <w:tabs>
          <w:tab w:val="clear" w:pos="720"/>
          <w:tab w:val="left" w:pos="0" w:leader="none"/>
        </w:tabs>
        <w:spacing w:before="0" w:after="200"/>
        <w:ind w:left="567" w:hanging="0"/>
        <w:contextualSpacing w:val="false"/>
        <w:jc w:val="both"/>
        <w:rPr>
          <w:rFonts w:ascii="Times New Roman" w:hAnsi="Times New Roman" w:cs="Times New Roman"/>
          <w:sz w:val="28"/>
          <w:szCs w:val="28"/>
        </w:rPr>
      </w:pPr>
      <w:r>
        <w:rPr>
          <w:rFonts w:cs="Times New Roman" w:ascii="Times New Roman" w:hAnsi="Times New Roman"/>
          <w:sz w:val="28"/>
          <w:szCs w:val="28"/>
        </w:rPr>
      </w:r>
    </w:p>
    <w:p>
      <w:pPr>
        <w:pStyle w:val="Style33"/>
        <w:tabs>
          <w:tab w:val="clear" w:pos="720"/>
          <w:tab w:val="left" w:pos="0" w:leader="none"/>
        </w:tabs>
        <w:spacing w:before="0" w:after="200"/>
        <w:ind w:left="567" w:hanging="0"/>
        <w:contextualSpacing w:val="false"/>
        <w:jc w:val="both"/>
        <w:rPr/>
      </w:pPr>
      <w:r>
        <w:rPr>
          <w:rFonts w:cs="Times New Roman" w:ascii="Times New Roman" w:hAnsi="Times New Roman"/>
          <w:b/>
          <w:sz w:val="28"/>
          <w:szCs w:val="28"/>
        </w:rPr>
        <w:t>«Статья 1.</w:t>
      </w:r>
    </w:p>
    <w:p>
      <w:pPr>
        <w:pStyle w:val="Normal"/>
        <w:tabs>
          <w:tab w:val="clear" w:pos="720"/>
          <w:tab w:val="left" w:pos="0" w:leader="none"/>
        </w:tabs>
        <w:jc w:val="both"/>
        <w:rPr/>
      </w:pPr>
      <w:r>
        <w:rPr>
          <w:rFonts w:eastAsia="Calibri" w:cs="Calibri" w:ascii="Calibri" w:hAnsi="Calibri"/>
          <w:b/>
          <w:sz w:val="28"/>
          <w:szCs w:val="28"/>
          <w:lang w:eastAsia="en-US"/>
        </w:rPr>
        <w:tab/>
      </w:r>
      <w:r>
        <w:rPr>
          <w:sz w:val="28"/>
          <w:szCs w:val="28"/>
        </w:rPr>
        <w:t>1. Утвердить основные характеристики районного бюджета на 2021 год:</w:t>
      </w:r>
    </w:p>
    <w:p>
      <w:pPr>
        <w:pStyle w:val="Normal"/>
        <w:tabs>
          <w:tab w:val="clear" w:pos="720"/>
          <w:tab w:val="left" w:pos="0" w:leader="none"/>
        </w:tabs>
        <w:ind w:firstLine="567"/>
        <w:jc w:val="both"/>
        <w:rPr/>
      </w:pPr>
      <w:r>
        <w:rPr>
          <w:sz w:val="28"/>
          <w:szCs w:val="28"/>
        </w:rPr>
        <w:t>1) общий объем доходов в сумме 700 721,2 тыс. рублей;</w:t>
      </w:r>
    </w:p>
    <w:p>
      <w:pPr>
        <w:pStyle w:val="Normal"/>
        <w:tabs>
          <w:tab w:val="clear" w:pos="720"/>
          <w:tab w:val="left" w:pos="0" w:leader="none"/>
        </w:tabs>
        <w:ind w:firstLine="567"/>
        <w:jc w:val="both"/>
        <w:rPr/>
      </w:pPr>
      <w:r>
        <w:rPr>
          <w:sz w:val="28"/>
          <w:szCs w:val="28"/>
        </w:rPr>
        <w:t>2) общий объем расходов в сумме 718 036,0 тыс. рублей;</w:t>
      </w:r>
    </w:p>
    <w:p>
      <w:pPr>
        <w:pStyle w:val="Normal"/>
        <w:tabs>
          <w:tab w:val="clear" w:pos="720"/>
          <w:tab w:val="left" w:pos="0" w:leader="none"/>
        </w:tabs>
        <w:ind w:firstLine="567"/>
        <w:jc w:val="both"/>
        <w:rPr/>
      </w:pPr>
      <w:r>
        <w:rPr>
          <w:sz w:val="28"/>
          <w:szCs w:val="28"/>
        </w:rPr>
        <w:t>3) размер дефицита в сумме  17 314,8  тыс. рублей.</w:t>
      </w:r>
    </w:p>
    <w:p>
      <w:pPr>
        <w:pStyle w:val="Normal"/>
        <w:tabs>
          <w:tab w:val="clear" w:pos="720"/>
          <w:tab w:val="left" w:pos="567" w:leader="none"/>
        </w:tabs>
        <w:ind w:firstLine="567"/>
        <w:jc w:val="both"/>
        <w:rPr>
          <w:sz w:val="28"/>
          <w:szCs w:val="28"/>
        </w:rPr>
      </w:pPr>
      <w:r>
        <w:rPr>
          <w:sz w:val="28"/>
          <w:szCs w:val="28"/>
        </w:rPr>
        <w:t>2. Утвердить основные характеристики районного бюджета на плановый период 2022 и 2023 годов:</w:t>
      </w:r>
    </w:p>
    <w:p>
      <w:pPr>
        <w:pStyle w:val="Normal"/>
        <w:tabs>
          <w:tab w:val="clear" w:pos="720"/>
          <w:tab w:val="left" w:pos="567" w:leader="none"/>
        </w:tabs>
        <w:ind w:firstLine="567"/>
        <w:jc w:val="both"/>
        <w:rPr/>
      </w:pPr>
      <w:r>
        <w:rPr>
          <w:sz w:val="28"/>
          <w:szCs w:val="28"/>
        </w:rPr>
        <w:t>1) общий объем доходов на 2022 год в сумме 548 674,6 тыс. рублей, на 2023 год в сумме 611 449,3 тыс. рублей;</w:t>
      </w:r>
    </w:p>
    <w:p>
      <w:pPr>
        <w:pStyle w:val="Normal"/>
        <w:tabs>
          <w:tab w:val="clear" w:pos="720"/>
          <w:tab w:val="left" w:pos="567" w:leader="none"/>
        </w:tabs>
        <w:ind w:firstLine="567"/>
        <w:jc w:val="both"/>
        <w:rPr/>
      </w:pPr>
      <w:r>
        <w:rPr>
          <w:sz w:val="28"/>
          <w:szCs w:val="28"/>
        </w:rPr>
        <w:t xml:space="preserve"> </w:t>
      </w:r>
      <w:r>
        <w:rPr>
          <w:sz w:val="28"/>
          <w:szCs w:val="28"/>
        </w:rPr>
        <w:t>2) общий объем расходов на 2022  год в сумме  548 674,6 тыс. рублей, в том числе условно утверждаемые расходы в сумме 7 500,0 тыс. рублей,  на 2023 год в сумме  611 449,3 тыс. рублей, в том числе условно утверждаемые расходы в сумме 14 600,0 тыс. рублей;</w:t>
      </w:r>
    </w:p>
    <w:p>
      <w:pPr>
        <w:pStyle w:val="Normal"/>
        <w:tabs>
          <w:tab w:val="clear" w:pos="720"/>
          <w:tab w:val="left" w:pos="567" w:leader="none"/>
        </w:tabs>
        <w:ind w:firstLine="567"/>
        <w:jc w:val="both"/>
        <w:rPr/>
      </w:pPr>
      <w:r>
        <w:rPr>
          <w:sz w:val="28"/>
          <w:szCs w:val="28"/>
        </w:rPr>
        <w:t xml:space="preserve">  </w:t>
      </w:r>
      <w:r>
        <w:rPr>
          <w:sz w:val="28"/>
          <w:szCs w:val="28"/>
        </w:rPr>
        <w:t>3) размер дефицита на 2022 год в сумме 0,0 тыс. рублей, на 2023 год в сумме 0,0 тыс. рублей.»;</w:t>
      </w:r>
    </w:p>
    <w:p>
      <w:pPr>
        <w:pStyle w:val="Normal"/>
        <w:tabs>
          <w:tab w:val="clear" w:pos="720"/>
          <w:tab w:val="left" w:pos="567" w:leader="none"/>
        </w:tabs>
        <w:ind w:firstLine="567"/>
        <w:jc w:val="both"/>
        <w:rPr>
          <w:sz w:val="28"/>
          <w:szCs w:val="28"/>
        </w:rPr>
      </w:pPr>
      <w:r>
        <w:rPr>
          <w:sz w:val="28"/>
          <w:szCs w:val="28"/>
        </w:rPr>
      </w:r>
    </w:p>
    <w:p>
      <w:pPr>
        <w:pStyle w:val="Style33"/>
        <w:tabs>
          <w:tab w:val="clear" w:pos="720"/>
          <w:tab w:val="left" w:pos="0" w:leader="none"/>
          <w:tab w:val="left" w:pos="567" w:leader="none"/>
        </w:tabs>
        <w:spacing w:before="0" w:after="200"/>
        <w:ind w:left="0" w:firstLine="567"/>
        <w:contextualSpacing w:val="false"/>
        <w:jc w:val="both"/>
        <w:rPr/>
      </w:pPr>
      <w:r>
        <w:rPr>
          <w:sz w:val="28"/>
          <w:szCs w:val="28"/>
        </w:rPr>
        <w:t xml:space="preserve">2) </w:t>
      </w:r>
      <w:r>
        <w:rPr>
          <w:rFonts w:cs="Times New Roman" w:ascii="Times New Roman" w:hAnsi="Times New Roman"/>
          <w:sz w:val="28"/>
          <w:szCs w:val="28"/>
        </w:rPr>
        <w:t>Приложение 3 «Поступление доходов по группам, подгруппам и статьям бюджетной классификации на 2021 год и на плановый период 2022 и 2023 годов» изложить в новой редакции;</w:t>
      </w:r>
    </w:p>
    <w:p>
      <w:pPr>
        <w:pStyle w:val="Normal"/>
        <w:tabs>
          <w:tab w:val="clear" w:pos="720"/>
          <w:tab w:val="left" w:pos="0" w:leader="none"/>
          <w:tab w:val="left" w:pos="567" w:leader="none"/>
        </w:tabs>
        <w:jc w:val="both"/>
        <w:rPr>
          <w:rFonts w:ascii="Times New Roman" w:hAnsi="Times New Roman" w:cs="Times New Roman"/>
          <w:sz w:val="28"/>
          <w:szCs w:val="28"/>
        </w:rPr>
      </w:pPr>
      <w:r>
        <w:rPr>
          <w:rFonts w:cs="Times New Roman"/>
          <w:sz w:val="28"/>
          <w:szCs w:val="28"/>
        </w:rPr>
      </w:r>
    </w:p>
    <w:p>
      <w:pPr>
        <w:pStyle w:val="Style33"/>
        <w:tabs>
          <w:tab w:val="clear" w:pos="720"/>
          <w:tab w:val="left" w:pos="0" w:leader="none"/>
          <w:tab w:val="left" w:pos="567" w:leader="none"/>
        </w:tabs>
        <w:spacing w:before="0" w:after="200"/>
        <w:ind w:left="0" w:firstLine="567"/>
        <w:contextualSpacing w:val="false"/>
        <w:jc w:val="both"/>
        <w:rPr>
          <w:rFonts w:ascii="Times New Roman" w:hAnsi="Times New Roman" w:cs="Times New Roman"/>
          <w:sz w:val="28"/>
          <w:szCs w:val="28"/>
        </w:rPr>
      </w:pPr>
      <w:r>
        <w:rPr>
          <w:rFonts w:cs="Times New Roman" w:ascii="Times New Roman" w:hAnsi="Times New Roman"/>
          <w:sz w:val="28"/>
          <w:szCs w:val="28"/>
        </w:rPr>
        <w:t>3) Статью 5 изложить в следующей редакции:</w:t>
      </w:r>
    </w:p>
    <w:p>
      <w:pPr>
        <w:pStyle w:val="Normal"/>
        <w:tabs>
          <w:tab w:val="clear" w:pos="720"/>
          <w:tab w:val="left" w:pos="0" w:leader="none"/>
          <w:tab w:val="left" w:pos="567" w:leader="none"/>
        </w:tabs>
        <w:ind w:firstLine="567"/>
        <w:jc w:val="both"/>
        <w:rPr>
          <w:b/>
          <w:b/>
          <w:sz w:val="28"/>
          <w:szCs w:val="28"/>
        </w:rPr>
      </w:pPr>
      <w:r>
        <w:rPr>
          <w:b/>
          <w:sz w:val="28"/>
          <w:szCs w:val="28"/>
        </w:rPr>
        <w:t>«Статья 5.</w:t>
      </w:r>
    </w:p>
    <w:p>
      <w:pPr>
        <w:pStyle w:val="Normal"/>
        <w:tabs>
          <w:tab w:val="clear" w:pos="720"/>
          <w:tab w:val="left" w:pos="0" w:leader="none"/>
          <w:tab w:val="left" w:pos="567" w:leader="none"/>
        </w:tabs>
        <w:ind w:firstLine="567"/>
        <w:jc w:val="both"/>
        <w:rPr>
          <w:b/>
          <w:b/>
          <w:sz w:val="28"/>
          <w:szCs w:val="28"/>
        </w:rPr>
      </w:pPr>
      <w:r>
        <w:rPr>
          <w:b/>
          <w:sz w:val="28"/>
          <w:szCs w:val="28"/>
        </w:rPr>
      </w:r>
    </w:p>
    <w:p>
      <w:pPr>
        <w:pStyle w:val="Normal"/>
        <w:tabs>
          <w:tab w:val="clear" w:pos="720"/>
          <w:tab w:val="left" w:pos="0" w:leader="none"/>
          <w:tab w:val="left" w:pos="567" w:leader="none"/>
        </w:tabs>
        <w:ind w:firstLine="567"/>
        <w:jc w:val="both"/>
        <w:rPr>
          <w:sz w:val="28"/>
          <w:szCs w:val="28"/>
        </w:rPr>
      </w:pPr>
      <w:r>
        <w:rPr>
          <w:sz w:val="28"/>
          <w:szCs w:val="28"/>
        </w:rPr>
        <w:t>Утвердить объем безвозмездных поступлений, получаемых из других бюджетов бюджетной системы Российской Федерации:</w:t>
      </w:r>
    </w:p>
    <w:p>
      <w:pPr>
        <w:pStyle w:val="Normal"/>
        <w:tabs>
          <w:tab w:val="clear" w:pos="720"/>
          <w:tab w:val="left" w:pos="0" w:leader="none"/>
          <w:tab w:val="left" w:pos="567" w:leader="none"/>
        </w:tabs>
        <w:ind w:firstLine="567"/>
        <w:jc w:val="both"/>
        <w:rPr>
          <w:sz w:val="28"/>
          <w:szCs w:val="28"/>
        </w:rPr>
      </w:pPr>
      <w:r>
        <w:rPr>
          <w:sz w:val="28"/>
          <w:szCs w:val="28"/>
        </w:rPr>
        <w:t>1) на 2021 год в сумме 569 399,2 тыс. рублей, в том числе объем субсидий и субвенций, имеющих целевое назначение, в сумме  350 782,2 тыс. рублей;</w:t>
      </w:r>
    </w:p>
    <w:p>
      <w:pPr>
        <w:pStyle w:val="Normal"/>
        <w:tabs>
          <w:tab w:val="clear" w:pos="720"/>
          <w:tab w:val="left" w:pos="0" w:leader="none"/>
          <w:tab w:val="left" w:pos="567" w:leader="none"/>
        </w:tabs>
        <w:ind w:firstLine="567"/>
        <w:jc w:val="both"/>
        <w:rPr>
          <w:sz w:val="28"/>
          <w:szCs w:val="28"/>
        </w:rPr>
      </w:pPr>
      <w:r>
        <w:rPr>
          <w:sz w:val="28"/>
          <w:szCs w:val="28"/>
        </w:rPr>
        <w:t>2) на 2022 год в сумме 436 953,1 тыс. рублей, в том числе объем субсидий, субвенций, имеющих целевое назначение, в сумме 247 552,3 тыс. рублей;</w:t>
      </w:r>
    </w:p>
    <w:p>
      <w:pPr>
        <w:pStyle w:val="Normal"/>
        <w:tabs>
          <w:tab w:val="clear" w:pos="720"/>
          <w:tab w:val="left" w:pos="0" w:leader="none"/>
          <w:tab w:val="left" w:pos="567" w:leader="none"/>
        </w:tabs>
        <w:ind w:firstLine="567"/>
        <w:jc w:val="both"/>
        <w:rPr>
          <w:sz w:val="28"/>
          <w:szCs w:val="28"/>
        </w:rPr>
      </w:pPr>
      <w:r>
        <w:rPr>
          <w:sz w:val="28"/>
          <w:szCs w:val="28"/>
        </w:rPr>
        <w:t>3) на 2023 год в сумме 496 937,3 тыс. рублей, в том числе объем субсидий, субвенций, имеющих целевое назначение, в сумме 319 737,8 тыс. рублей.»;</w:t>
      </w:r>
    </w:p>
    <w:p>
      <w:pPr>
        <w:pStyle w:val="Normal"/>
        <w:tabs>
          <w:tab w:val="clear" w:pos="720"/>
          <w:tab w:val="left" w:pos="0" w:leader="none"/>
          <w:tab w:val="left" w:pos="567" w:leader="none"/>
        </w:tabs>
        <w:jc w:val="both"/>
        <w:rPr>
          <w:sz w:val="28"/>
          <w:szCs w:val="28"/>
        </w:rPr>
      </w:pPr>
      <w:r>
        <w:rPr>
          <w:sz w:val="28"/>
          <w:szCs w:val="28"/>
        </w:rPr>
      </w:r>
    </w:p>
    <w:p>
      <w:pPr>
        <w:pStyle w:val="Normal"/>
        <w:tabs>
          <w:tab w:val="clear" w:pos="720"/>
          <w:tab w:val="left" w:pos="0" w:leader="none"/>
          <w:tab w:val="left" w:pos="567" w:leader="none"/>
        </w:tabs>
        <w:ind w:firstLine="567"/>
        <w:jc w:val="both"/>
        <w:rPr>
          <w:sz w:val="28"/>
          <w:szCs w:val="28"/>
        </w:rPr>
      </w:pPr>
      <w:r>
        <w:rPr>
          <w:sz w:val="28"/>
          <w:szCs w:val="28"/>
        </w:rPr>
        <w:t>4) Приложение 5 «Распределение бюджетных ассигнований по целевым статьям (муниципальным программам и непрограммным направлениям деятельности), группам видов расходов классификации расходов бюджета на 2021 год и на плановый период 2022 и 2023 годов» изложить в новой редакции;</w:t>
      </w:r>
    </w:p>
    <w:p>
      <w:pPr>
        <w:pStyle w:val="Normal"/>
        <w:tabs>
          <w:tab w:val="clear" w:pos="720"/>
          <w:tab w:val="left" w:pos="0" w:leader="none"/>
          <w:tab w:val="left" w:pos="567" w:leader="none"/>
        </w:tabs>
        <w:ind w:firstLine="567"/>
        <w:jc w:val="both"/>
        <w:rPr>
          <w:sz w:val="28"/>
          <w:szCs w:val="28"/>
        </w:rPr>
      </w:pPr>
      <w:r>
        <w:rPr>
          <w:sz w:val="28"/>
          <w:szCs w:val="28"/>
        </w:rPr>
      </w:r>
    </w:p>
    <w:p>
      <w:pPr>
        <w:pStyle w:val="Normal"/>
        <w:tabs>
          <w:tab w:val="clear" w:pos="720"/>
          <w:tab w:val="left" w:pos="0" w:leader="none"/>
          <w:tab w:val="left" w:pos="567" w:leader="none"/>
        </w:tabs>
        <w:ind w:firstLine="567"/>
        <w:jc w:val="both"/>
        <w:rPr>
          <w:sz w:val="28"/>
          <w:szCs w:val="28"/>
        </w:rPr>
      </w:pPr>
      <w:r>
        <w:rPr>
          <w:sz w:val="28"/>
          <w:szCs w:val="28"/>
        </w:rPr>
        <w:t>5) Приложение 6 «Ведомственная структура расходов районного бюджета на 2021 год и на плановый период 2022 и 2023 годов» изложить в новой редакции;</w:t>
      </w:r>
    </w:p>
    <w:p>
      <w:pPr>
        <w:pStyle w:val="Normal"/>
        <w:tabs>
          <w:tab w:val="clear" w:pos="720"/>
          <w:tab w:val="left" w:pos="0" w:leader="none"/>
          <w:tab w:val="left" w:pos="567" w:leader="none"/>
        </w:tabs>
        <w:ind w:firstLine="567"/>
        <w:jc w:val="both"/>
        <w:rPr>
          <w:sz w:val="28"/>
          <w:szCs w:val="28"/>
        </w:rPr>
      </w:pPr>
      <w:r>
        <w:rPr>
          <w:sz w:val="28"/>
          <w:szCs w:val="28"/>
        </w:rPr>
      </w:r>
    </w:p>
    <w:p>
      <w:pPr>
        <w:pStyle w:val="Normal"/>
        <w:tabs>
          <w:tab w:val="clear" w:pos="720"/>
          <w:tab w:val="left" w:pos="0" w:leader="none"/>
          <w:tab w:val="left" w:pos="567" w:leader="none"/>
        </w:tabs>
        <w:ind w:firstLine="567"/>
        <w:jc w:val="both"/>
        <w:rPr>
          <w:sz w:val="28"/>
          <w:szCs w:val="28"/>
        </w:rPr>
      </w:pPr>
      <w:r>
        <w:rPr>
          <w:sz w:val="28"/>
          <w:szCs w:val="28"/>
        </w:rPr>
        <w:t>6) Приложение 7 «Распределение бюджетных ассигнований по разделам, подразделам, группам видов расходов классификации расходов районного бюджета на 2021 год и на плановый период 2022 и 2023 годов» изложить в новой редакции;</w:t>
      </w:r>
    </w:p>
    <w:p>
      <w:pPr>
        <w:pStyle w:val="Normal"/>
        <w:tabs>
          <w:tab w:val="clear" w:pos="720"/>
          <w:tab w:val="left" w:pos="0" w:leader="none"/>
          <w:tab w:val="left" w:pos="567" w:leader="none"/>
        </w:tabs>
        <w:ind w:firstLine="567"/>
        <w:jc w:val="both"/>
        <w:rPr>
          <w:sz w:val="28"/>
          <w:szCs w:val="28"/>
        </w:rPr>
      </w:pPr>
      <w:r>
        <w:rPr>
          <w:sz w:val="28"/>
          <w:szCs w:val="28"/>
        </w:rPr>
      </w:r>
    </w:p>
    <w:p>
      <w:pPr>
        <w:pStyle w:val="Normal"/>
        <w:tabs>
          <w:tab w:val="clear" w:pos="720"/>
          <w:tab w:val="left" w:pos="0" w:leader="none"/>
          <w:tab w:val="left" w:pos="567" w:leader="none"/>
        </w:tabs>
        <w:ind w:firstLine="567"/>
        <w:jc w:val="both"/>
        <w:rPr>
          <w:sz w:val="28"/>
          <w:szCs w:val="28"/>
        </w:rPr>
      </w:pPr>
      <w:r>
        <w:rPr>
          <w:sz w:val="28"/>
          <w:szCs w:val="28"/>
        </w:rPr>
        <w:t>7) В статье 14 цифры «78 649,9» заменить на цифры «78 747,5»;</w:t>
      </w:r>
    </w:p>
    <w:p>
      <w:pPr>
        <w:pStyle w:val="Normal"/>
        <w:tabs>
          <w:tab w:val="clear" w:pos="720"/>
          <w:tab w:val="left" w:pos="0" w:leader="none"/>
          <w:tab w:val="left" w:pos="567" w:leader="none"/>
        </w:tabs>
        <w:ind w:firstLine="567"/>
        <w:jc w:val="both"/>
        <w:rPr>
          <w:sz w:val="28"/>
          <w:szCs w:val="28"/>
        </w:rPr>
      </w:pPr>
      <w:r>
        <w:rPr>
          <w:sz w:val="28"/>
          <w:szCs w:val="28"/>
        </w:rPr>
      </w:r>
    </w:p>
    <w:p>
      <w:pPr>
        <w:pStyle w:val="Normal"/>
        <w:tabs>
          <w:tab w:val="clear" w:pos="720"/>
          <w:tab w:val="left" w:pos="0" w:leader="none"/>
          <w:tab w:val="left" w:pos="567" w:leader="none"/>
        </w:tabs>
        <w:ind w:firstLine="567"/>
        <w:jc w:val="both"/>
        <w:rPr>
          <w:sz w:val="28"/>
          <w:szCs w:val="28"/>
        </w:rPr>
      </w:pPr>
      <w:r>
        <w:rPr>
          <w:sz w:val="28"/>
          <w:szCs w:val="28"/>
        </w:rPr>
        <w:t>9) В статье 17:</w:t>
      </w:r>
    </w:p>
    <w:p>
      <w:pPr>
        <w:pStyle w:val="Normal"/>
        <w:tabs>
          <w:tab w:val="clear" w:pos="720"/>
          <w:tab w:val="left" w:pos="0" w:leader="none"/>
          <w:tab w:val="left" w:pos="567" w:leader="none"/>
        </w:tabs>
        <w:ind w:firstLine="567"/>
        <w:jc w:val="both"/>
        <w:rPr>
          <w:sz w:val="28"/>
          <w:szCs w:val="28"/>
        </w:rPr>
      </w:pPr>
      <w:r>
        <w:rPr>
          <w:sz w:val="28"/>
          <w:szCs w:val="28"/>
        </w:rPr>
        <w:t>- пункте 1 на 2021 год цифры «44 256,2» заменить цифрами                           «44 353,8»;</w:t>
      </w:r>
    </w:p>
    <w:p>
      <w:pPr>
        <w:pStyle w:val="Normal"/>
        <w:tabs>
          <w:tab w:val="clear" w:pos="720"/>
          <w:tab w:val="left" w:pos="0" w:leader="none"/>
          <w:tab w:val="left" w:pos="567" w:leader="none"/>
        </w:tabs>
        <w:ind w:firstLine="567"/>
        <w:jc w:val="both"/>
        <w:rPr>
          <w:sz w:val="28"/>
          <w:szCs w:val="28"/>
        </w:rPr>
      </w:pPr>
      <w:r>
        <w:rPr>
          <w:sz w:val="28"/>
          <w:szCs w:val="28"/>
        </w:rPr>
        <w:t>-  подпункте 3 пункта 2 на 2021 год цифры «27 069,0» заменить цифрами «27 166,6»;</w:t>
      </w:r>
    </w:p>
    <w:p>
      <w:pPr>
        <w:pStyle w:val="Normal"/>
        <w:tabs>
          <w:tab w:val="clear" w:pos="720"/>
          <w:tab w:val="left" w:pos="0" w:leader="none"/>
          <w:tab w:val="left" w:pos="567" w:leader="none"/>
        </w:tabs>
        <w:ind w:firstLine="567"/>
        <w:jc w:val="both"/>
        <w:rPr/>
      </w:pPr>
      <w:r>
        <w:rPr>
          <w:sz w:val="28"/>
          <w:szCs w:val="28"/>
        </w:rPr>
        <w:t>- в абзаце 5 подпункта 3 пункта 2 цифры «1 139,8» заменить цифрами «1 237,4»;</w:t>
      </w:r>
    </w:p>
    <w:p>
      <w:pPr>
        <w:pStyle w:val="Normal"/>
        <w:tabs>
          <w:tab w:val="clear" w:pos="720"/>
          <w:tab w:val="left" w:pos="0" w:leader="none"/>
          <w:tab w:val="left" w:pos="567" w:leader="none"/>
        </w:tabs>
        <w:ind w:firstLine="567"/>
        <w:jc w:val="both"/>
        <w:rPr>
          <w:sz w:val="28"/>
          <w:szCs w:val="28"/>
        </w:rPr>
      </w:pPr>
      <w:r>
        <w:rPr>
          <w:sz w:val="28"/>
          <w:szCs w:val="28"/>
        </w:rPr>
      </w:r>
    </w:p>
    <w:p>
      <w:pPr>
        <w:pStyle w:val="Normal"/>
        <w:tabs>
          <w:tab w:val="clear" w:pos="720"/>
          <w:tab w:val="left" w:pos="0" w:leader="none"/>
          <w:tab w:val="left" w:pos="567" w:leader="none"/>
        </w:tabs>
        <w:ind w:firstLine="567"/>
        <w:jc w:val="both"/>
        <w:rPr>
          <w:sz w:val="28"/>
          <w:szCs w:val="28"/>
        </w:rPr>
      </w:pPr>
      <w:bookmarkStart w:id="0" w:name="_GoBack"/>
      <w:bookmarkEnd w:id="0"/>
      <w:r>
        <w:rPr>
          <w:sz w:val="28"/>
          <w:szCs w:val="28"/>
        </w:rPr>
        <w:t>10) Приложение 11 «Распределение иных межбюджетных трансфертов на 2021 год и на плановый период 2022 и 2023 годов» изложить в новой редакции.</w:t>
      </w:r>
    </w:p>
    <w:p>
      <w:pPr>
        <w:pStyle w:val="Normal"/>
        <w:tabs>
          <w:tab w:val="clear" w:pos="720"/>
          <w:tab w:val="left" w:pos="0" w:leader="none"/>
          <w:tab w:val="left" w:pos="567" w:leader="none"/>
        </w:tabs>
        <w:ind w:firstLine="567"/>
        <w:jc w:val="both"/>
        <w:rPr>
          <w:b/>
          <w:b/>
          <w:sz w:val="28"/>
          <w:szCs w:val="28"/>
        </w:rPr>
      </w:pPr>
      <w:r>
        <w:rPr>
          <w:b/>
          <w:sz w:val="28"/>
          <w:szCs w:val="28"/>
        </w:rPr>
      </w:r>
    </w:p>
    <w:p>
      <w:pPr>
        <w:pStyle w:val="Normal"/>
        <w:tabs>
          <w:tab w:val="clear" w:pos="720"/>
          <w:tab w:val="left" w:pos="0" w:leader="none"/>
          <w:tab w:val="left" w:pos="567" w:leader="none"/>
        </w:tabs>
        <w:ind w:firstLine="567"/>
        <w:jc w:val="both"/>
        <w:rPr/>
      </w:pPr>
      <w:r>
        <w:rPr>
          <w:b/>
          <w:sz w:val="28"/>
          <w:szCs w:val="28"/>
        </w:rPr>
        <w:t>Статья 2.</w:t>
      </w:r>
    </w:p>
    <w:p>
      <w:pPr>
        <w:pStyle w:val="Normal"/>
        <w:tabs>
          <w:tab w:val="clear" w:pos="720"/>
          <w:tab w:val="left" w:pos="0" w:leader="none"/>
          <w:tab w:val="left" w:pos="567" w:leader="none"/>
        </w:tabs>
        <w:ind w:firstLine="567"/>
        <w:jc w:val="both"/>
        <w:rPr>
          <w:b/>
          <w:b/>
          <w:sz w:val="28"/>
          <w:szCs w:val="28"/>
        </w:rPr>
      </w:pPr>
      <w:r>
        <w:rPr>
          <w:b/>
          <w:sz w:val="28"/>
          <w:szCs w:val="28"/>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t>Настоящее решение вступает в силу со дня его официального опубликования.</w:t>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b w:val="false"/>
          <w:b w:val="false"/>
        </w:rPr>
      </w:pPr>
      <w:r>
        <w:rPr>
          <w:b w:val="false"/>
        </w:rPr>
      </w:r>
    </w:p>
    <w:p>
      <w:pPr>
        <w:pStyle w:val="Style24"/>
        <w:tabs>
          <w:tab w:val="clear" w:pos="720"/>
          <w:tab w:val="left" w:pos="567" w:leader="none"/>
        </w:tabs>
        <w:ind w:firstLine="567"/>
        <w:jc w:val="both"/>
        <w:rPr/>
      </w:pPr>
      <w:r>
        <w:rPr>
          <w:rFonts w:cs="Times New Roman" w:ascii="Times New Roman" w:hAnsi="Times New Roman"/>
          <w:b w:val="false"/>
        </w:rPr>
        <w:t>Глава местного самоуправления</w:t>
        <w:tab/>
        <w:t>Председатель Земского собрания</w:t>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tab/>
        <w:tab/>
        <w:tab/>
        <w:tab/>
        <w:t>Д.О.Ожиганов</w:t>
        <w:tab/>
        <w:tab/>
        <w:tab/>
        <w:tab/>
        <w:t>Н.П.Филимонов</w:t>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Normal"/>
        <w:tabs>
          <w:tab w:val="clear" w:pos="720"/>
          <w:tab w:val="left" w:pos="5442" w:leader="none"/>
        </w:tabs>
        <w:jc w:val="right"/>
        <w:rPr>
          <w:sz w:val="28"/>
          <w:szCs w:val="28"/>
        </w:rPr>
      </w:pPr>
      <w:r>
        <w:rPr>
          <w:sz w:val="28"/>
          <w:szCs w:val="28"/>
        </w:rPr>
        <w:t xml:space="preserve">Приложение 3 </w:t>
      </w:r>
    </w:p>
    <w:p>
      <w:pPr>
        <w:pStyle w:val="Normal"/>
        <w:tabs>
          <w:tab w:val="clear" w:pos="720"/>
          <w:tab w:val="left" w:pos="5442" w:leader="none"/>
        </w:tabs>
        <w:jc w:val="right"/>
        <w:rPr>
          <w:sz w:val="28"/>
          <w:szCs w:val="28"/>
        </w:rPr>
      </w:pPr>
      <w:r>
        <w:rPr>
          <w:sz w:val="28"/>
          <w:szCs w:val="28"/>
        </w:rPr>
        <w:t xml:space="preserve">к решению Земского собрания </w:t>
      </w:r>
    </w:p>
    <w:p>
      <w:pPr>
        <w:pStyle w:val="Normal"/>
        <w:tabs>
          <w:tab w:val="clear" w:pos="720"/>
          <w:tab w:val="left" w:pos="5442" w:leader="none"/>
        </w:tabs>
        <w:jc w:val="right"/>
        <w:rPr>
          <w:sz w:val="28"/>
          <w:szCs w:val="28"/>
        </w:rPr>
      </w:pPr>
      <w:r>
        <w:rPr>
          <w:sz w:val="28"/>
          <w:szCs w:val="28"/>
        </w:rPr>
        <w:t>Шарангского муниципального района</w:t>
      </w:r>
    </w:p>
    <w:p>
      <w:pPr>
        <w:pStyle w:val="Normal"/>
        <w:tabs>
          <w:tab w:val="clear" w:pos="720"/>
          <w:tab w:val="left" w:pos="5442" w:leader="none"/>
        </w:tabs>
        <w:jc w:val="right"/>
        <w:rPr/>
      </w:pPr>
      <w:r>
        <w:rPr>
          <w:sz w:val="28"/>
          <w:szCs w:val="28"/>
        </w:rPr>
        <w:t xml:space="preserve"> </w:t>
      </w:r>
      <w:r>
        <w:rPr>
          <w:sz w:val="28"/>
          <w:szCs w:val="28"/>
        </w:rPr>
        <w:t xml:space="preserve">«О районном бюджете на 2021 год </w:t>
      </w:r>
    </w:p>
    <w:p>
      <w:pPr>
        <w:pStyle w:val="Normal"/>
        <w:tabs>
          <w:tab w:val="clear" w:pos="720"/>
          <w:tab w:val="left" w:pos="5442" w:leader="none"/>
        </w:tabs>
        <w:jc w:val="right"/>
        <w:rPr/>
      </w:pPr>
      <w:r>
        <w:rPr>
          <w:sz w:val="28"/>
          <w:szCs w:val="28"/>
        </w:rPr>
        <w:t>и на плановый период 2022 и 2023 годов»</w:t>
      </w:r>
    </w:p>
    <w:p>
      <w:pPr>
        <w:pStyle w:val="Normal"/>
        <w:tabs>
          <w:tab w:val="clear" w:pos="720"/>
          <w:tab w:val="left" w:pos="5442" w:leader="none"/>
        </w:tabs>
        <w:jc w:val="center"/>
        <w:rPr>
          <w:sz w:val="28"/>
          <w:szCs w:val="28"/>
        </w:rPr>
      </w:pPr>
      <w:r>
        <w:rPr>
          <w:sz w:val="28"/>
          <w:szCs w:val="28"/>
        </w:rPr>
      </w:r>
    </w:p>
    <w:p>
      <w:pPr>
        <w:pStyle w:val="Normal"/>
        <w:tabs>
          <w:tab w:val="clear" w:pos="720"/>
          <w:tab w:val="left" w:pos="5442" w:leader="none"/>
        </w:tabs>
        <w:jc w:val="center"/>
        <w:rPr>
          <w:b/>
          <w:b/>
          <w:sz w:val="28"/>
          <w:szCs w:val="28"/>
        </w:rPr>
      </w:pPr>
      <w:r>
        <w:rPr>
          <w:b/>
          <w:sz w:val="28"/>
          <w:szCs w:val="28"/>
        </w:rPr>
      </w:r>
    </w:p>
    <w:p>
      <w:pPr>
        <w:pStyle w:val="Normal"/>
        <w:tabs>
          <w:tab w:val="clear" w:pos="720"/>
          <w:tab w:val="left" w:pos="5442" w:leader="none"/>
        </w:tabs>
        <w:jc w:val="center"/>
        <w:rPr>
          <w:b/>
          <w:b/>
          <w:sz w:val="28"/>
          <w:szCs w:val="28"/>
        </w:rPr>
      </w:pPr>
      <w:r>
        <w:rPr>
          <w:b/>
          <w:sz w:val="28"/>
          <w:szCs w:val="28"/>
        </w:rPr>
        <w:t xml:space="preserve">Поступление доходов по группам, подгруппам и статьям </w:t>
      </w:r>
    </w:p>
    <w:p>
      <w:pPr>
        <w:pStyle w:val="Normal"/>
        <w:tabs>
          <w:tab w:val="clear" w:pos="720"/>
          <w:tab w:val="left" w:pos="5442" w:leader="none"/>
        </w:tabs>
        <w:jc w:val="center"/>
        <w:rPr>
          <w:b/>
          <w:b/>
          <w:sz w:val="28"/>
          <w:szCs w:val="28"/>
        </w:rPr>
      </w:pPr>
      <w:r>
        <w:rPr>
          <w:b/>
          <w:sz w:val="28"/>
          <w:szCs w:val="28"/>
        </w:rPr>
        <w:t>бюджетной классификации на 2021 год и на плановый период 2022 и 2023 годов</w:t>
      </w:r>
    </w:p>
    <w:p>
      <w:pPr>
        <w:pStyle w:val="Normal"/>
        <w:tabs>
          <w:tab w:val="clear" w:pos="720"/>
          <w:tab w:val="left" w:pos="5442" w:leader="none"/>
          <w:tab w:val="left" w:pos="7635" w:leader="none"/>
          <w:tab w:val="right" w:pos="9796" w:leader="none"/>
        </w:tabs>
        <w:jc w:val="right"/>
        <w:rPr/>
      </w:pPr>
      <w:r>
        <w:rPr/>
        <w:tab/>
        <w:t xml:space="preserve"> (тыс. рублей)</w:t>
      </w:r>
    </w:p>
    <w:tbl>
      <w:tblPr>
        <w:tblW w:w="10490" w:type="dxa"/>
        <w:jc w:val="left"/>
        <w:tblInd w:w="-572" w:type="dxa"/>
        <w:tblLayout w:type="fixed"/>
        <w:tblCellMar>
          <w:top w:w="0" w:type="dxa"/>
          <w:left w:w="108" w:type="dxa"/>
          <w:bottom w:w="0" w:type="dxa"/>
          <w:right w:w="108" w:type="dxa"/>
        </w:tblCellMar>
      </w:tblPr>
      <w:tblGrid>
        <w:gridCol w:w="2694"/>
        <w:gridCol w:w="4211"/>
        <w:gridCol w:w="1176"/>
        <w:gridCol w:w="1233"/>
        <w:gridCol w:w="1176"/>
      </w:tblGrid>
      <w:tr>
        <w:trPr>
          <w:tblHeader w:val="true"/>
        </w:trPr>
        <w:tc>
          <w:tcPr>
            <w:tcW w:w="2694"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5442" w:leader="none"/>
              </w:tabs>
              <w:jc w:val="center"/>
              <w:rPr>
                <w:b/>
                <w:b/>
                <w:sz w:val="24"/>
                <w:szCs w:val="24"/>
              </w:rPr>
            </w:pPr>
            <w:r>
              <w:rPr>
                <w:b/>
                <w:sz w:val="24"/>
                <w:szCs w:val="24"/>
              </w:rPr>
              <w:t>Код бюджетной классификации Российской Федерации</w:t>
            </w:r>
          </w:p>
        </w:tc>
        <w:tc>
          <w:tcPr>
            <w:tcW w:w="4211"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5442" w:leader="none"/>
              </w:tabs>
              <w:jc w:val="center"/>
              <w:rPr>
                <w:b/>
                <w:b/>
                <w:sz w:val="24"/>
                <w:szCs w:val="24"/>
              </w:rPr>
            </w:pPr>
            <w:r>
              <w:rPr>
                <w:b/>
                <w:sz w:val="24"/>
                <w:szCs w:val="24"/>
              </w:rPr>
              <w:t>Наименование доходов</w:t>
            </w:r>
          </w:p>
        </w:tc>
        <w:tc>
          <w:tcPr>
            <w:tcW w:w="1176"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5442" w:leader="none"/>
              </w:tabs>
              <w:jc w:val="center"/>
              <w:rPr>
                <w:b/>
                <w:b/>
                <w:sz w:val="24"/>
                <w:szCs w:val="24"/>
              </w:rPr>
            </w:pPr>
            <w:r>
              <w:rPr>
                <w:b/>
                <w:sz w:val="24"/>
                <w:szCs w:val="24"/>
              </w:rPr>
              <w:t>2021 год</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5442" w:leader="none"/>
              </w:tabs>
              <w:jc w:val="center"/>
              <w:rPr>
                <w:b/>
                <w:b/>
                <w:sz w:val="24"/>
                <w:szCs w:val="24"/>
              </w:rPr>
            </w:pPr>
            <w:r>
              <w:rPr>
                <w:b/>
                <w:sz w:val="24"/>
                <w:szCs w:val="24"/>
              </w:rPr>
              <w:t>2022 год</w:t>
            </w:r>
          </w:p>
        </w:tc>
        <w:tc>
          <w:tcPr>
            <w:tcW w:w="1176"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5442" w:leader="none"/>
              </w:tabs>
              <w:jc w:val="center"/>
              <w:rPr>
                <w:b/>
                <w:b/>
                <w:sz w:val="24"/>
                <w:szCs w:val="24"/>
              </w:rPr>
            </w:pPr>
            <w:r>
              <w:rPr>
                <w:b/>
                <w:sz w:val="24"/>
                <w:szCs w:val="24"/>
              </w:rPr>
              <w:t>2023 год</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rPr>
                <w:b/>
                <w:b/>
                <w:sz w:val="24"/>
                <w:szCs w:val="24"/>
              </w:rPr>
            </w:pPr>
            <w:r>
              <w:rPr>
                <w:b/>
                <w:sz w:val="24"/>
                <w:szCs w:val="24"/>
              </w:rPr>
              <w:t>1 00 00000 00 0000 000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 Налоговые и неналоговые доходы</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pPr>
            <w:r>
              <w:rPr>
                <w:b/>
                <w:sz w:val="24"/>
                <w:szCs w:val="24"/>
              </w:rPr>
              <w:t>113 548,9</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111 721,5</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119 512,0</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1 01 00000 00 0000 000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1.1. Налоги на прибыль, доходы</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92 031,4</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98 290,6</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105 361,3</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1 01 02000 01 0000 110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1.1.1.Налог на доходы физических лиц</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92 031,4</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98 290,6</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105 361,3</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1 01 02010 01 0000 110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1.1.1.1. 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осуществляется в соответствии со статьями 227,227.1 и 228 Налогового кодекса Российской Федерации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90 650,7</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96 821,2</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pPr>
            <w:r>
              <w:rPr>
                <w:sz w:val="24"/>
                <w:szCs w:val="24"/>
              </w:rPr>
              <w:t>103 792,3</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1 01 02020 01 0000 110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1.1.1.2. 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642,9</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686,7</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736,1</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1 01 02030 01 0000 110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1.1.1.3. Налог на доходы физических лиц с доходов, полученных физическими лицами в соответствии со статьей 228 Налогового кодекса Российской Федерации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551,1</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588,6</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631,0</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1 01 02040 01 0000 110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1.1.1.4. 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на основании патента в соответствии со статьей 227.1 Налогового кодекса Российской Федерации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186,7</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194,1</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201,9</w:t>
            </w:r>
          </w:p>
        </w:tc>
      </w:tr>
      <w:tr>
        <w:trPr>
          <w:trHeight w:val="271" w:hRule="atLeast"/>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1 05 00000 00 0000 000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1.2. Налоги на совокупный доход</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9 719,4</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pPr>
            <w:r>
              <w:rPr>
                <w:b/>
                <w:sz w:val="24"/>
                <w:szCs w:val="24"/>
              </w:rPr>
              <w:t>9 185,1</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9 783,0</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1 05 01000 01 0000 110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1.2.1. Налог, взимаемый в связи с применением упрощенной системы налогообложения</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7 351,1</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8 002,0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8 538,1</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1 05 01010 01 0000 110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1.2.1.1. Налог, взимаемый с налогоплательщиков, выбравших в качестве объекта налогообложения доходы</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3 205,1</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3 488,9</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3 722,6</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1 05 01020 01 0000 110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1.2.1.2. Налог, взимаемый с налогоплательщиков, выбравших в качестве объекта налогообложения доходы, уменьшенные на величину расходов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4 146,0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4 513,1</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4 815,5</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1 05 02000 02 0000 110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1.2.2. Единый налог на вмененный доход для отдельных видов деятельности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1 241,0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1 05 02010 02 0000 110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1.2.2.1. Единый налог на вмененный доход  для отдельных видов деятельности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1 241,0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1 05 03000 01 0000 110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lang w:val="en-US"/>
              </w:rPr>
            </w:pPr>
            <w:r>
              <w:rPr>
                <w:sz w:val="24"/>
                <w:szCs w:val="24"/>
              </w:rPr>
              <w:t>1.2.3. Единый сельскохозяйственный налог</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362,9</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370,5</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pPr>
            <w:r>
              <w:rPr>
                <w:sz w:val="24"/>
                <w:szCs w:val="24"/>
              </w:rPr>
              <w:t>377,9</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1 05 03010 01 0000 110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lang w:val="en-US"/>
              </w:rPr>
            </w:pPr>
            <w:r>
              <w:rPr>
                <w:sz w:val="24"/>
                <w:szCs w:val="24"/>
              </w:rPr>
              <w:t>1.2.3.1.Единый сельскохозяйственный налог</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362,9</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370,5</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377,9</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1 05 04000 02 0000 110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1.2.4. Налог, взимаемый в связи с применением патентной системы налогообложения</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764,4</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rPr>
                <w:sz w:val="24"/>
                <w:szCs w:val="24"/>
              </w:rPr>
            </w:pPr>
            <w:r>
              <w:rPr>
                <w:sz w:val="24"/>
                <w:szCs w:val="24"/>
              </w:rPr>
              <w:t xml:space="preserve">    </w:t>
            </w:r>
            <w:r>
              <w:rPr>
                <w:sz w:val="24"/>
                <w:szCs w:val="24"/>
              </w:rPr>
              <w:t>812,6</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867,0</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1 05 04020 02 0000 110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1.2.4.1. Налог, взимаемый в связи с применением патентной системы налогообложения, зачисляемый в бюджеты муниципальных районов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764,4</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812,6</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867,0</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1 08 00000 00 0000 000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1.3. Государственная пошлина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836,5</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870,0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904,8</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1 08 03010 01 0000 110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1.3.1. Государственная пошлина по делам, рассматриваемым в судах общей юрисдикции, мировыми судьями (за исключением Верховного Суда Российской Федерации)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836,5</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870,0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904,8</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1 11 00000 00 0000 000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1.4. Доходы от использования имущества, находящегося в государственной и муниципальной собственности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2 584,1</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2 687,4</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2 794,8</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1 11 05000 00 0000 120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1.4.1. 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2 583,1</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2 686,4</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2 793,8</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1 11 05010 00 0000 120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1.4.1.1. Доходы, получаемые в виде арендной платы за земельные участки, государственная собственность на которые не разграничена, а также средства от продажи права на заключение договоров аренды указанных земельных участков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1 846,6</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1 920,5</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1 997,3</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1 11 05013 05 0000 120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1.4.1.1.1. 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а также средства от продажи права на заключение договоров аренды указанных земельных участков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1 009,8</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1 050,2</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1 092,2</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pPr>
            <w:r>
              <w:rPr>
                <w:sz w:val="24"/>
                <w:szCs w:val="24"/>
              </w:rPr>
              <w:t>1 11 05013 13 0000 120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1.4.1.1.2. 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836,8</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870,3</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905,1</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1 11 05020 00 0000 120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1.4.1.2. Доходы, получаемые в виде арендной платы за земли после разграничения государственной собственности на землю, а также средства от продажи права на заключение договоров аренды указанных земельных участков (за исключением земельных участков бюджетных и автономных учреждений)</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137,4</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142,9</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148,6</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1 11 05025 05 0000 120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1.4.1.2.1. Доходы, получаемые в виде арендной платы, а также средства от продажи права на заключение договоров аренды за земли, находящиеся в собственности муниципальных районов (за исключением земельных участков муниципальных бюджетных и автономных учреждений)</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137,4</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142,9</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148,6</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1 11 05030 00 0000 120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1.4.1.3. Доходы от сдачи в аренду имущества, находящегося в оперативном управлении органов государственной власти, органов местного самоуправления, государственных внебюджетных фондов и созданных ими учреждений (за исключением имущества бюджетных и автономных учреждений)</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599,1</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623,0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647,9</w:t>
            </w:r>
          </w:p>
        </w:tc>
      </w:tr>
      <w:tr>
        <w:trPr>
          <w:trHeight w:val="709" w:hRule="atLeast"/>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pPr>
            <w:r>
              <w:rPr>
                <w:sz w:val="24"/>
                <w:szCs w:val="24"/>
              </w:rPr>
              <w:t>1 11 05035 05 0000 120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1.4.1.3.1. Доходы от сдачи в аренду имущества, находящегося в оперативном управлении органов управления муниципальных районов и созданных ими учреждений (за исключением имущества муниципальных бюджетных и  автономных учреждений)</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599,1</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623,0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647,9</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pPr>
            <w:r>
              <w:rPr>
                <w:sz w:val="24"/>
                <w:szCs w:val="24"/>
              </w:rPr>
              <w:t>1 11 09000 00 0000 120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1.4.2. Прочие доходы от использования имущества и прав, находящихся в государственной и муниципальной собственности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1,0</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1 11 09045 05 0000 120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1.4.2.1. Прочие поступления от использования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1,0</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1800" w:leader="none"/>
                <w:tab w:val="left" w:pos="5442" w:leader="none"/>
              </w:tabs>
              <w:jc w:val="both"/>
              <w:rPr>
                <w:b/>
                <w:b/>
                <w:sz w:val="24"/>
                <w:szCs w:val="24"/>
              </w:rPr>
            </w:pPr>
            <w:r>
              <w:rPr>
                <w:b/>
                <w:sz w:val="24"/>
                <w:szCs w:val="24"/>
              </w:rPr>
              <w:t>1 12 00000 00 0000 000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1.5. Платежи при пользовании природными ресурсами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78,7</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81,8</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85,1</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1 12 01000 01 0000 120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1.5.1. Плата за негативное воздействие на окружающую среду</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78,7</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81,8</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85,1</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1 12 01010 01 0000 120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1.5.1.1. Плата за выбросы загрязняющих веществ в атмосферный воздух стационарными объектами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31,6</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32,9</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34,2</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1 12 01030 01 0000 120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1.5.1.2. Плата за сбросы загрязняющих веществ в водные объекты</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28,4</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29,5</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30,7</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pPr>
            <w:r>
              <w:rPr>
                <w:sz w:val="24"/>
                <w:szCs w:val="24"/>
              </w:rPr>
              <w:t>1 12 01041 01 0000 120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1.5.1.3. Плата за размещение отходов производства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18,7</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19,4</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20,2</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1 13 00000 00 0000 000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1.6. Доходы от оказания платных услуг (работ) и компенсации затрат государства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7 889,0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234,5</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243,8</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pPr>
            <w:r>
              <w:rPr>
                <w:sz w:val="24"/>
                <w:szCs w:val="24"/>
                <w:lang w:val="en-US"/>
              </w:rPr>
              <w:t>1</w:t>
            </w:r>
            <w:r>
              <w:rPr>
                <w:sz w:val="24"/>
                <w:szCs w:val="24"/>
              </w:rPr>
              <w:t xml:space="preserve"> </w:t>
            </w:r>
            <w:r>
              <w:rPr>
                <w:sz w:val="24"/>
                <w:szCs w:val="24"/>
                <w:lang w:val="en-US"/>
              </w:rPr>
              <w:t>13</w:t>
            </w:r>
            <w:r>
              <w:rPr>
                <w:sz w:val="24"/>
                <w:szCs w:val="24"/>
              </w:rPr>
              <w:t xml:space="preserve"> </w:t>
            </w:r>
            <w:r>
              <w:rPr>
                <w:sz w:val="24"/>
                <w:szCs w:val="24"/>
                <w:lang w:val="en-US"/>
              </w:rPr>
              <w:t>02000</w:t>
            </w:r>
            <w:r>
              <w:rPr>
                <w:sz w:val="24"/>
                <w:szCs w:val="24"/>
              </w:rPr>
              <w:t xml:space="preserve"> </w:t>
            </w:r>
            <w:r>
              <w:rPr>
                <w:sz w:val="24"/>
                <w:szCs w:val="24"/>
                <w:lang w:val="en-US"/>
              </w:rPr>
              <w:t>00</w:t>
            </w:r>
            <w:r>
              <w:rPr>
                <w:sz w:val="24"/>
                <w:szCs w:val="24"/>
              </w:rPr>
              <w:t xml:space="preserve"> </w:t>
            </w:r>
            <w:r>
              <w:rPr>
                <w:sz w:val="24"/>
                <w:szCs w:val="24"/>
                <w:lang w:val="en-US"/>
              </w:rPr>
              <w:t>0000</w:t>
            </w:r>
            <w:r>
              <w:rPr>
                <w:sz w:val="24"/>
                <w:szCs w:val="24"/>
              </w:rPr>
              <w:t xml:space="preserve"> </w:t>
            </w:r>
            <w:r>
              <w:rPr>
                <w:sz w:val="24"/>
                <w:szCs w:val="24"/>
                <w:lang w:val="en-US"/>
              </w:rPr>
              <w:t>130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1.6.1. Доходы от компенсации затрат государства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7 889,0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234,5</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243,8</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1 13 02995 05 0000 130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1.6.1.1. Прочие доходы от компенсации затрат бюджетов муниципальных районов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7 889,0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234,5</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243,8</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1 14 00000 00 0000 000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1.7. Доходы от продажи материальных и нематериальных активов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380,0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341,1</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307,0</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1 14 06000 00 0000 430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 xml:space="preserve">1.7.1. Доходы от продажи земельных участков, находящихся в государственной и муниципальной собственности </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280,0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251,1</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226,0</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1 14 06013 05 0000 430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1.7.1.1. Доходы от продажи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87,4</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78,0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70,2</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1 14 06013 13 0000 430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1.7.1.2. Доходы от продажи земельных участков,  государственная собственность на которые не разграничена и которые расположены в границах городских  поселений</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20,0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18,9</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17,0</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1 14 06025 05 0000 430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1.7.1.3. Доходы от продажи земельных участков, находящихся в собственности муниципальных районов (за исключением земельных участков муниципальных бюджетных и автономных учреждений)</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172,6</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154,2</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138,8</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autoSpaceDE w:val="false"/>
              <w:rPr>
                <w:sz w:val="24"/>
                <w:szCs w:val="24"/>
              </w:rPr>
            </w:pPr>
            <w:r>
              <w:rPr>
                <w:sz w:val="24"/>
                <w:szCs w:val="24"/>
              </w:rPr>
              <w:t>1 14 13000 00 0000 000</w:t>
            </w:r>
          </w:p>
          <w:p>
            <w:pPr>
              <w:pStyle w:val="Normal"/>
              <w:tabs>
                <w:tab w:val="clear" w:pos="720"/>
                <w:tab w:val="left" w:pos="5442" w:leader="none"/>
              </w:tabs>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1.7.2. Доходы от приватизации имущества, находящегося в государственной и муниципальной собственности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100,0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90,0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81,0</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1 14 13050 05 0000 410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1.7.2.1. Доходы от приватизации имущества, находящегося в собственности муниципальных районов, в части приватизации нефинансовых активов имущества казны</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100,0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90,0</w:t>
            </w:r>
          </w:p>
          <w:p>
            <w:pPr>
              <w:pStyle w:val="Normal"/>
              <w:tabs>
                <w:tab w:val="clear" w:pos="720"/>
                <w:tab w:val="left" w:pos="5442" w:leader="none"/>
              </w:tabs>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81,0</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1 16 00000 00 0000 000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1.8. Штрафы, санкции, возмещение ущерба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29,8</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31,0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32,2</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1 16 01053 01 0000 140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pPr>
            <w:r>
              <w:rPr>
                <w:sz w:val="24"/>
                <w:szCs w:val="24"/>
              </w:rPr>
              <w:t xml:space="preserve">1.8.1. Административные штрафы, установленные </w:t>
            </w:r>
            <w:hyperlink r:id="rId3">
              <w:r>
                <w:rPr>
                  <w:sz w:val="24"/>
                  <w:szCs w:val="24"/>
                </w:rPr>
                <w:t>Главой 5</w:t>
              </w:r>
            </w:hyperlink>
            <w:r>
              <w:rPr>
                <w:sz w:val="24"/>
                <w:szCs w:val="24"/>
              </w:rPr>
              <w:t xml:space="preserve"> Кодекса Российской Федерации об административных правонарушениях, за административные правонарушения, посягающие на права граждан, налагаемые мировыми судьями, комиссиями по делам несовершеннолетних и защите их прав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2,9</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3,1</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1 16 01063 01 0000 140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pPr>
            <w:r>
              <w:rPr>
                <w:sz w:val="24"/>
                <w:szCs w:val="24"/>
              </w:rPr>
              <w:t xml:space="preserve">1.8.2. Административные штрафы, установленные </w:t>
            </w:r>
            <w:hyperlink r:id="rId4">
              <w:r>
                <w:rPr>
                  <w:sz w:val="24"/>
                  <w:szCs w:val="24"/>
                </w:rPr>
                <w:t>Главой 6</w:t>
              </w:r>
            </w:hyperlink>
            <w:r>
              <w:rPr>
                <w:sz w:val="24"/>
                <w:szCs w:val="24"/>
              </w:rPr>
              <w:t xml:space="preserve"> Кодекса Российской Федерации об административных правонарушениях, за административные правонарушения, посягающие на здоровье, санитарно-эпидемиологическое благополучие населения и общественную нравственность, налагаемые мировыми судьями, комиссиями по делам несовершеннолетних и защите их прав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2,4</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2,5</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2,6</w:t>
            </w:r>
          </w:p>
        </w:tc>
      </w:tr>
      <w:tr>
        <w:trPr>
          <w:trHeight w:val="978" w:hRule="atLeast"/>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1 16 01083 01 0000 140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1.8.3. Административные штрафы, установленные Главой 8 Кодекса Российской Федерации об административных правонарушениях, за административные правонарушения в области охраны окружающей среды и природопользования, налагаемые мировыми судьями, комиссиями по делам несовершеннолетних и защите их прав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2,7</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2,8</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2,9</w:t>
            </w:r>
          </w:p>
        </w:tc>
      </w:tr>
      <w:tr>
        <w:trPr>
          <w:trHeight w:val="978" w:hRule="atLeast"/>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1 16 01193 01 0000 140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1.8.4. Административные штрафы, установленные главой 19 Кодекса Российской Федерации об административных правонарушениях, за административные правонарушения против порядка управления, налагаемые мировыми судьями, комиссиями по делам несовершеннолетних и защите их прав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5,3</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5,5</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5,7</w:t>
            </w:r>
          </w:p>
        </w:tc>
      </w:tr>
      <w:tr>
        <w:trPr>
          <w:trHeight w:val="978" w:hRule="atLeast"/>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1 16 01203 01 0000 140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1.8.5. Административные штрафы, установленные Главой 20 Кодекса Российской Федерации об административных правонарушениях, за административные правонарушения, посягающие на общественный порядок и общественную безопасность, налагаемые мировыми судьями, комиссиями по делам несовершеннолетних и защите их прав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16,5</w:t>
            </w:r>
          </w:p>
          <w:p>
            <w:pPr>
              <w:pStyle w:val="Normal"/>
              <w:tabs>
                <w:tab w:val="clear" w:pos="720"/>
                <w:tab w:val="left" w:pos="5442" w:leader="none"/>
              </w:tabs>
              <w:jc w:val="center"/>
              <w:rPr>
                <w:sz w:val="24"/>
                <w:szCs w:val="24"/>
              </w:rPr>
            </w:pPr>
            <w:r>
              <w:rPr>
                <w:sz w:val="24"/>
                <w:szCs w:val="24"/>
              </w:rPr>
            </w:r>
          </w:p>
          <w:p>
            <w:pPr>
              <w:pStyle w:val="Normal"/>
              <w:tabs>
                <w:tab w:val="clear" w:pos="720"/>
                <w:tab w:val="left" w:pos="5442" w:leader="none"/>
              </w:tabs>
              <w:rPr>
                <w:sz w:val="24"/>
                <w:szCs w:val="24"/>
              </w:rPr>
            </w:pPr>
            <w:r>
              <w:rPr>
                <w:sz w:val="24"/>
                <w:szCs w:val="24"/>
              </w:rPr>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17,2</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17,9</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2 00 00000 00 0000 000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 Безвозмездные поступления</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587 172,3</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436 953,1</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491 937,3</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pPr>
            <w:r>
              <w:rPr>
                <w:b/>
                <w:sz w:val="24"/>
                <w:szCs w:val="24"/>
              </w:rPr>
              <w:t>2 02 00000 00 0000 000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2.1. Безвозмездные поступления от других бюджетов бюджетной системы Российской Федерации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569 399,2</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436 953,1</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491 937,3</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2 02 10000 00 0000 150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2.1.1. Дотации бюджетам субъектов Российской Федерации и муниципальных образований</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182 360,2</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pPr>
            <w:r>
              <w:rPr>
                <w:b/>
                <w:sz w:val="24"/>
                <w:szCs w:val="24"/>
              </w:rPr>
              <w:t>156 191,0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138 989,7</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2 02 15001 05 0000 150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2.1.1.1. Дотации бюджетам муниципальных районов на выравнивание бюджетной обеспеченности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163 877,0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156 191,0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137 707,8</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autoSpaceDE w:val="false"/>
              <w:rPr>
                <w:sz w:val="24"/>
                <w:szCs w:val="24"/>
              </w:rPr>
            </w:pPr>
            <w:r>
              <w:rPr>
                <w:sz w:val="24"/>
                <w:szCs w:val="24"/>
              </w:rPr>
              <w:t>2 02 15002 05 0000 150</w:t>
            </w:r>
          </w:p>
          <w:p>
            <w:pPr>
              <w:pStyle w:val="Normal"/>
              <w:tabs>
                <w:tab w:val="clear" w:pos="720"/>
                <w:tab w:val="left" w:pos="5442" w:leader="none"/>
              </w:tabs>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2.1.1.2. Дотации бюджетам муниципальных районов на поддержку мер по обеспечению сбалансированности бюджетов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18 483,2</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1 281,9</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2 02 20000 00 0000 150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2.1.2. Субсидии бюджетам субъектов Российской Федерации и муниципальных образований (межбюджетные субсидии)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94 957,2</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19 822,0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90 428,6</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autoSpaceDE w:val="false"/>
              <w:rPr>
                <w:sz w:val="24"/>
                <w:szCs w:val="24"/>
              </w:rPr>
            </w:pPr>
            <w:r>
              <w:rPr>
                <w:sz w:val="24"/>
                <w:szCs w:val="24"/>
              </w:rPr>
              <w:t>2 02 20077 05 0000 150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2.1.2.1. Субсидии бюджетам муниципальных районов на строительство, реконструкцию, проектно-изыскательские работы и разработку проектно-сметной документации объектов капитального строительства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325,0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15918,3</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rPr>
                <w:sz w:val="24"/>
                <w:szCs w:val="24"/>
              </w:rPr>
            </w:pPr>
            <w:r>
              <w:rPr>
                <w:sz w:val="24"/>
                <w:szCs w:val="24"/>
              </w:rPr>
              <w:t>2 02 20216 05 0000 150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jc w:val="both"/>
              <w:rPr>
                <w:sz w:val="24"/>
                <w:szCs w:val="24"/>
              </w:rPr>
            </w:pPr>
            <w:r>
              <w:rPr>
                <w:sz w:val="24"/>
                <w:szCs w:val="24"/>
              </w:rPr>
              <w:t xml:space="preserve">2.1.2.2. Субсидии бюджетам муниципальных районов на капитальный ремонт и ремонт автомобильных дорог общего пользования местного значения </w:t>
            </w:r>
          </w:p>
        </w:tc>
        <w:tc>
          <w:tcPr>
            <w:tcW w:w="1176" w:type="dxa"/>
            <w:tcBorders>
              <w:top w:val="single" w:sz="4" w:space="0" w:color="000000"/>
              <w:left w:val="single" w:sz="4" w:space="0" w:color="000000"/>
              <w:bottom w:val="single" w:sz="4" w:space="0" w:color="000000"/>
              <w:right w:val="single" w:sz="4" w:space="0" w:color="000000"/>
            </w:tcBorders>
          </w:tcPr>
          <w:p>
            <w:pPr>
              <w:pStyle w:val="Normal"/>
              <w:jc w:val="center"/>
              <w:rPr>
                <w:sz w:val="24"/>
                <w:szCs w:val="24"/>
              </w:rPr>
            </w:pPr>
            <w:r>
              <w:rPr>
                <w:sz w:val="24"/>
                <w:szCs w:val="24"/>
              </w:rPr>
              <w:t>5 277,0</w:t>
            </w:r>
          </w:p>
        </w:tc>
        <w:tc>
          <w:tcPr>
            <w:tcW w:w="1233" w:type="dxa"/>
            <w:tcBorders>
              <w:top w:val="single" w:sz="4" w:space="0" w:color="000000"/>
              <w:left w:val="single" w:sz="4" w:space="0" w:color="000000"/>
              <w:bottom w:val="single" w:sz="4" w:space="0" w:color="000000"/>
              <w:right w:val="single" w:sz="4" w:space="0" w:color="000000"/>
            </w:tcBorders>
          </w:tcPr>
          <w:p>
            <w:pPr>
              <w:pStyle w:val="Normal"/>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snapToGrid w:val="false"/>
              <w:jc w:val="center"/>
              <w:rPr>
                <w:sz w:val="24"/>
                <w:szCs w:val="24"/>
              </w:rPr>
            </w:pPr>
            <w:r>
              <w:rPr>
                <w:sz w:val="24"/>
                <w:szCs w:val="24"/>
              </w:rPr>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autoSpaceDE w:val="false"/>
              <w:rPr>
                <w:sz w:val="24"/>
                <w:szCs w:val="24"/>
              </w:rPr>
            </w:pPr>
            <w:r>
              <w:rPr>
                <w:sz w:val="24"/>
                <w:szCs w:val="24"/>
              </w:rPr>
              <w:t>2 02 20299 05 0000 150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2.1.2.3. Субсидии бюджетам муниципальных районов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поступивших от государственной корпорации - Фонда содействия реформированию жилищно-коммунального хозяйства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7 628,8</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9 355,8</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autoSpaceDE w:val="false"/>
              <w:rPr>
                <w:sz w:val="24"/>
                <w:szCs w:val="24"/>
              </w:rPr>
            </w:pPr>
            <w:r>
              <w:rPr>
                <w:sz w:val="24"/>
                <w:szCs w:val="24"/>
              </w:rPr>
              <w:t>2 02 20302 05 0000 150</w:t>
            </w:r>
          </w:p>
          <w:p>
            <w:pPr>
              <w:pStyle w:val="Normal"/>
              <w:tabs>
                <w:tab w:val="clear" w:pos="720"/>
                <w:tab w:val="left" w:pos="5442" w:leader="none"/>
              </w:tabs>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2.1.2.4. Субсидии бюджетам муниципальных районов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областного бюджета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256,2</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311,8</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autoSpaceDE w:val="false"/>
              <w:rPr>
                <w:sz w:val="24"/>
                <w:szCs w:val="24"/>
              </w:rPr>
            </w:pPr>
            <w:r>
              <w:rPr>
                <w:sz w:val="24"/>
                <w:szCs w:val="24"/>
              </w:rPr>
              <w:t>2 02 25304 05 0000 150</w:t>
            </w:r>
          </w:p>
          <w:p>
            <w:pPr>
              <w:pStyle w:val="Normal"/>
              <w:tabs>
                <w:tab w:val="clear" w:pos="720"/>
                <w:tab w:val="left" w:pos="5442" w:leader="none"/>
              </w:tabs>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2.1.2.5. Субсидии бюджетам муниципальных районов  на организацию бесплатного горячего питания обучающихся, получающих начальное общее образование в муниципальных образовательных организациях Нижегородской области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5 671,6</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5 955,1</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5 888,7</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2 02 25467 05 0000 150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2.1.2.6. Субсидии бюджетам муниципальных районов на обеспечение развития и укрепления материально-технической базы домов культуры в населенных пунктах с числом жителей до 50 тысяч человек</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599,2</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540,4</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540,4</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2 02 25497 05 0000 150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2.1.2.7. Субсидии бюджетам муниципальных районов на осуществление социальных выплат молодым семьям на приобретение жилья или строительство индивидуального жилого дома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909,1</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844,3</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945,9</w:t>
            </w:r>
          </w:p>
        </w:tc>
      </w:tr>
      <w:tr>
        <w:trPr>
          <w:cantSplit w:val="true"/>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2 02 25519 05 0000150</w:t>
            </w:r>
          </w:p>
          <w:p>
            <w:pPr>
              <w:pStyle w:val="Normal"/>
              <w:tabs>
                <w:tab w:val="clear" w:pos="720"/>
                <w:tab w:val="left" w:pos="5442" w:leader="none"/>
              </w:tabs>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 xml:space="preserve">2.1.2.8.Субсидия бюджетам муниципальных районов на поддержку отрасли культуры </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43,4</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cantSplit w:val="true"/>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2 02 25555 05 0000 150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2.1.2.9. Субсидии бюджетам муниципальных районов  на поддержку государственных программ субъектов Российской Федерации и муниципальных программ формирования современной городской среды</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2 809,1</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2 809,1</w:t>
            </w:r>
          </w:p>
        </w:tc>
      </w:tr>
      <w:tr>
        <w:trPr>
          <w:cantSplit w:val="true"/>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2 02 27576 05 0000 150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2.1.2.10. Субсидии бюджетам муниципальных районов на реализацию проектов комплексного развития сельских территорий (сельских агломераций)</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29 965,0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cantSplit w:val="true"/>
        </w:trPr>
        <w:tc>
          <w:tcPr>
            <w:tcW w:w="2694" w:type="dxa"/>
            <w:vMerge w:val="restart"/>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2 02 29999 05 0000 150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 xml:space="preserve">2.1.2.11. Прочие субсидии бюджетам муниципальных районов, </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44 281,9</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9 673,1</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54 658,6</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в том числе:</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2.1.2.11.1. Субсидии на оказание частичной финансовой поддержки районных (городских) средств массовой информации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2 836,8</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2 836,8</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2 836,8</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2.1.2.11.2. Субсидии на выплату заработной платы с начислениями на нее работникам муниципальных учреждений  и органов местного самоуправления</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18 320,5</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41 514,2</w:t>
            </w:r>
          </w:p>
        </w:tc>
      </w:tr>
      <w:tr>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2.1.2.11.3. Субсидии на компенсацию части платежа по полученным гражданами-участниками социальной (льготной) ипотеки ипотечным жилищным кредитам (займам)</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53,4</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13,2</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2.1.2.11.4. Субсидии на обеспечение доступа к системе электронного документооборота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104,5</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400,9</w:t>
            </w:r>
          </w:p>
        </w:tc>
      </w:tr>
      <w:tr>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2.1.2.11.5.  Субсидии на капитальный ремонт образовательных организаций Нижегородской области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3 408,5</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5 121,7</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8 205,3</w:t>
            </w:r>
          </w:p>
        </w:tc>
      </w:tr>
      <w:tr>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2.1.2.11.6. Субсидии на дополнительное финансовое обеспечение мероприятий по организации бесплатного горячего питания обучающихся, получающих начальное общее образование в муниципальных образовательных организациях Нижегородской области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1 701,4</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1 701,4</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1 701,4</w:t>
            </w:r>
          </w:p>
        </w:tc>
      </w:tr>
      <w:tr>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2.1.2.11.7. Субсидии на реализацию проекта  инициативного бюджетирования «Вам решать»</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9 712,6</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b/>
                <w:b/>
                <w:sz w:val="24"/>
                <w:szCs w:val="24"/>
              </w:rPr>
            </w:pPr>
            <w:r>
              <w:rPr>
                <w:b/>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2.1.2.11.8. Субсидии на оплату труда отдельным категориям работников муниципальных учреждений и органов местного самоуправления</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4 144,2</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b/>
                <w:b/>
                <w:sz w:val="24"/>
                <w:szCs w:val="24"/>
              </w:rPr>
            </w:pPr>
            <w:r>
              <w:rPr>
                <w:b/>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2.1.2.11.9. Субсидии на реализацию полномочий органов местного самоуправления по решению вопросов местного значения</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4 000,0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2 02 30000 00 0000 150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2.1.3. Субвенции бюджетам субъектов Российской Федерации и муниципальных образований</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255 825,0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227 730,3</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229 309,2</w:t>
            </w:r>
          </w:p>
        </w:tc>
      </w:tr>
      <w:tr>
        <w:trPr>
          <w:cantSplit w:val="true"/>
        </w:trPr>
        <w:tc>
          <w:tcPr>
            <w:tcW w:w="2694" w:type="dxa"/>
            <w:vMerge w:val="restart"/>
            <w:tcBorders>
              <w:top w:val="single" w:sz="4" w:space="0" w:color="000000"/>
              <w:left w:val="single" w:sz="4" w:space="0" w:color="000000"/>
              <w:bottom w:val="single" w:sz="4" w:space="0" w:color="000000"/>
              <w:right w:val="single" w:sz="4" w:space="0" w:color="000000"/>
            </w:tcBorders>
          </w:tcPr>
          <w:p>
            <w:pPr>
              <w:pStyle w:val="Normal"/>
              <w:tabs>
                <w:tab w:val="clear" w:pos="720"/>
                <w:tab w:val="left" w:pos="1808" w:leader="none"/>
                <w:tab w:val="left" w:pos="5442" w:leader="none"/>
              </w:tabs>
              <w:jc w:val="both"/>
              <w:rPr>
                <w:sz w:val="24"/>
                <w:szCs w:val="24"/>
              </w:rPr>
            </w:pPr>
            <w:r>
              <w:rPr>
                <w:sz w:val="24"/>
                <w:szCs w:val="24"/>
              </w:rPr>
              <w:t>2 02 30024 05 0000 150</w:t>
            </w:r>
          </w:p>
          <w:p>
            <w:pPr>
              <w:pStyle w:val="Normal"/>
              <w:tabs>
                <w:tab w:val="clear" w:pos="720"/>
                <w:tab w:val="left" w:pos="1808" w:leader="none"/>
                <w:tab w:val="left" w:pos="5442" w:leader="none"/>
              </w:tabs>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 Субвенции бюджетам муниципальных районов на выполнение передаваемых полномочий субъектов Российской Федерации,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214 502,1</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186 939,1</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188 433,8</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в том числе:</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2.1.3.1.1. Субвенции на исполнение полномочий в сфере общего образования в муниципальных образовательных организациях</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96 954,9</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96 954,9</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96 954,9</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2.1.3.1.2. Субвенции на осуществление органами местного самоуправления муниципальных районов полномочий органов государственной власти Нижегородской области по расчету и предоставлению дотаций бюджетам поселений</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32 201,9</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25 599,7</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27 094,4</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2.1.3.1.3. Субвенции на осуществление государственных полномочий по поддержке сельскохозяйственного производства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4 331,7</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4 331,7</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4 331,7</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2.1.3.1.4. 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602,6</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602,6</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602,6</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2.1.3.1.5. Субвенции на  осуществление полномочий по созданию и организации деятельности муниципальных комиссий по делам несовершеннолетних и защите их прав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469,7</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469,7</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469,7</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2.1.3.1.6. Субвенции на исполнение полномочий по финансовому обеспечению  осуществления присмотра и ухода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образовательные программы дошкольного образования</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464,1</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464,1</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464,1</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2.1.3.1.7. Субвенции на исполнение полномочий в сфере общего образования в муниципальных дошкольных образовательных организациях</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50 385,5</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50 385,5</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50 385,5</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2.1.3.1.8. Субвенции на 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465,4</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465,4</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465,4</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2.1.3.1.9.Субвенции на осуществление полномочий по организации мероприятий при осуществлении деятельности по обращению с животными в части отлова и содержания животных без владельцев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88,0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2.1.3.1.10. Субвенции на компенсацию части расходов по приобретению путевки и предоставлению путевки с частичной оплатой за счет средств областного бюджета в организации, осуществляющие санаторно-курортное лечение детей в соответствии с имеющейся лицензией, организации, осуществляющие санаторно-курортную помощь детям в соответствии с имеющейся лицензией, расположенные на территории Российской Федерации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286,1</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286,1</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286,1</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2.1.3.1.11. Субвенции на осуществление полномочий по организации и осуществлению деятельности по опеке и попечительству в отношении совершеннолетних граждан</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394,2</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394,2</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394,2</w:t>
            </w:r>
          </w:p>
        </w:tc>
      </w:tr>
      <w:tr>
        <w:trPr>
          <w:cantSplit w:val="true"/>
        </w:trPr>
        <w:tc>
          <w:tcPr>
            <w:tcW w:w="2694" w:type="dxa"/>
            <w:vMerge w:val="restart"/>
            <w:tcBorders>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2.1.3.1.12. Субвенции на исполнение полномочий по дополнительному финансовому обеспечению мероприятий по организации двухразового бесплатного питания обучающихся с ограниченными возможностями здоровья, не проживающих в муниципальных организациях, осуществляющих образовательную деятельность по адаптированным основным общеобразовательным программам, в части финансирования стоимости наборов продуктов для организации питания</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1 039,2</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1 039,2</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1 039,2</w:t>
            </w:r>
          </w:p>
        </w:tc>
      </w:tr>
      <w:tr>
        <w:trPr>
          <w:cantSplit w:val="true"/>
        </w:trPr>
        <w:tc>
          <w:tcPr>
            <w:tcW w:w="2694" w:type="dxa"/>
            <w:vMerge w:val="continue"/>
            <w:tcBorders>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2.1.3.1.13. Субвенции на проведение ремонта жилых помещений, собственниками которых являются дети-сироты и дети, оставшиеся без попечения родителей, либо жилых помещений государственного жилищного фонда, право пользования которыми за ними сохранено, в целях обеспечения надлежащего санитарного и технического состояния этих жилых помещений</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84,9</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cantSplit w:val="true"/>
        </w:trPr>
        <w:tc>
          <w:tcPr>
            <w:tcW w:w="2694" w:type="dxa"/>
            <w:vMerge w:val="continue"/>
            <w:tcBorders>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2.1.3.1.14. Субвенции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300,5</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300,5</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300,5</w:t>
            </w:r>
          </w:p>
        </w:tc>
      </w:tr>
      <w:tr>
        <w:trPr>
          <w:cantSplit w:val="true"/>
        </w:trPr>
        <w:tc>
          <w:tcPr>
            <w:tcW w:w="2694" w:type="dxa"/>
            <w:vMerge w:val="continue"/>
            <w:tcBorders>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 xml:space="preserve">2.1.3.1.15. </w:t>
            </w:r>
            <w:r>
              <w:rPr>
                <w:bCs/>
                <w:kern w:val="2"/>
                <w:sz w:val="24"/>
                <w:szCs w:val="24"/>
              </w:rPr>
              <w:t>Субвенции на возмещение части затрат на приобретение оборудования и техники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26 193,3</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5 643,2</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5 643,2</w:t>
            </w:r>
          </w:p>
        </w:tc>
      </w:tr>
      <w:tr>
        <w:trPr>
          <w:cantSplit w:val="true"/>
        </w:trPr>
        <w:tc>
          <w:tcPr>
            <w:tcW w:w="2694" w:type="dxa"/>
            <w:vMerge w:val="continue"/>
            <w:tcBorders>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2.1.3.1.16.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w:t>
            </w:r>
          </w:p>
          <w:p>
            <w:pPr>
              <w:pStyle w:val="Normal"/>
              <w:tabs>
                <w:tab w:val="clear" w:pos="720"/>
                <w:tab w:val="left" w:pos="5442" w:leader="none"/>
              </w:tabs>
              <w:jc w:val="both"/>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2,3</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2,3</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2,3</w:t>
            </w:r>
          </w:p>
        </w:tc>
      </w:tr>
      <w:tr>
        <w:trPr>
          <w:cantSplit w:val="true"/>
        </w:trPr>
        <w:tc>
          <w:tcPr>
            <w:tcW w:w="2694" w:type="dxa"/>
            <w:vMerge w:val="continue"/>
            <w:tcBorders>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2.1.3.1.17. Субвенции на возмещение производителям зерновых культур части затрат на производство и реализацию зерновых культур</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237,8</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cantSplit w:val="true"/>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2 02 30029 05 0000 150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numPr>
                <w:ilvl w:val="0"/>
                <w:numId w:val="0"/>
              </w:numPr>
              <w:jc w:val="both"/>
              <w:outlineLvl w:val="0"/>
              <w:rPr>
                <w:sz w:val="24"/>
                <w:szCs w:val="24"/>
              </w:rPr>
            </w:pPr>
            <w:r>
              <w:rPr>
                <w:sz w:val="24"/>
                <w:szCs w:val="24"/>
              </w:rPr>
              <w:t xml:space="preserve">2.1.3.2. </w:t>
            </w:r>
            <w:r>
              <w:rPr>
                <w:bCs/>
                <w:kern w:val="2"/>
                <w:sz w:val="24"/>
                <w:szCs w:val="24"/>
              </w:rPr>
              <w:t>Субвенции бюджетам муниципальных районов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2 024,2</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2 024,2</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2 024,2</w:t>
            </w:r>
          </w:p>
        </w:tc>
      </w:tr>
      <w:tr>
        <w:trPr>
          <w:cantSplit w:val="true"/>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pPr>
            <w:r>
              <w:rPr>
                <w:sz w:val="24"/>
                <w:szCs w:val="24"/>
              </w:rPr>
              <w:t>2 02 35082 05 0000 150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numPr>
                <w:ilvl w:val="0"/>
                <w:numId w:val="0"/>
              </w:numPr>
              <w:jc w:val="both"/>
              <w:outlineLvl w:val="0"/>
              <w:rPr>
                <w:sz w:val="24"/>
                <w:szCs w:val="24"/>
              </w:rPr>
            </w:pPr>
            <w:r>
              <w:rPr>
                <w:sz w:val="24"/>
                <w:szCs w:val="24"/>
              </w:rPr>
              <w:t xml:space="preserve">2.1.3.3. </w:t>
            </w:r>
            <w:r>
              <w:rPr>
                <w:bCs/>
                <w:kern w:val="2"/>
                <w:sz w:val="24"/>
                <w:szCs w:val="24"/>
              </w:rPr>
              <w:t>Субвенции</w:t>
            </w:r>
            <w:r>
              <w:rPr>
                <w:sz w:val="24"/>
                <w:szCs w:val="24"/>
              </w:rPr>
              <w:t xml:space="preserve"> бюджетам муниципальных районов</w:t>
            </w:r>
            <w:r>
              <w:rPr>
                <w:bCs/>
                <w:kern w:val="2"/>
                <w:sz w:val="24"/>
                <w:szCs w:val="24"/>
              </w:rPr>
              <w:t xml:space="preserve">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4 318,6</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4 318,6</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4 318,6</w:t>
            </w:r>
          </w:p>
        </w:tc>
      </w:tr>
      <w:tr>
        <w:trPr>
          <w:cantSplit w:val="true"/>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pPr>
            <w:r>
              <w:rPr>
                <w:sz w:val="24"/>
                <w:szCs w:val="24"/>
              </w:rPr>
              <w:t>2 02 35118 05 0000 150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numPr>
                <w:ilvl w:val="0"/>
                <w:numId w:val="0"/>
              </w:numPr>
              <w:jc w:val="both"/>
              <w:outlineLvl w:val="0"/>
              <w:rPr>
                <w:sz w:val="24"/>
                <w:szCs w:val="24"/>
              </w:rPr>
            </w:pPr>
            <w:r>
              <w:rPr>
                <w:sz w:val="24"/>
                <w:szCs w:val="24"/>
              </w:rPr>
              <w:t xml:space="preserve">2.1.3.4. </w:t>
            </w:r>
            <w:r>
              <w:rPr>
                <w:bCs/>
                <w:kern w:val="2"/>
                <w:sz w:val="24"/>
                <w:szCs w:val="24"/>
              </w:rPr>
              <w:t xml:space="preserve">Субвенции </w:t>
            </w:r>
            <w:r>
              <w:rPr>
                <w:sz w:val="24"/>
                <w:szCs w:val="24"/>
              </w:rPr>
              <w:t>бюджетам муниципальных районов</w:t>
            </w:r>
            <w:r>
              <w:rPr>
                <w:bCs/>
                <w:kern w:val="2"/>
                <w:sz w:val="24"/>
                <w:szCs w:val="24"/>
              </w:rPr>
              <w:t xml:space="preserve">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891,8</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900,5</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934,3</w:t>
            </w:r>
          </w:p>
        </w:tc>
      </w:tr>
      <w:tr>
        <w:trPr>
          <w:cantSplit w:val="true"/>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2 02 35120 05 0000 150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numPr>
                <w:ilvl w:val="0"/>
                <w:numId w:val="0"/>
              </w:numPr>
              <w:jc w:val="both"/>
              <w:outlineLvl w:val="0"/>
              <w:rPr>
                <w:sz w:val="24"/>
                <w:szCs w:val="24"/>
              </w:rPr>
            </w:pPr>
            <w:r>
              <w:rPr>
                <w:sz w:val="24"/>
                <w:szCs w:val="24"/>
              </w:rPr>
              <w:t xml:space="preserve">2.1.3.5. </w:t>
            </w:r>
            <w:r>
              <w:rPr>
                <w:bCs/>
                <w:kern w:val="2"/>
                <w:sz w:val="24"/>
                <w:szCs w:val="24"/>
              </w:rPr>
              <w:t xml:space="preserve">Субвенции </w:t>
            </w:r>
            <w:r>
              <w:rPr>
                <w:sz w:val="24"/>
                <w:szCs w:val="24"/>
              </w:rPr>
              <w:t>бюджетам муниципальных районов</w:t>
            </w:r>
            <w:r>
              <w:rPr>
                <w:bCs/>
                <w:kern w:val="2"/>
                <w:sz w:val="24"/>
                <w:szCs w:val="24"/>
              </w:rPr>
              <w:t xml:space="preserve">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Российской Федерации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12,6</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54,5</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5,1</w:t>
            </w:r>
          </w:p>
        </w:tc>
      </w:tr>
      <w:tr>
        <w:trPr>
          <w:trHeight w:val="1666" w:hRule="atLeast"/>
          <w:cantSplit w:val="true"/>
        </w:trPr>
        <w:tc>
          <w:tcPr>
            <w:tcW w:w="2694" w:type="dxa"/>
            <w:tcBorders>
              <w:top w:val="single" w:sz="4" w:space="0" w:color="000000"/>
              <w:left w:val="single" w:sz="4" w:space="0" w:color="000000"/>
              <w:bottom w:val="single" w:sz="4" w:space="0" w:color="000000"/>
              <w:right w:val="single" w:sz="4" w:space="0" w:color="000000"/>
            </w:tcBorders>
          </w:tcPr>
          <w:p>
            <w:pPr>
              <w:pStyle w:val="Normal"/>
              <w:autoSpaceDE w:val="false"/>
              <w:rPr>
                <w:sz w:val="24"/>
                <w:szCs w:val="24"/>
              </w:rPr>
            </w:pPr>
            <w:r>
              <w:rPr>
                <w:sz w:val="24"/>
                <w:szCs w:val="24"/>
              </w:rPr>
              <w:t>2 02 35135 05 0000 150</w:t>
            </w:r>
          </w:p>
          <w:p>
            <w:pPr>
              <w:pStyle w:val="Normal"/>
              <w:tabs>
                <w:tab w:val="clear" w:pos="720"/>
                <w:tab w:val="left" w:pos="5442" w:leader="none"/>
              </w:tabs>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numPr>
                <w:ilvl w:val="0"/>
                <w:numId w:val="0"/>
              </w:numPr>
              <w:jc w:val="both"/>
              <w:outlineLvl w:val="0"/>
              <w:rPr>
                <w:sz w:val="24"/>
                <w:szCs w:val="24"/>
              </w:rPr>
            </w:pPr>
            <w:r>
              <w:rPr>
                <w:sz w:val="24"/>
                <w:szCs w:val="24"/>
              </w:rPr>
              <w:t>2.1.3.6. Субвенции бюджетам муниципальных районов на обеспечение жильем отдельных категорий граждан, установленных Федеральным законом от 12 января 1995 года № 5-ФЗ «О ветеранах»</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1 008,9</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1 051,2</w:t>
            </w:r>
          </w:p>
        </w:tc>
      </w:tr>
      <w:tr>
        <w:trPr>
          <w:trHeight w:val="1666" w:hRule="atLeast"/>
          <w:cantSplit w:val="true"/>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2 02 35303 05 0000 150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numPr>
                <w:ilvl w:val="0"/>
                <w:numId w:val="0"/>
              </w:numPr>
              <w:jc w:val="both"/>
              <w:outlineLvl w:val="0"/>
              <w:rPr>
                <w:sz w:val="24"/>
                <w:szCs w:val="24"/>
              </w:rPr>
            </w:pPr>
            <w:r>
              <w:rPr>
                <w:sz w:val="24"/>
                <w:szCs w:val="24"/>
              </w:rPr>
              <w:t>2.1.3.7. Субвенции бюджетам муниципальных районов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муниципальных образовательных организаций Нижегородской области,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7 847,1</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pPr>
            <w:r>
              <w:rPr>
                <w:sz w:val="24"/>
                <w:szCs w:val="24"/>
              </w:rPr>
              <w:t>7 847,1</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7 847,1</w:t>
            </w:r>
          </w:p>
        </w:tc>
      </w:tr>
      <w:tr>
        <w:trPr>
          <w:trHeight w:val="1666" w:hRule="atLeast"/>
          <w:cantSplit w:val="true"/>
        </w:trPr>
        <w:tc>
          <w:tcPr>
            <w:tcW w:w="2694" w:type="dxa"/>
            <w:vMerge w:val="restart"/>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2 02 35502 05 0000 150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numPr>
                <w:ilvl w:val="0"/>
                <w:numId w:val="0"/>
              </w:numPr>
              <w:jc w:val="both"/>
              <w:outlineLvl w:val="0"/>
              <w:rPr>
                <w:sz w:val="24"/>
                <w:szCs w:val="24"/>
              </w:rPr>
            </w:pPr>
            <w:r>
              <w:rPr>
                <w:sz w:val="24"/>
                <w:szCs w:val="24"/>
              </w:rPr>
              <w:t>2.1.3.8. Субвенции бюджетам муниципальных районов на стимулирование развития приоритетных подотраслей агропромышленного комплекса и развития малых форм хозяйствования,</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7 201,2</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11 588,9</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11 646,4</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в том числе:</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pPr>
            <w:r>
              <w:rPr>
                <w:sz w:val="24"/>
                <w:szCs w:val="24"/>
              </w:rPr>
              <w:t>2.1.3.8.1.  Субвенции на возмещение части затрат на уплату процентов по кредитам, полученным в российских кредитных организациях, и займам, полученным в сельскохозяйственных кредитных потребительских кооперативах</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0,9</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2.1.3.8.2.  Субвенции на возмещение части затрат, связанных с производством, реализацией и (или) отгрузкой на собственную переработку сельскохозяйственных культур по ставке на 1 гектар</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4 285,7</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8 323,6</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8 380,4</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2.1.3.8.3. Субвенции на возмещение части затрат, связанных с производством, реализацией и (или) отгрузкой на собственную переработку молока по ставке на 1 голову</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202,6</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270,1</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270,1</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2.1.3.8.4. Субвенции на возмещение части затрат, связанных с производством, реализацией и (или) отгрузкой на собственную переработку товарного поголовья коров специализированных мясных пород по ставке на 1 голову</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2 712,0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2 995,2</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2 995,2</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2.1.3.8.5.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0,7</w:t>
            </w:r>
          </w:p>
        </w:tc>
      </w:tr>
      <w:tr>
        <w:trPr>
          <w:cantSplit w:val="true"/>
        </w:trPr>
        <w:tc>
          <w:tcPr>
            <w:tcW w:w="2694" w:type="dxa"/>
            <w:vMerge w:val="restart"/>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pPr>
            <w:r>
              <w:rPr>
                <w:sz w:val="24"/>
                <w:szCs w:val="24"/>
              </w:rPr>
              <w:t>2 02 35508 05 0000 150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2.1.3.9. Субвенции бюджетам муниципальных районов на поддержку сельскохозяйственного производства по отдельным подотраслям растениеводства и животноводства,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19 027,4</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13 048,5</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13 048,5</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в том числе:</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numPr>
                <w:ilvl w:val="0"/>
                <w:numId w:val="0"/>
              </w:numPr>
              <w:jc w:val="both"/>
              <w:outlineLvl w:val="0"/>
              <w:rPr>
                <w:sz w:val="24"/>
                <w:szCs w:val="24"/>
              </w:rPr>
            </w:pPr>
            <w:r>
              <w:rPr>
                <w:sz w:val="24"/>
                <w:szCs w:val="24"/>
              </w:rPr>
              <w:t xml:space="preserve">2.1.3.9.1. </w:t>
            </w:r>
            <w:r>
              <w:rPr>
                <w:bCs/>
                <w:kern w:val="2"/>
                <w:sz w:val="24"/>
                <w:szCs w:val="24"/>
              </w:rPr>
              <w:t>Субвенции на возмещение части затрат на поддержку элитного семеноводства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3 977,3</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2 953,3</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2 953,3</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numPr>
                <w:ilvl w:val="0"/>
                <w:numId w:val="0"/>
              </w:numPr>
              <w:jc w:val="both"/>
              <w:outlineLvl w:val="0"/>
              <w:rPr>
                <w:sz w:val="24"/>
                <w:szCs w:val="24"/>
              </w:rPr>
            </w:pPr>
            <w:r>
              <w:rPr>
                <w:sz w:val="24"/>
                <w:szCs w:val="24"/>
              </w:rPr>
              <w:t>2.1.3.9.2. Субвенции на возмещение части затрат на поддержку племенного животноводства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9 147,7</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1 720,0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1 720,0</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numPr>
                <w:ilvl w:val="0"/>
                <w:numId w:val="0"/>
              </w:numPr>
              <w:jc w:val="both"/>
              <w:outlineLvl w:val="0"/>
              <w:rPr>
                <w:sz w:val="24"/>
                <w:szCs w:val="24"/>
              </w:rPr>
            </w:pPr>
            <w:r>
              <w:rPr>
                <w:sz w:val="24"/>
                <w:szCs w:val="24"/>
              </w:rPr>
              <w:t xml:space="preserve">2.1.3.9.3. </w:t>
            </w:r>
            <w:r>
              <w:rPr>
                <w:bCs/>
                <w:kern w:val="2"/>
                <w:sz w:val="24"/>
                <w:szCs w:val="24"/>
              </w:rPr>
              <w:t>Субвенции на возмещение части затрат на поддержку собственного производства молока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5 902,4</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8 375,2</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8 375,2</w:t>
            </w:r>
          </w:p>
        </w:tc>
      </w:tr>
      <w:tr>
        <w:trPr>
          <w:cantSplit w:val="true"/>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2 02 40000 00 0000 150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2.1.4. Иные межбюджетные трансферты</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36 256,7</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33 209,8</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33 209,8</w:t>
            </w:r>
          </w:p>
        </w:tc>
      </w:tr>
      <w:tr>
        <w:trPr>
          <w:cantSplit w:val="true"/>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2 02 40014 05 0000 150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2.1.4.1. Межбюджетные трансферты,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33 299,5</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33 209,8</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33 209,8</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2 02 45160 05 0000 150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2.1.4.2. 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2 957,2</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b/>
                <w:sz w:val="24"/>
                <w:szCs w:val="24"/>
              </w:rPr>
              <w:t>2 04 00000 00 0000 150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2.2.  Безвозмездные поступления от негосударственных организаций</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19 359,5</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b/>
                <w:b/>
                <w:sz w:val="24"/>
                <w:szCs w:val="24"/>
              </w:rPr>
            </w:pPr>
            <w:r>
              <w:rPr>
                <w:b/>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b/>
                <w:b/>
                <w:sz w:val="24"/>
                <w:szCs w:val="24"/>
              </w:rPr>
            </w:pPr>
            <w:r>
              <w:rPr>
                <w:b/>
                <w:sz w:val="24"/>
                <w:szCs w:val="24"/>
              </w:rPr>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2 04 05099 05 0000 150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sz w:val="24"/>
                <w:szCs w:val="24"/>
              </w:rPr>
              <w:t>2.2.1. Прочие безвозмездные поступления от негосударственных организаций в бюджеты муниципальных районов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19 359,5</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b/>
                <w:b/>
                <w:sz w:val="24"/>
                <w:szCs w:val="24"/>
              </w:rPr>
            </w:pPr>
            <w:r>
              <w:rPr>
                <w:b/>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b/>
                <w:b/>
                <w:sz w:val="24"/>
                <w:szCs w:val="24"/>
              </w:rPr>
            </w:pPr>
            <w:r>
              <w:rPr>
                <w:b/>
                <w:sz w:val="24"/>
                <w:szCs w:val="24"/>
              </w:rPr>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2 18 00000 00 0000 150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2.3. Доходы бюджетов бюджетной системы Российской Федерации от возврата бюджетами бюджетной системы Российской Федерации остатков субсидий, субвенций и иных межбюджетных трансфертов, имеющих целевое назначение, прошлых лет, а также от возврата организациями остатков субсидий прошлых лет</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30,4</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b/>
                <w:b/>
                <w:sz w:val="24"/>
                <w:szCs w:val="24"/>
              </w:rPr>
            </w:pPr>
            <w:r>
              <w:rPr>
                <w:b/>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b/>
                <w:b/>
                <w:sz w:val="24"/>
                <w:szCs w:val="24"/>
              </w:rPr>
            </w:pPr>
            <w:r>
              <w:rPr>
                <w:b/>
                <w:sz w:val="24"/>
                <w:szCs w:val="24"/>
              </w:rPr>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2 18 60010 05 0000 150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2.3.1. Доходы бюджетов муниципальных районов от возврата прочих остатков субсидий, субвенций и иных межбюджетных трансфертов, имеющих целевое назначение, прошлых лет из бюджетов поселений</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30,4</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b/>
                <w:b/>
                <w:sz w:val="24"/>
                <w:szCs w:val="24"/>
              </w:rPr>
            </w:pPr>
            <w:r>
              <w:rPr>
                <w:b/>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b/>
                <w:b/>
                <w:sz w:val="24"/>
                <w:szCs w:val="24"/>
              </w:rPr>
            </w:pPr>
            <w:r>
              <w:rPr>
                <w:b/>
                <w:sz w:val="24"/>
                <w:szCs w:val="24"/>
              </w:rPr>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2 19 00000 00 0000 150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2.4. Возврат остатков субсидий, субвенций и иных межбюджетных трансфертов, имеющих целевое назначение, прошлых лет</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-1 616,7</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b/>
                <w:b/>
                <w:sz w:val="24"/>
                <w:szCs w:val="24"/>
              </w:rPr>
            </w:pPr>
            <w:r>
              <w:rPr>
                <w:b/>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b/>
                <w:b/>
                <w:sz w:val="24"/>
                <w:szCs w:val="24"/>
              </w:rPr>
            </w:pPr>
            <w:r>
              <w:rPr>
                <w:b/>
                <w:sz w:val="24"/>
                <w:szCs w:val="24"/>
              </w:rPr>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2 19 60010 05 0000 150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2.4.1. Возврат прочих остатков субсидий, субвенций и иных межбюджетных трансфертов, имеющих целевое назначение, прошлых лет из бюджетов муниципальных районов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-1 616,7</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Всего доходов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700 721,2</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548 674,6</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pPr>
            <w:r>
              <w:rPr>
                <w:b/>
                <w:sz w:val="24"/>
                <w:szCs w:val="24"/>
              </w:rPr>
              <w:t>611 449,3</w:t>
            </w:r>
          </w:p>
        </w:tc>
      </w:tr>
    </w:tbl>
    <w:p>
      <w:pPr>
        <w:sectPr>
          <w:type w:val="nextPage"/>
          <w:pgSz w:w="11906" w:h="16838"/>
          <w:pgMar w:left="1418" w:right="851" w:gutter="0" w:header="0" w:top="851" w:footer="0" w:bottom="851"/>
          <w:pgNumType w:fmt="decimal"/>
          <w:formProt w:val="false"/>
          <w:titlePg/>
          <w:textDirection w:val="lrTb"/>
          <w:docGrid w:type="default" w:linePitch="272" w:charSpace="0"/>
        </w:sectPr>
      </w:pPr>
    </w:p>
    <w:p>
      <w:pPr>
        <w:pStyle w:val="Normal"/>
        <w:jc w:val="right"/>
        <w:rPr>
          <w:sz w:val="28"/>
          <w:szCs w:val="28"/>
        </w:rPr>
      </w:pPr>
      <w:r>
        <w:rPr>
          <w:sz w:val="28"/>
          <w:szCs w:val="28"/>
        </w:rPr>
        <w:t>Приложение 5</w:t>
      </w:r>
    </w:p>
    <w:p>
      <w:pPr>
        <w:pStyle w:val="Normal"/>
        <w:jc w:val="right"/>
        <w:rPr>
          <w:sz w:val="28"/>
          <w:szCs w:val="28"/>
        </w:rPr>
      </w:pPr>
      <w:r>
        <w:rPr>
          <w:sz w:val="28"/>
          <w:szCs w:val="28"/>
        </w:rPr>
        <w:t>к решению Земского собрания</w:t>
      </w:r>
    </w:p>
    <w:p>
      <w:pPr>
        <w:pStyle w:val="Normal"/>
        <w:jc w:val="right"/>
        <w:rPr>
          <w:sz w:val="28"/>
          <w:szCs w:val="28"/>
        </w:rPr>
      </w:pPr>
      <w:r>
        <w:rPr>
          <w:sz w:val="28"/>
          <w:szCs w:val="28"/>
        </w:rPr>
        <w:t>Шарангского муниципального района</w:t>
      </w:r>
    </w:p>
    <w:p>
      <w:pPr>
        <w:pStyle w:val="Normal"/>
        <w:jc w:val="right"/>
        <w:rPr>
          <w:sz w:val="28"/>
          <w:szCs w:val="28"/>
        </w:rPr>
      </w:pPr>
      <w:r>
        <w:rPr>
          <w:sz w:val="28"/>
          <w:szCs w:val="28"/>
        </w:rPr>
        <w:t xml:space="preserve">                                                                                                                                   </w:t>
      </w:r>
      <w:r>
        <w:rPr>
          <w:sz w:val="28"/>
          <w:szCs w:val="28"/>
        </w:rPr>
        <w:t xml:space="preserve">«О районном бюджете на 2021 год и </w:t>
      </w:r>
    </w:p>
    <w:p>
      <w:pPr>
        <w:pStyle w:val="Normal"/>
        <w:jc w:val="right"/>
        <w:rPr>
          <w:sz w:val="28"/>
          <w:szCs w:val="28"/>
        </w:rPr>
      </w:pPr>
      <w:r>
        <w:rPr>
          <w:sz w:val="28"/>
          <w:szCs w:val="28"/>
        </w:rPr>
        <w:t>на плановый период 2022 и 2023 годов»</w:t>
      </w:r>
    </w:p>
    <w:p>
      <w:pPr>
        <w:pStyle w:val="Normal"/>
        <w:overflowPunct w:val="false"/>
        <w:autoSpaceDE w:val="false"/>
        <w:jc w:val="center"/>
        <w:textAlignment w:val="baseline"/>
        <w:rPr>
          <w:b/>
          <w:b/>
          <w:kern w:val="2"/>
          <w:sz w:val="28"/>
          <w:szCs w:val="28"/>
        </w:rPr>
      </w:pPr>
      <w:r>
        <w:rPr>
          <w:b/>
          <w:kern w:val="2"/>
          <w:sz w:val="28"/>
          <w:szCs w:val="28"/>
        </w:rPr>
      </w:r>
    </w:p>
    <w:p>
      <w:pPr>
        <w:pStyle w:val="Normal"/>
        <w:overflowPunct w:val="false"/>
        <w:autoSpaceDE w:val="false"/>
        <w:jc w:val="center"/>
        <w:textAlignment w:val="baseline"/>
        <w:rPr>
          <w:b/>
          <w:b/>
          <w:kern w:val="2"/>
          <w:sz w:val="28"/>
          <w:szCs w:val="28"/>
        </w:rPr>
      </w:pPr>
      <w:r>
        <w:rPr>
          <w:b/>
          <w:kern w:val="2"/>
          <w:sz w:val="28"/>
          <w:szCs w:val="28"/>
        </w:rPr>
        <w:t>Распределение бюджетных ассигнований по целевым статьям</w:t>
      </w:r>
    </w:p>
    <w:p>
      <w:pPr>
        <w:pStyle w:val="Normal"/>
        <w:overflowPunct w:val="false"/>
        <w:autoSpaceDE w:val="false"/>
        <w:jc w:val="center"/>
        <w:textAlignment w:val="baseline"/>
        <w:rPr>
          <w:b/>
          <w:b/>
          <w:kern w:val="2"/>
          <w:sz w:val="28"/>
          <w:szCs w:val="28"/>
        </w:rPr>
      </w:pPr>
      <w:r>
        <w:rPr>
          <w:b/>
          <w:kern w:val="2"/>
          <w:sz w:val="28"/>
          <w:szCs w:val="28"/>
        </w:rPr>
        <w:t xml:space="preserve"> </w:t>
      </w:r>
      <w:r>
        <w:rPr>
          <w:b/>
          <w:kern w:val="2"/>
          <w:sz w:val="28"/>
          <w:szCs w:val="28"/>
        </w:rPr>
        <w:t>(муниципальным программам и непрограммным направлениям деятельности),</w:t>
      </w:r>
    </w:p>
    <w:p>
      <w:pPr>
        <w:pStyle w:val="Normal"/>
        <w:overflowPunct w:val="false"/>
        <w:autoSpaceDE w:val="false"/>
        <w:jc w:val="center"/>
        <w:textAlignment w:val="baseline"/>
        <w:rPr>
          <w:b/>
          <w:b/>
          <w:kern w:val="2"/>
          <w:sz w:val="28"/>
          <w:szCs w:val="28"/>
        </w:rPr>
      </w:pPr>
      <w:r>
        <w:rPr>
          <w:b/>
          <w:kern w:val="2"/>
          <w:sz w:val="28"/>
          <w:szCs w:val="28"/>
        </w:rPr>
        <w:t xml:space="preserve"> </w:t>
      </w:r>
      <w:r>
        <w:rPr>
          <w:b/>
          <w:kern w:val="2"/>
          <w:sz w:val="28"/>
          <w:szCs w:val="28"/>
        </w:rPr>
        <w:t>группам видов расходов классификации расходов бюджета на 2021 год</w:t>
      </w:r>
    </w:p>
    <w:p>
      <w:pPr>
        <w:pStyle w:val="Normal"/>
        <w:overflowPunct w:val="false"/>
        <w:autoSpaceDE w:val="false"/>
        <w:jc w:val="center"/>
        <w:textAlignment w:val="baseline"/>
        <w:rPr>
          <w:b/>
          <w:b/>
          <w:kern w:val="2"/>
          <w:sz w:val="28"/>
          <w:szCs w:val="28"/>
        </w:rPr>
      </w:pPr>
      <w:r>
        <w:rPr>
          <w:b/>
          <w:kern w:val="2"/>
          <w:sz w:val="28"/>
          <w:szCs w:val="28"/>
        </w:rPr>
        <w:t xml:space="preserve"> </w:t>
      </w:r>
      <w:r>
        <w:rPr>
          <w:b/>
          <w:kern w:val="2"/>
          <w:sz w:val="28"/>
          <w:szCs w:val="28"/>
        </w:rPr>
        <w:t>и на плановый период 2022 и 2023 годов</w:t>
      </w:r>
    </w:p>
    <w:p>
      <w:pPr>
        <w:pStyle w:val="Normal"/>
        <w:ind w:left="540" w:hanging="0"/>
        <w:jc w:val="right"/>
        <w:rPr/>
      </w:pPr>
      <w:r>
        <w:rPr/>
        <w:t>(тыс.рублей)</w:t>
      </w:r>
    </w:p>
    <w:tbl>
      <w:tblPr>
        <w:tblW w:w="14759" w:type="dxa"/>
        <w:jc w:val="left"/>
        <w:tblInd w:w="-20" w:type="dxa"/>
        <w:tblLayout w:type="fixed"/>
        <w:tblCellMar>
          <w:top w:w="0" w:type="dxa"/>
          <w:left w:w="108" w:type="dxa"/>
          <w:bottom w:w="0" w:type="dxa"/>
          <w:right w:w="108" w:type="dxa"/>
        </w:tblCellMar>
      </w:tblPr>
      <w:tblGrid>
        <w:gridCol w:w="8095"/>
        <w:gridCol w:w="1780"/>
        <w:gridCol w:w="913"/>
        <w:gridCol w:w="1276"/>
        <w:gridCol w:w="1377"/>
        <w:gridCol w:w="1318"/>
      </w:tblGrid>
      <w:tr>
        <w:trPr>
          <w:tblHeader w:val="true"/>
          <w:trHeight w:val="23" w:hRule="atLeast"/>
        </w:trPr>
        <w:tc>
          <w:tcPr>
            <w:tcW w:w="8095"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Наименование</w:t>
            </w:r>
          </w:p>
        </w:tc>
        <w:tc>
          <w:tcPr>
            <w:tcW w:w="2693" w:type="dxa"/>
            <w:gridSpan w:val="2"/>
            <w:tcBorders>
              <w:top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Код бюджетной классификации</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2021 год</w:t>
            </w:r>
          </w:p>
        </w:tc>
        <w:tc>
          <w:tcPr>
            <w:tcW w:w="1377"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2022 год</w:t>
            </w:r>
          </w:p>
        </w:tc>
        <w:tc>
          <w:tcPr>
            <w:tcW w:w="1318"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2023 год</w:t>
            </w:r>
          </w:p>
        </w:tc>
      </w:tr>
      <w:tr>
        <w:trPr>
          <w:tblHeader w:val="true"/>
          <w:trHeight w:val="276" w:hRule="atLeast"/>
        </w:trPr>
        <w:tc>
          <w:tcPr>
            <w:tcW w:w="809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1780" w:type="dxa"/>
            <w:vMerge w:val="restart"/>
            <w:tcBorders>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Целевая статья расходов</w:t>
            </w:r>
          </w:p>
        </w:tc>
        <w:tc>
          <w:tcPr>
            <w:tcW w:w="913" w:type="dxa"/>
            <w:vMerge w:val="restart"/>
            <w:tcBorders>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Вид расходов</w:t>
            </w:r>
          </w:p>
        </w:tc>
        <w:tc>
          <w:tcPr>
            <w:tcW w:w="127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137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131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r>
      <w:tr>
        <w:trPr>
          <w:tblHeader w:val="true"/>
          <w:trHeight w:val="276" w:hRule="atLeast"/>
        </w:trPr>
        <w:tc>
          <w:tcPr>
            <w:tcW w:w="809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1780" w:type="dxa"/>
            <w:vMerge w:val="continue"/>
            <w:tcBorders>
              <w:left w:val="single" w:sz="4" w:space="0" w:color="000000"/>
              <w:bottom w:val="single" w:sz="4" w:space="0" w:color="000000"/>
              <w:right w:val="single" w:sz="4" w:space="0" w:color="000000"/>
            </w:tcBorders>
            <w:vAlign w:val="center"/>
          </w:tcPr>
          <w:p>
            <w:pPr>
              <w:pStyle w:val="Normal"/>
              <w:snapToGrid w:val="false"/>
              <w:rPr>
                <w:bCs/>
                <w:color w:val="000000"/>
                <w:sz w:val="24"/>
                <w:szCs w:val="24"/>
              </w:rPr>
            </w:pPr>
            <w:r>
              <w:rPr>
                <w:bCs/>
                <w:color w:val="000000"/>
                <w:sz w:val="24"/>
                <w:szCs w:val="24"/>
              </w:rPr>
            </w:r>
          </w:p>
        </w:tc>
        <w:tc>
          <w:tcPr>
            <w:tcW w:w="913" w:type="dxa"/>
            <w:vMerge w:val="continue"/>
            <w:tcBorders>
              <w:left w:val="single" w:sz="4" w:space="0" w:color="000000"/>
              <w:bottom w:val="single" w:sz="4" w:space="0" w:color="000000"/>
              <w:right w:val="single" w:sz="4" w:space="0" w:color="000000"/>
            </w:tcBorders>
            <w:vAlign w:val="center"/>
          </w:tcPr>
          <w:p>
            <w:pPr>
              <w:pStyle w:val="Normal"/>
              <w:snapToGrid w:val="false"/>
              <w:rPr>
                <w:bCs/>
                <w:color w:val="000000"/>
                <w:sz w:val="24"/>
                <w:szCs w:val="24"/>
              </w:rPr>
            </w:pPr>
            <w:r>
              <w:rPr>
                <w:bCs/>
                <w:color w:val="000000"/>
                <w:sz w:val="24"/>
                <w:szCs w:val="24"/>
              </w:rPr>
            </w:r>
          </w:p>
        </w:tc>
        <w:tc>
          <w:tcPr>
            <w:tcW w:w="127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Cs/>
                <w:color w:val="000000"/>
                <w:sz w:val="24"/>
                <w:szCs w:val="24"/>
              </w:rPr>
            </w:pPr>
            <w:r>
              <w:rPr>
                <w:bCs/>
                <w:color w:val="000000"/>
                <w:sz w:val="24"/>
                <w:szCs w:val="24"/>
              </w:rPr>
            </w:r>
          </w:p>
        </w:tc>
        <w:tc>
          <w:tcPr>
            <w:tcW w:w="137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Cs/>
                <w:color w:val="000000"/>
                <w:sz w:val="24"/>
                <w:szCs w:val="24"/>
              </w:rPr>
            </w:pPr>
            <w:r>
              <w:rPr>
                <w:bCs/>
                <w:color w:val="000000"/>
                <w:sz w:val="24"/>
                <w:szCs w:val="24"/>
              </w:rPr>
            </w:r>
          </w:p>
        </w:tc>
        <w:tc>
          <w:tcPr>
            <w:tcW w:w="131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Cs/>
                <w:color w:val="000000"/>
                <w:sz w:val="24"/>
                <w:szCs w:val="24"/>
              </w:rPr>
            </w:pPr>
            <w:r>
              <w:rPr>
                <w:bCs/>
                <w:color w:val="000000"/>
                <w:sz w:val="24"/>
                <w:szCs w:val="24"/>
              </w:rPr>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Муниципальные программы</w:t>
            </w:r>
          </w:p>
        </w:tc>
        <w:tc>
          <w:tcPr>
            <w:tcW w:w="17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913"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662 954,6</w:t>
            </w:r>
          </w:p>
        </w:tc>
        <w:tc>
          <w:tcPr>
            <w:tcW w:w="1377"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495 832,8</w:t>
            </w:r>
          </w:p>
        </w:tc>
        <w:tc>
          <w:tcPr>
            <w:tcW w:w="131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548 172,9</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Муниципальная программа "Профилактика преступлений и иных правонарушений в Шарангском муниципальном районе на 2021-2025 годы"</w:t>
            </w:r>
          </w:p>
        </w:tc>
        <w:tc>
          <w:tcPr>
            <w:tcW w:w="17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01.0.00.00000</w:t>
            </w:r>
          </w:p>
        </w:tc>
        <w:tc>
          <w:tcPr>
            <w:tcW w:w="913"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15,0</w:t>
            </w:r>
          </w:p>
        </w:tc>
        <w:tc>
          <w:tcPr>
            <w:tcW w:w="1377"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15,0</w:t>
            </w:r>
          </w:p>
        </w:tc>
        <w:tc>
          <w:tcPr>
            <w:tcW w:w="131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15,0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Улучшение межведомственного взаимодействия правоохранительных органов, органов местного самоуправления и общественности в борьбе с преступностью</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01.0.03.00000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Мероприятия по проблемам профилактики преступлений, злоупотреблений наркотическими веществами, организация конкурсов и викторин на правовые темы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01.0.03.05020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01.0.03.05020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Муниципальная программа "Развитие предпринимательства и туризма в Шарангском муниципальном районе Нижегородской области на 2021-2025 годы"</w:t>
            </w:r>
          </w:p>
        </w:tc>
        <w:tc>
          <w:tcPr>
            <w:tcW w:w="17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02.0.00.00000</w:t>
            </w:r>
          </w:p>
        </w:tc>
        <w:tc>
          <w:tcPr>
            <w:tcW w:w="913"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300,0</w:t>
            </w:r>
          </w:p>
        </w:tc>
        <w:tc>
          <w:tcPr>
            <w:tcW w:w="1377"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300,0</w:t>
            </w:r>
          </w:p>
        </w:tc>
        <w:tc>
          <w:tcPr>
            <w:tcW w:w="131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300,0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Эффективная кредитно-финансовая инвестиционная поддержка субъектов малого предпринимательства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02.0.01.00000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Субсидия на поддержку малого предпринимательства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02.0.01.02290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Иные бюджетные ассигнования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02.0.01.02290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Муниципальная программа «Обеспечение граждан Шарангского района доступным и комфортным жильем на период 2021-2023 годы»</w:t>
            </w:r>
          </w:p>
        </w:tc>
        <w:tc>
          <w:tcPr>
            <w:tcW w:w="17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04.0.00.00000</w:t>
            </w:r>
          </w:p>
        </w:tc>
        <w:tc>
          <w:tcPr>
            <w:tcW w:w="913"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1 179,3</w:t>
            </w:r>
          </w:p>
        </w:tc>
        <w:tc>
          <w:tcPr>
            <w:tcW w:w="1377"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1 288,0</w:t>
            </w:r>
          </w:p>
        </w:tc>
        <w:tc>
          <w:tcPr>
            <w:tcW w:w="131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1 363,2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Подпрограмма «Обеспечение жильем молодых семей в Шарангском р-не на период 2021-2023 годы»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04.1.00.00000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1 072,5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1 261,6</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1 363,2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Государственная поддержка молодых семей Шарангского района в решении жилищной проблемы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04.1.01.00000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1 071,0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1 260,1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1 361,7</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социальных выплат молодым семьям на приобретение (строительство) жилья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04.1.01.L4970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1 071,0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1 260,1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1 361,7</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Социальное обеспечение и иные выплаты населению</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04.1.01.L4970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1 071,0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1 260,1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1 361,7</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Компенсация процентной ставки по кредитам, выданным до 31.12.2006 года в рамках РЦП "Молодой семье - доступное жилье" на 2005 - 2010 годы, утвержденной решением ЗС Шарангского р-на от 15.04.2005 г. №15</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04.1.03.00000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социальных выплат гражданам на оплату части процентной ставки по кредитам на строительство (приобретение) жилья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04.1.03.10060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Социальное обеспечение и иные выплаты населению</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04.1.03.10060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Подпрограмма «Ипотечное жилищное кредитование населения Шарангского района на период 2021-2023 годы»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04.2.00.00000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106,8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26,4</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Оказание государственной поддержки гражданам Шарангского района в решении жилищной проблемы с использованием ипотечного жилищного кредитования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04.2.02.00000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106,8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26,4</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компенсацию части платежа по полученным гражданами - участниками социальной (льготной) ипотеки ипотечным жилищным кредитам (займам)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04.2.02.S2270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106,8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26,4</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Социальное обеспечение и иные выплаты населению</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04.2.02.S2270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106,8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26,4</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Муниципальная программа «Противодействие коррупции в Шарангском муниципальном районе на 2021-2025 годы»</w:t>
            </w:r>
          </w:p>
        </w:tc>
        <w:tc>
          <w:tcPr>
            <w:tcW w:w="17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05.0.00.00000</w:t>
            </w:r>
          </w:p>
        </w:tc>
        <w:tc>
          <w:tcPr>
            <w:tcW w:w="913"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10,0</w:t>
            </w:r>
          </w:p>
        </w:tc>
        <w:tc>
          <w:tcPr>
            <w:tcW w:w="1377"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10,0</w:t>
            </w:r>
          </w:p>
        </w:tc>
        <w:tc>
          <w:tcPr>
            <w:tcW w:w="131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Организация на территории Шарангского муниципального района антикоррупционного просвещения, обучения и воспитания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05.0.03.00000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Организация обучения по программам повышения квалификации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05.0.03.20401</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05.0.03.20401</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pPr>
            <w:r>
              <w:rPr>
                <w:bCs/>
                <w:color w:val="000000"/>
                <w:sz w:val="24"/>
                <w:szCs w:val="24"/>
              </w:rPr>
              <w:t>0,5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0,5</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05.0.03.20401</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9,5</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Муниципальная программа «Развитие транспортной системы в Шарангском муниципальном районе Нижегородской области в 2021-2025 годы»</w:t>
            </w:r>
          </w:p>
        </w:tc>
        <w:tc>
          <w:tcPr>
            <w:tcW w:w="17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06.0.00.00000</w:t>
            </w:r>
          </w:p>
        </w:tc>
        <w:tc>
          <w:tcPr>
            <w:tcW w:w="913"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12 251,3</w:t>
            </w:r>
          </w:p>
        </w:tc>
        <w:tc>
          <w:tcPr>
            <w:tcW w:w="1377"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5,0</w:t>
            </w:r>
          </w:p>
        </w:tc>
        <w:tc>
          <w:tcPr>
            <w:tcW w:w="131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Формирование у детей навыков безопасного поведения на дорогах</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06.1.02.00000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Организация и проведение районных детских конкурсных программ по профилактике детского дорожно-транспортного травматизма</w:t>
            </w:r>
          </w:p>
        </w:tc>
        <w:tc>
          <w:tcPr>
            <w:tcW w:w="1780" w:type="dxa"/>
            <w:tcBorders>
              <w:bottom w:val="single" w:sz="4" w:space="0" w:color="000000"/>
              <w:right w:val="single" w:sz="4" w:space="0" w:color="000000"/>
            </w:tcBorders>
            <w:vAlign w:val="center"/>
          </w:tcPr>
          <w:p>
            <w:pPr>
              <w:pStyle w:val="Normal"/>
              <w:jc w:val="center"/>
              <w:rPr/>
            </w:pPr>
            <w:r>
              <w:rPr>
                <w:bCs/>
                <w:color w:val="000000"/>
                <w:sz w:val="24"/>
                <w:szCs w:val="24"/>
              </w:rPr>
              <w:t>06.1.02.07080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06.1.02.07080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Ремонт и содержание автомобильных дорог общего пользования в Шарангском муниципальном районе</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06.2.00.00000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pPr>
            <w:r>
              <w:rPr>
                <w:bCs/>
                <w:color w:val="000000"/>
                <w:sz w:val="24"/>
                <w:szCs w:val="24"/>
              </w:rPr>
              <w:t>12 245,4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Содержание автомобильных дорог общего пользования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06.2.02.00000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1 690,6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Содержание автомобильных дорог общего пользования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06.2.02.07080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1 690,6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06.2.02.07080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140,4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Межбюджетные трансферты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06.2.02.07080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1 550,2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капитальный ремонт и ремонт автомобильных дорог общего пользования местного значения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06.2.03.00000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10 554,8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капитальный ремонт и ремонт автомобильных дорог общего пользования местного значения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06.2.03.S2210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5 554,8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Межбюджетные трансферты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06.2.03.S2210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5 554,8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реализацию полномочий органов местного самоуправления по решению вопросов местного значения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06.2.03.S2650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5 000,0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Межбюджетные трансферты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06.2.03.S2650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5 000,0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Муниципальная программа "Построение и развитие аппаратно-программного комплекса "Безопасный город" в Шарангском муниципальном районе на 2019-2021 годы"</w:t>
            </w:r>
          </w:p>
        </w:tc>
        <w:tc>
          <w:tcPr>
            <w:tcW w:w="17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07.0.00.00000</w:t>
            </w:r>
          </w:p>
        </w:tc>
        <w:tc>
          <w:tcPr>
            <w:tcW w:w="913"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76,2</w:t>
            </w:r>
          </w:p>
        </w:tc>
        <w:tc>
          <w:tcPr>
            <w:tcW w:w="1377"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76,2</w:t>
            </w:r>
          </w:p>
        </w:tc>
        <w:tc>
          <w:tcPr>
            <w:tcW w:w="131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76,2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своевременного оповещения и информирования населения техническими средствами оповещения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07.0.03.04100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76,2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76,2</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76,2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07.0.03.04100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76,2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76,2</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76,2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Муниципальная программа "Защита населения и территорий от чрезвычайных ситуаций, обеспечение пожарной безопасности и безопасности людей на водных объектах Шарангского муниципального района на 2021 – 2025 годы"</w:t>
            </w:r>
          </w:p>
        </w:tc>
        <w:tc>
          <w:tcPr>
            <w:tcW w:w="1780" w:type="dxa"/>
            <w:tcBorders>
              <w:bottom w:val="single" w:sz="4" w:space="0" w:color="000000"/>
              <w:right w:val="single" w:sz="4" w:space="0" w:color="000000"/>
            </w:tcBorders>
            <w:vAlign w:val="center"/>
          </w:tcPr>
          <w:p>
            <w:pPr>
              <w:pStyle w:val="Normal"/>
              <w:jc w:val="center"/>
              <w:rPr/>
            </w:pPr>
            <w:r>
              <w:rPr>
                <w:b/>
                <w:bCs/>
                <w:color w:val="000000"/>
                <w:sz w:val="24"/>
                <w:szCs w:val="24"/>
              </w:rPr>
              <w:t>08.0.00.00000</w:t>
            </w:r>
          </w:p>
        </w:tc>
        <w:tc>
          <w:tcPr>
            <w:tcW w:w="913"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3 661,1</w:t>
            </w:r>
          </w:p>
        </w:tc>
        <w:tc>
          <w:tcPr>
            <w:tcW w:w="1377"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3 547,3</w:t>
            </w:r>
          </w:p>
        </w:tc>
        <w:tc>
          <w:tcPr>
            <w:tcW w:w="131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3 547,3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Защита населения от чрезвычайных ситуаций</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08.1.00.00000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3 661,1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3 547,3</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3 547,3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необходимых условий для безопасной жизнедеятельности и устойчивого социально-экономического развития Шарангского муниципального района Нижегородской области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08.1.02.00000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3 661,1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3 547,3</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3 547,3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деятельности ЕДДС</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08.1.02.02990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3 346,1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3 347,3</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3 347,3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08.1.02.02990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2 601,3</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2 602,5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2 602,5</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08.1.02.02990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744,8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744,8</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744,8</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08.1.02.21801</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Иные бюджетные ассигнования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08.1.02.21801</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08.1.02.S2190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115,0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08.1.02.S2190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115,0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Муниципальная программа «Развитие пассажирского транспорта на территории Шарангского муниципального района Нижегородской области на 2020 - 2024 годы»</w:t>
            </w:r>
          </w:p>
        </w:tc>
        <w:tc>
          <w:tcPr>
            <w:tcW w:w="17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09.0.00.00000</w:t>
            </w:r>
          </w:p>
        </w:tc>
        <w:tc>
          <w:tcPr>
            <w:tcW w:w="913"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7 557,7</w:t>
            </w:r>
          </w:p>
        </w:tc>
        <w:tc>
          <w:tcPr>
            <w:tcW w:w="1377"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1 100,0</w:t>
            </w:r>
          </w:p>
        </w:tc>
        <w:tc>
          <w:tcPr>
            <w:tcW w:w="131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4 100,0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Создание эффективной системообразующей транспортной инфраструктуры для удовлетворения потребностей населения на территории района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09.0.01.00000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7 557,7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1 100,0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4 100,0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Поддержка и развитие пассажирского транспорта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09.0.01.04080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7 557,7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1 100,0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4 100,0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Иные бюджетные ассигнования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09.0.01.04080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7 557,7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1 100,0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4 100,0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Муниципальная программа "Социальная поддержка граждан Шарангского муниципального района Нижегородской области на 2021-2025 годы"</w:t>
            </w:r>
          </w:p>
        </w:tc>
        <w:tc>
          <w:tcPr>
            <w:tcW w:w="17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10.0.00.00000</w:t>
            </w:r>
          </w:p>
        </w:tc>
        <w:tc>
          <w:tcPr>
            <w:tcW w:w="913"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234,0</w:t>
            </w:r>
          </w:p>
        </w:tc>
        <w:tc>
          <w:tcPr>
            <w:tcW w:w="1377"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234,0</w:t>
            </w:r>
          </w:p>
        </w:tc>
        <w:tc>
          <w:tcPr>
            <w:tcW w:w="131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234,0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Подпрограмма "Социальная поддержка семей"</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10.1.00.00000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55,0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55,0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55,0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Мероприятия в области социальной политики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10.1.01.00000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55,0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55,0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55,0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Проведение районных мероприятий в области социальной политики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10.1.01.10010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55,0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55,0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55,0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10.1.01.10010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55,0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55,0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55,0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Подпрограмма "Старшее поколение и социальная поддержка инвалидов"</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10.2.00.00000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156,0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156,0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156,0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Мероприятия в области социальной политики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10.2.01.00000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156,0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156,0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156,0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Проведение районных мероприятий в области социальной политики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10.2.01.10010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156,0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156,0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156,0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10.2.01.10010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156,0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156,0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156,0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Подпрограмма "Ветераны боевых действий"</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10.3.00.00000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23,0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23,0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23,0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Мероприятия в области социальной политики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10.3.01.00000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23,0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23,0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23,0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pPr>
            <w:r>
              <w:rPr>
                <w:bCs/>
                <w:color w:val="000000"/>
                <w:sz w:val="24"/>
                <w:szCs w:val="24"/>
              </w:rPr>
              <w:t>Проведение районных мероприятий в области социальной политики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10.3.01.10010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23,0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23,0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23,0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10.3.01.10010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23,0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23,0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23,0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Муниципальная программа "Развитие агропромышленного комплекса Шарангского муниципального района Нижегородской области"</w:t>
            </w:r>
          </w:p>
        </w:tc>
        <w:tc>
          <w:tcPr>
            <w:tcW w:w="17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11.0.00.00000</w:t>
            </w:r>
          </w:p>
        </w:tc>
        <w:tc>
          <w:tcPr>
            <w:tcW w:w="913"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85 522,3</w:t>
            </w:r>
          </w:p>
        </w:tc>
        <w:tc>
          <w:tcPr>
            <w:tcW w:w="1377"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35 086,3</w:t>
            </w:r>
          </w:p>
        </w:tc>
        <w:tc>
          <w:tcPr>
            <w:tcW w:w="131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35 143,8</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Подпрограмма "Развитие сельского хозяйства, пищевой и перерабатывающей промышленности Шарангского муниципального района Нижегородской области" до 2025 года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11.1.00.00000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53 076,7</w:t>
            </w:r>
          </w:p>
        </w:tc>
        <w:tc>
          <w:tcPr>
            <w:tcW w:w="1377" w:type="dxa"/>
            <w:tcBorders>
              <w:bottom w:val="single" w:sz="4" w:space="0" w:color="000000"/>
              <w:right w:val="single" w:sz="4" w:space="0" w:color="000000"/>
            </w:tcBorders>
            <w:vAlign w:val="center"/>
          </w:tcPr>
          <w:p>
            <w:pPr>
              <w:pStyle w:val="Normal"/>
              <w:jc w:val="center"/>
              <w:rPr/>
            </w:pPr>
            <w:r>
              <w:rPr>
                <w:bCs/>
                <w:color w:val="000000"/>
                <w:sz w:val="24"/>
                <w:szCs w:val="24"/>
              </w:rPr>
              <w:t>30 754,6</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30 812,1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Развитие производства продукции растениеводства (субсидирование части затрат)</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11.1.01.00000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8 500,8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11 276,9</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11 334,4</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Возмещение производителям зерновых культур части затрат на производство и реализацию зерновых культур</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11.1.01.R3680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237,8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Иные бюджетные ассигнования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11.1.01.R3680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237,8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w:t>
            </w:r>
          </w:p>
        </w:tc>
        <w:tc>
          <w:tcPr>
            <w:tcW w:w="1780" w:type="dxa"/>
            <w:tcBorders>
              <w:bottom w:val="single" w:sz="4" w:space="0" w:color="000000"/>
              <w:right w:val="single" w:sz="4" w:space="0" w:color="000000"/>
            </w:tcBorders>
            <w:vAlign w:val="center"/>
          </w:tcPr>
          <w:p>
            <w:pPr>
              <w:pStyle w:val="Normal"/>
              <w:jc w:val="center"/>
              <w:rPr/>
            </w:pPr>
            <w:r>
              <w:rPr>
                <w:bCs/>
                <w:color w:val="000000"/>
                <w:sz w:val="24"/>
                <w:szCs w:val="24"/>
              </w:rPr>
              <w:t>11.1.01.R5020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4 285,7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8 323,6</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8 381,1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Иные бюджетные ассигнования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11.1.01.R5020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4 285,7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8 323,6</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8 381,1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Поддержка сельскохозяйственного производства по отдельным подотраслям растениеводства и животноводства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11.1.01.R5080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3 977,3</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2 953,3</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2 953,3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Иные бюджетные ассигнования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11.1.01.R5080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3 977,3</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2 953,3</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2 953,3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Развитие производства продукции животноводства (субсидирование части затрат)</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11.1.02.00000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17 964,6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13 360,5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13 360,5</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11.1.02.R5020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2 914,5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3 265,3</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3 265,3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Иные бюджетные ассигнования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11.1.02.R5020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2 914,5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3 265,3</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3 265,3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Поддержка сельскохозяйственного производства по отдельным подотраслям растениеводства и животноводства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11.1.02.R5080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15 050,1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10 095,2</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10 095,2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Иные бюджетные ассигнования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11.1.02.R5080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15 050,1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10 095,2</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10 095,2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Возмещение части затрат организаций АПК на уплату процентов за пользование кредитными ресурсами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11.1.03.00000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субвенции на возмещение части затрат на уплату процентов по кредитам, полученным в российских кредитных организациях, и займам, полученным в сельскохозяйственных кредитных потребительских кооперативах</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11.1.03.R5020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Иные бюджетные ассигнования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11.1.03.R5020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Обновление парка сельскохозяйственной техники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11.1.09.00000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26 193,4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5 643,2</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5 643,2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субвенции на возмещение части затрат на приобретение оборудования и техники за счет средств областного бюджета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11.1.09.73220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26 193,4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5 643,2</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5 643,2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Иные бюджетные ассигнования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11.1.09.73220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26 193,4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5 643,2</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5 643,2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Финансовая поддержка сельхозпредприятий Шарангского муниципального района</w:t>
            </w:r>
          </w:p>
        </w:tc>
        <w:tc>
          <w:tcPr>
            <w:tcW w:w="1780" w:type="dxa"/>
            <w:tcBorders>
              <w:bottom w:val="single" w:sz="4" w:space="0" w:color="000000"/>
              <w:right w:val="single" w:sz="4" w:space="0" w:color="000000"/>
            </w:tcBorders>
            <w:vAlign w:val="center"/>
          </w:tcPr>
          <w:p>
            <w:pPr>
              <w:pStyle w:val="Normal"/>
              <w:jc w:val="center"/>
              <w:rPr/>
            </w:pPr>
            <w:r>
              <w:rPr>
                <w:bCs/>
                <w:color w:val="000000"/>
                <w:sz w:val="24"/>
                <w:szCs w:val="24"/>
              </w:rPr>
              <w:t>11.1.11.00000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417,0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474,0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474,0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Финансовая поддержка сельхозпредприятий</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11.1.11.04050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417,0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474,0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474,0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11.1.11.04050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33,0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Иные бюджетные ассигнования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11.1.11.04050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384,0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444,0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444,0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Подпрограмма "Комплексное развитие сельских территорий Шарангского муниципального района Нижегородской области" до 2025 года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11.2.00.00000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28 043,9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Строительство (реконструкция) в сельской местности объектов социальной и инженерной инфраструктуры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11.2.22.04050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1 570,0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Капитальные вложения в объекты государственной (муниципальной) собственности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11.2.22.04050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1 570,0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Строительство (реконструкция) в сельской местности объектов социальной и инженерной инфраструктуры, объектов сельскохозяйственного назначения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11.2.22.L5760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26 473,9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Капитальные вложения в объекты государственной (муниципальной) собственности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11.2.22.L5760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26 473,9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Подпрограмма "Обеспечение реализации муниципальной программы"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11.4.00.00000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4 401,7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4 331,7</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4 331,7</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выполнения целей, задач и показателей муниципальной программы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11.4.01.00000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4 401,7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4 331,7</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4 331,7</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обеспечение функций органов местного самоуправления</w:t>
            </w:r>
          </w:p>
        </w:tc>
        <w:tc>
          <w:tcPr>
            <w:tcW w:w="1780" w:type="dxa"/>
            <w:tcBorders>
              <w:bottom w:val="single" w:sz="4" w:space="0" w:color="000000"/>
              <w:right w:val="single" w:sz="4" w:space="0" w:color="000000"/>
            </w:tcBorders>
            <w:vAlign w:val="center"/>
          </w:tcPr>
          <w:p>
            <w:pPr>
              <w:pStyle w:val="Normal"/>
              <w:jc w:val="center"/>
              <w:rPr/>
            </w:pPr>
            <w:r>
              <w:rPr>
                <w:bCs/>
                <w:color w:val="000000"/>
                <w:sz w:val="24"/>
                <w:szCs w:val="24"/>
              </w:rPr>
              <w:t>11.4.01.20401</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11.4.01.20401</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субвенции на осуществление полномочий по поддержке сельскохозяйственного производства</w:t>
            </w:r>
          </w:p>
        </w:tc>
        <w:tc>
          <w:tcPr>
            <w:tcW w:w="1780" w:type="dxa"/>
            <w:tcBorders>
              <w:bottom w:val="single" w:sz="4" w:space="0" w:color="000000"/>
              <w:right w:val="single" w:sz="4" w:space="0" w:color="000000"/>
            </w:tcBorders>
            <w:vAlign w:val="center"/>
          </w:tcPr>
          <w:p>
            <w:pPr>
              <w:pStyle w:val="Normal"/>
              <w:jc w:val="center"/>
              <w:rPr/>
            </w:pPr>
            <w:r>
              <w:rPr>
                <w:bCs/>
                <w:color w:val="000000"/>
                <w:sz w:val="24"/>
                <w:szCs w:val="24"/>
              </w:rPr>
              <w:t>11.4.01.73030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4 331,7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4 331,7</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4 331,7</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11.4.01.73030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3 852,6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3 894,6</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3 894,6</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11.4.01.73030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478,6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436,6</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436,6</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Иные бюджетные ассигнования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11.4.01.73030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0,5</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Муниципальная программа "Противодействие терроризму и профилактика экстремизма в Шарангском муниципальном районе на 2021-2023 годы"</w:t>
            </w:r>
          </w:p>
        </w:tc>
        <w:tc>
          <w:tcPr>
            <w:tcW w:w="17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12.0.00.00000</w:t>
            </w:r>
          </w:p>
        </w:tc>
        <w:tc>
          <w:tcPr>
            <w:tcW w:w="913"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452,2</w:t>
            </w:r>
          </w:p>
        </w:tc>
        <w:tc>
          <w:tcPr>
            <w:tcW w:w="1377"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285,1</w:t>
            </w:r>
          </w:p>
        </w:tc>
        <w:tc>
          <w:tcPr>
            <w:tcW w:w="131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285,1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pPr>
            <w:r>
              <w:rPr>
                <w:bCs/>
                <w:color w:val="000000"/>
                <w:sz w:val="24"/>
                <w:szCs w:val="24"/>
              </w:rPr>
              <w:t>Усиление антитеррористической защищенности объектов образования, социальной сферы и мест массового пребывания людей</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12.0.02.00000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452,2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285,1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285,1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Обслуживание установленных в учреждениях образования Шарангского муниципального района кнопок тревожной сигнализации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12.0.02.07010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452,2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285,1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285,1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pPr>
            <w:r>
              <w:rPr>
                <w:bCs/>
                <w:color w:val="000000"/>
                <w:sz w:val="24"/>
                <w:szCs w:val="24"/>
              </w:rPr>
              <w:t>12.0.02.07010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452,2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285,1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285,1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Муниципальная программа "Развитие культуры Шарангского муниципального района на 2021-2025 годы"</w:t>
            </w:r>
          </w:p>
        </w:tc>
        <w:tc>
          <w:tcPr>
            <w:tcW w:w="17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13.0.00.00000</w:t>
            </w:r>
          </w:p>
        </w:tc>
        <w:tc>
          <w:tcPr>
            <w:tcW w:w="913"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75 660,0</w:t>
            </w:r>
          </w:p>
        </w:tc>
        <w:tc>
          <w:tcPr>
            <w:tcW w:w="1377"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74 293,0</w:t>
            </w:r>
          </w:p>
        </w:tc>
        <w:tc>
          <w:tcPr>
            <w:tcW w:w="131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74 293,0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Подпрограмма "Развитие библиотечно-информационного обслуживания населения"</w:t>
            </w:r>
          </w:p>
        </w:tc>
        <w:tc>
          <w:tcPr>
            <w:tcW w:w="1780" w:type="dxa"/>
            <w:tcBorders>
              <w:bottom w:val="single" w:sz="4" w:space="0" w:color="000000"/>
              <w:right w:val="single" w:sz="4" w:space="0" w:color="000000"/>
            </w:tcBorders>
            <w:vAlign w:val="center"/>
          </w:tcPr>
          <w:p>
            <w:pPr>
              <w:pStyle w:val="Normal"/>
              <w:jc w:val="center"/>
              <w:rPr/>
            </w:pPr>
            <w:r>
              <w:rPr>
                <w:bCs/>
                <w:color w:val="000000"/>
                <w:sz w:val="24"/>
                <w:szCs w:val="24"/>
              </w:rPr>
              <w:t>13.1.00.00000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15 163,3</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15 411,2</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15 411,2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Увеличение объемов комплектования библиотечных фондов</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13.1.01.00000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443,4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Увеличение объемов комплектования библиотечных фондов</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13.1.01.08010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13.1.01.08010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субсидии на поддержку отрасли культуры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13.1.01.L519F</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43,4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13.1.01.L519F</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43,4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Реализация планов мероприятий по противопожарной безопасности муниципальных учреждений</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13.1.02.00000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Выполнение мероприятий по противопожарной безопасности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13.1.02.08030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13,1</w:t>
            </w:r>
          </w:p>
        </w:tc>
        <w:tc>
          <w:tcPr>
            <w:tcW w:w="1377" w:type="dxa"/>
            <w:tcBorders>
              <w:bottom w:val="single" w:sz="4" w:space="0" w:color="000000"/>
              <w:right w:val="single" w:sz="4" w:space="0" w:color="000000"/>
            </w:tcBorders>
            <w:vAlign w:val="center"/>
          </w:tcPr>
          <w:p>
            <w:pPr>
              <w:pStyle w:val="Normal"/>
              <w:jc w:val="center"/>
              <w:rPr/>
            </w:pPr>
            <w:r>
              <w:rPr>
                <w:bCs/>
                <w:color w:val="000000"/>
                <w:sz w:val="24"/>
                <w:szCs w:val="24"/>
              </w:rPr>
              <w:t>13,1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13.1.02.08030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деятельности организации библиотечного обслуживания населения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13.1.03.00000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14 706,8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14 998,1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14 998,1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деятельности организации библиотечного обслуживания населения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13.1.03.08000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14 706,8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14 998,1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14 998,1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13.1.03.08000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14 706,8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14 998,1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14 998,1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Подпрограмма "Организация культурно-массовых мероприятий"</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13.2.00.00000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15 286,1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14 324,8</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14 324,8</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Реализация планов мероприятий по противопожарной безопасности муниципальных учреждений</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13.2.01.00000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12,0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12,0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12,0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Выполнение мероприятий по противопожарной безопасности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13.2.01.08030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12,0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12,0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12,0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13.2.01.08030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12,0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12,0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12,0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деятельности по организации и проведению культурно-массовых мероприятий РДК</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13.2.02.00000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15 274,1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14 312,8</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14 312,8</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деятельности по организации и проведению культурно-массовых мероприятий РДК</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13.2.02.08000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15 274,1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14 312,8</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1 872,1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13.2.02.08000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15 274,1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14 312,8</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1 872,1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13.2.02.S2090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pPr>
            <w:r>
              <w:rPr>
                <w:bCs/>
                <w:color w:val="000000"/>
                <w:sz w:val="24"/>
                <w:szCs w:val="24"/>
              </w:rPr>
              <w:t>12 440,7</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13.2.02.S2090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12 440,7</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Подпрограмма "Организация культурно-массовых мероприятий в сельских учреждениях культуры"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13.3.00.00000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19 549,7</w:t>
            </w:r>
          </w:p>
        </w:tc>
        <w:tc>
          <w:tcPr>
            <w:tcW w:w="1377" w:type="dxa"/>
            <w:tcBorders>
              <w:bottom w:val="single" w:sz="4" w:space="0" w:color="000000"/>
              <w:right w:val="single" w:sz="4" w:space="0" w:color="000000"/>
            </w:tcBorders>
            <w:vAlign w:val="center"/>
          </w:tcPr>
          <w:p>
            <w:pPr>
              <w:pStyle w:val="Normal"/>
              <w:jc w:val="center"/>
              <w:rPr/>
            </w:pPr>
            <w:r>
              <w:rPr>
                <w:bCs/>
                <w:color w:val="000000"/>
                <w:sz w:val="24"/>
                <w:szCs w:val="24"/>
              </w:rPr>
              <w:t>19 422,4</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19 422,4</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Реализация планов мероприятий по противопожарной безопасности муниципальных учреждений</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13.3.01.00000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89,3</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89,3</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89,3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Выполнение мероприятий по противопожарной безопасности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13.3.01.08030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89,3</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89,3</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89,3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13.3.01.08030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89,3</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89,3</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89,3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деятельности по организации и проведению культурно-массовых мероприятий ШЦКС</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13.3.02.00000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18 822,2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18 776,5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18 776,5</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деятельности по организации и проведению культурно-массовых мероприятий ШЦКС</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13.3.02.08000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18 412,4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18 776,5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7 836,8</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13.3.02.08000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18 412,4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18 776,5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7 836,8</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13.3.02.S2090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10 939,7</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13.3.02.S2090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10 939,7</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13.3.02.S2190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409,8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13.3.02.S2190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409,8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Укрепление материально- технической базы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13.3.03.00000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638,2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556,6</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556,6</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развития и укрепления материально-технической базы домов культуры в населенных пунктах с числом жителей до 50 тысяч человек</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13.3.03.L4670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638,2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556,6</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556,6</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13.3.03.L4670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638,2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556,6</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556,6</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Подпрограмма "Развитие сферы музейной деятельности"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13.4.00.00000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2 044,3</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2 034,3</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2 034,3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Реализация планов мероприятий по противопожарной безопасности муниципальных учреждений</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13.4.01.00000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Выполнение мероприятий по противопожарной безопасности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13.4.01.08030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13.4.01.08030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оказания услуг по созданию и поддержке муниципальных музеев, в т.ч. по обеспечению пополнения и сохранности музейных фондов</w:t>
            </w:r>
          </w:p>
        </w:tc>
        <w:tc>
          <w:tcPr>
            <w:tcW w:w="1780" w:type="dxa"/>
            <w:tcBorders>
              <w:bottom w:val="single" w:sz="4" w:space="0" w:color="000000"/>
              <w:right w:val="single" w:sz="4" w:space="0" w:color="000000"/>
            </w:tcBorders>
            <w:vAlign w:val="center"/>
          </w:tcPr>
          <w:p>
            <w:pPr>
              <w:pStyle w:val="Normal"/>
              <w:jc w:val="center"/>
              <w:rPr/>
            </w:pPr>
            <w:r>
              <w:rPr>
                <w:bCs/>
                <w:color w:val="000000"/>
                <w:sz w:val="24"/>
                <w:szCs w:val="24"/>
              </w:rPr>
              <w:t>13.4.02.00000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2 038,3</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2 028,3</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2 028,3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оказания услуг по созданию и поддержке муниципальных музеев, в т.ч. по обеспечению пополнения и сохранности музейных фондов</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13.4.02.08000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2 038,3</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2 028,3</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2 028,3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13.4.02.08000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2 038,3</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2 028,3</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2 028,3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Подпрограмма "Повышение качества и доступности услуг в сфере дополнительного образования"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13.5.00.00000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10 061,0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10 163,9</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10 163,9</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Реализация планов мероприятий по противопожарной безопасности муниципальных образовательных учреждений</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13.5.01.00000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Выполнение мероприятий по противопожарной безопасности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13.5.01.08030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13.5.01.08030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услуг по предоставлению дополнительного образования детям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13.5.02.00000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10 021,0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10 123,9</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10 123,9</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услуги по предоставлению дополнительного образования детям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13.5.02.08000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9 958,3</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10 123,9</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10 123,9</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13.5.02.08000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9 958,3</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10 123,9</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10 123,9</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13.5.02.S2190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62,7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13.5.02.S2190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62,7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Подпрограмма "Обеспечение реализации муниципальной программы"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13.6.00.00000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13 555,6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12 936,4</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12 936,4</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Административно- правовое сопровождение реализации программы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13.6.01.00000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1 282,0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1 237,0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1 237,0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обеспечение функций органов местного самоуправления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13.6.01.20401</w:t>
            </w:r>
          </w:p>
        </w:tc>
        <w:tc>
          <w:tcPr>
            <w:tcW w:w="913" w:type="dxa"/>
            <w:tcBorders>
              <w:bottom w:val="single" w:sz="4" w:space="0" w:color="000000"/>
              <w:right w:val="single" w:sz="4" w:space="0" w:color="000000"/>
            </w:tcBorders>
            <w:vAlign w:val="center"/>
          </w:tcPr>
          <w:p>
            <w:pPr>
              <w:pStyle w:val="Normal"/>
              <w:jc w:val="center"/>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1 282,0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1 237,0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1 237,0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13.6.01.20401</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1 190,1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1 190,1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1 190,1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13.6.01.20401</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91,9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46,9</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46,9</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Бухгалтерское и хозяйственное обслуживание</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13.6.02.00000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12 273,6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11 699,4</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11 699,4</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Бухгалтерское и хозяйственное обслуживание</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13.6.02.45299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11 782,9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11 699,4</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11 699,4</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80" w:type="dxa"/>
            <w:tcBorders>
              <w:bottom w:val="single" w:sz="4" w:space="0" w:color="000000"/>
              <w:right w:val="single" w:sz="4" w:space="0" w:color="000000"/>
            </w:tcBorders>
            <w:vAlign w:val="center"/>
          </w:tcPr>
          <w:p>
            <w:pPr>
              <w:pStyle w:val="Normal"/>
              <w:jc w:val="center"/>
              <w:rPr/>
            </w:pPr>
            <w:r>
              <w:rPr>
                <w:bCs/>
                <w:color w:val="000000"/>
                <w:sz w:val="24"/>
                <w:szCs w:val="24"/>
              </w:rPr>
              <w:t>13.6.02.45299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11 519,5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11 332,3</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11 332,3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13.6.02.45299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263,4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367,1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367,1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13.6.02.S2190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490,7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13.6.02.S2190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490,7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Муниципальная программа "Управление муниципальными финансами Шарангского муниципального района"</w:t>
            </w:r>
          </w:p>
        </w:tc>
        <w:tc>
          <w:tcPr>
            <w:tcW w:w="17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14.0.00.00000</w:t>
            </w:r>
          </w:p>
        </w:tc>
        <w:tc>
          <w:tcPr>
            <w:tcW w:w="913"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79 497,6</w:t>
            </w:r>
          </w:p>
        </w:tc>
        <w:tc>
          <w:tcPr>
            <w:tcW w:w="1377"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46 895,9</w:t>
            </w:r>
          </w:p>
        </w:tc>
        <w:tc>
          <w:tcPr>
            <w:tcW w:w="131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62 393,2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Подпрограмма "Организация и совершенствование бюджетного процесса Шарангского муниципального района"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14.1.00.00000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2 000,0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1 000,0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1 000,0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Резервные фонды местных администраций</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14.1.40.07005</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2 000,0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1 000,0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1 000,0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Иные бюджетные ассигнования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14.1.40.07005</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2 000,0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1 000,0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1 000,0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66 317,6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35 292,8</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50 790,1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14.2.10.00000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54 408,9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31 271,1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46 734,6</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Иные межбюджетные трансферты на компенсацию дополнительных расходов, возникших в результате решений, принятых органами власти другого уровня</w:t>
            </w:r>
          </w:p>
        </w:tc>
        <w:tc>
          <w:tcPr>
            <w:tcW w:w="1780" w:type="dxa"/>
            <w:tcBorders>
              <w:bottom w:val="single" w:sz="4" w:space="0" w:color="000000"/>
              <w:right w:val="single" w:sz="4" w:space="0" w:color="000000"/>
            </w:tcBorders>
            <w:vAlign w:val="center"/>
          </w:tcPr>
          <w:p>
            <w:pPr>
              <w:pStyle w:val="Normal"/>
              <w:jc w:val="center"/>
              <w:rPr/>
            </w:pPr>
            <w:r>
              <w:rPr>
                <w:bCs/>
                <w:color w:val="000000"/>
                <w:sz w:val="24"/>
                <w:szCs w:val="24"/>
              </w:rPr>
              <w:t>14.2.10.04516</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4 175,1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Межбюджетные трансферты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14.2.10.04516</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4 175,1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Выравнивание бюджетной обеспеченности поселений</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14.2.10.05161</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33 501,9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26 899,7</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28 394,4</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Межбюджетные трансферты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14.2.10.05161</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33 501,9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26 899,7</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28 394,4</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Иные межбюджетные трансферты на поддержку мер по обеспечению сбалансированности бюджетов поселений</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14.2.10.05213</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16 731,9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4 371,4</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18 340,2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Межбюджетные трансферты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14.2.10.05213</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16 731,9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4 371,4</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18 340,2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Повышение финансовой самостоятельности бюджетов поселений района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14.2.20.00000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11 908,7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900,5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934,3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иных межбюджетных трансфертов из фонда поддержки территорий</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14.2.20.22000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97,6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Межбюджетные трансферты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14.2.20.22000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97,6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14.2.20.51180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891,8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900,5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934,3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Межбюджетные трансферты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14.2.20.51180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891,8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900,5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934,3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Иные межбюджетные трансферты на предоставление грантов на награждение победителей смотра-конкурса на звание "Лучшее муниципальное образование Нижегородской области в сфере благоустройства и дорожной деятельности"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14.2.20.74800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Межбюджетные трансферты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14.2.20.74800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14.2.20.S2190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606,6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Межбюджетные трансферты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14.2.20.S2190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pPr>
            <w:r>
              <w:rPr>
                <w:bCs/>
                <w:color w:val="000000"/>
                <w:sz w:val="24"/>
                <w:szCs w:val="24"/>
              </w:rPr>
              <w:t>606,6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реализацию проекта инициативного бюджетирования "Вам решать!" (обустройство детской спортивной площадки на ул.Фруктовая в р.п.Шаранга Шарангского муниципального района Нижегородской области)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14.2.20.S2601</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1 048,5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Межбюджетные трансферты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14.2.20.S2601</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1 048,5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реализацию проекта инициативного бюджетирования "Вам решать!" (ремонт автомобильной дороги по ул.Колхозная в с.Большая Рудка)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14.2.20.S2602</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2 179,1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Межбюджетные трансферты</w:t>
            </w:r>
          </w:p>
        </w:tc>
        <w:tc>
          <w:tcPr>
            <w:tcW w:w="1780" w:type="dxa"/>
            <w:tcBorders>
              <w:bottom w:val="single" w:sz="4" w:space="0" w:color="000000"/>
              <w:right w:val="single" w:sz="4" w:space="0" w:color="000000"/>
            </w:tcBorders>
            <w:vAlign w:val="center"/>
          </w:tcPr>
          <w:p>
            <w:pPr>
              <w:pStyle w:val="Normal"/>
              <w:jc w:val="center"/>
              <w:rPr/>
            </w:pPr>
            <w:r>
              <w:rPr>
                <w:bCs/>
                <w:color w:val="000000"/>
                <w:sz w:val="24"/>
                <w:szCs w:val="24"/>
              </w:rPr>
              <w:t>14.2.20.S2602</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2 179,1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реализацию проекта инициативного бюджетирования "Вам решать!" (ремонт автомобильной дороги в с.Большое Устинское, ул .Садовая, ул.Советская от д.1 до д.15)</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14.2.20.S2603</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974,3</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Межбюджетные трансферты</w:t>
            </w:r>
          </w:p>
        </w:tc>
        <w:tc>
          <w:tcPr>
            <w:tcW w:w="1780" w:type="dxa"/>
            <w:tcBorders>
              <w:bottom w:val="single" w:sz="4" w:space="0" w:color="000000"/>
              <w:right w:val="single" w:sz="4" w:space="0" w:color="000000"/>
            </w:tcBorders>
            <w:vAlign w:val="center"/>
          </w:tcPr>
          <w:p>
            <w:pPr>
              <w:pStyle w:val="Normal"/>
              <w:jc w:val="center"/>
              <w:rPr/>
            </w:pPr>
            <w:r>
              <w:rPr>
                <w:bCs/>
                <w:color w:val="000000"/>
                <w:sz w:val="24"/>
                <w:szCs w:val="24"/>
              </w:rPr>
              <w:t>14.2.20.S2603</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974,3</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реализацию проекта инициативного бюджетирования "Вам решать!" (обустройство детской площадки в д.Козлянур Шарангского муниципального района )</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14.2.20.S2604</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Межбюджетные трансферты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14.2.20.S2604</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реализацию проекта инициативного бюджетирования "Вам решать!" (благоустройство сквера у памятника воинам землякам в д.Мосуново погибшим ВОВ)</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14.2.20.S2605</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169,1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Межбюджетные трансферты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14.2.20.S2605</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169,1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реализацию проекта инициативного бюджетирования "Вам решать!" (благоустройство территории зоны отдыха в д.Черномуж Шарангского района Нижегородской области)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14.2.20.S2606</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735,6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Межбюджетные трансферты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14.2.20.S2606</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735,6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реализацию проекта инициативного бюджетирования "Вам решать!" (обустройство детской площадки в д.Поздеево Шарангского муниципального района )</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14.2.20.S2607</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361,5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Межбюджетные трансферты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14.2.20.S2607</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361,5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реализацию проекта инициативного бюджетирования "Вам решать!" (ремонт участков автомобильной дороги в д.Поздеево Шарангского муниципального района )</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14.2.20.S2608</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1 416,0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Межбюджетные трансферты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14.2.20.S2608</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1 416,0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реализацию проекта инициативного бюджетирования "Вам решать!" (обустройство кладбища в с.Старая Рудка )</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14.2.20.S2609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824,8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Межбюджетные трансферты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14.2.20.S2609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824,8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реализацию проекта инициативного бюджетирования "Вам решать!" (ремонт участков автодороги по ул.Родниковая в р.п.Шаранга Шарангского муниципального района Нижегородской области )</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14.2.20.S260A</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1 803,8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Межбюджетные трансферты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14.2.20.S260A</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1 803,8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поддержку государственных программ субъектов РФ и муниципальных программ формирования современной городской среды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14.2.F2.55550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3 121,2</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3 121,2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Межбюджетные трансферты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14.2.F2.55550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3 121,2</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3 121,2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Подпрограмма "Обеспечение реализации муниципальной программы"</w:t>
            </w:r>
          </w:p>
        </w:tc>
        <w:tc>
          <w:tcPr>
            <w:tcW w:w="1780" w:type="dxa"/>
            <w:tcBorders>
              <w:bottom w:val="single" w:sz="4" w:space="0" w:color="000000"/>
              <w:right w:val="single" w:sz="4" w:space="0" w:color="000000"/>
            </w:tcBorders>
            <w:vAlign w:val="center"/>
          </w:tcPr>
          <w:p>
            <w:pPr>
              <w:pStyle w:val="Normal"/>
              <w:jc w:val="center"/>
              <w:rPr/>
            </w:pPr>
            <w:r>
              <w:rPr>
                <w:bCs/>
                <w:color w:val="000000"/>
                <w:sz w:val="24"/>
                <w:szCs w:val="24"/>
              </w:rPr>
              <w:t>14.4.00.00000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11 180,0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10 603,1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10 603,1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деятельности финансового управления администрации Шарангского муниципального района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14.4.01.00000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11 180,0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10 603,1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10 603,1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обеспечение функций органов местного самоуправления</w:t>
            </w:r>
          </w:p>
        </w:tc>
        <w:tc>
          <w:tcPr>
            <w:tcW w:w="1780" w:type="dxa"/>
            <w:tcBorders>
              <w:bottom w:val="single" w:sz="4" w:space="0" w:color="000000"/>
              <w:right w:val="single" w:sz="4" w:space="0" w:color="000000"/>
            </w:tcBorders>
            <w:vAlign w:val="center"/>
          </w:tcPr>
          <w:p>
            <w:pPr>
              <w:pStyle w:val="Normal"/>
              <w:jc w:val="center"/>
              <w:rPr/>
            </w:pPr>
            <w:r>
              <w:rPr>
                <w:bCs/>
                <w:color w:val="000000"/>
                <w:sz w:val="24"/>
                <w:szCs w:val="24"/>
              </w:rPr>
              <w:t>14.4.01.20401</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11 180,0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10 603,1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10 603,1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14.4.01.20401</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pPr>
            <w:r>
              <w:rPr>
                <w:bCs/>
                <w:color w:val="000000"/>
                <w:sz w:val="24"/>
                <w:szCs w:val="24"/>
              </w:rPr>
              <w:t>10 085,2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9 611,1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9 611,1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14.4.01.20401</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1 094,8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992,0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992,0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Муниципальная программа «Развитие физической культуры и спорта Шарангского муниципального района на 2020 - 2024 годы»</w:t>
            </w:r>
          </w:p>
        </w:tc>
        <w:tc>
          <w:tcPr>
            <w:tcW w:w="17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15.0.00.00000</w:t>
            </w:r>
          </w:p>
        </w:tc>
        <w:tc>
          <w:tcPr>
            <w:tcW w:w="913"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53 769,7</w:t>
            </w:r>
          </w:p>
        </w:tc>
        <w:tc>
          <w:tcPr>
            <w:tcW w:w="1377"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46 701,9</w:t>
            </w:r>
          </w:p>
        </w:tc>
        <w:tc>
          <w:tcPr>
            <w:tcW w:w="131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50 599,6</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Подпрограмма "Развитие физической культуры и массового спорта"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15.1.00.00000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51 748,7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44 700,7</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48 598,4</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Проведение физкультурно-массовых мероприятий среди различных категорий населения</w:t>
            </w:r>
          </w:p>
        </w:tc>
        <w:tc>
          <w:tcPr>
            <w:tcW w:w="1780" w:type="dxa"/>
            <w:tcBorders>
              <w:bottom w:val="single" w:sz="4" w:space="0" w:color="000000"/>
              <w:right w:val="single" w:sz="4" w:space="0" w:color="000000"/>
            </w:tcBorders>
            <w:vAlign w:val="center"/>
          </w:tcPr>
          <w:p>
            <w:pPr>
              <w:pStyle w:val="Normal"/>
              <w:jc w:val="center"/>
              <w:rPr/>
            </w:pPr>
            <w:r>
              <w:rPr>
                <w:bCs/>
                <w:color w:val="000000"/>
                <w:sz w:val="24"/>
                <w:szCs w:val="24"/>
              </w:rPr>
              <w:t>15.1.01.00000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286,7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286,7</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286,7</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Мероприятия в области спорта и физической культуры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15.1.01.11020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286,7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286,7</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286,7</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15.1.01.11020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173,0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173,0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173,0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15.1.01.11020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113,7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113,7</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113,7</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деятельности муниципальных учреждений</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15.1.02.00000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51 462,0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44 414,0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48 311,7</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выполнения МАУ"ФОК в р.п.Шаранга Нижегородской области" муниципального задания по оказанию услуг</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15.1.02.11120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28 172,6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44 414,0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19 093,1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15.1.02.11120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28 172,6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44 414,0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19 093,1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15.1.02.S2090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pPr>
            <w:r>
              <w:rPr>
                <w:bCs/>
                <w:color w:val="000000"/>
                <w:sz w:val="24"/>
                <w:szCs w:val="24"/>
              </w:rPr>
              <w:t>22 900,6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29 218,6</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15.1.02.S2090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22 900,6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29 218,6</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15.1.02.S2190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388,8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15.1.02.S2190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388,8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Подпрограмма "Развитие спорта высших достижений и системы подготовки спортивного резерва"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15.2.00.00000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426,3</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426,3</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426,3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Проведение межрайонных , областных соревнований, обеспечение участия спортсменов в официальных соревнованиях</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15.2.01.00000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426,3</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426,3</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426,3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Мероприятия в области спорта и физической культуры</w:t>
            </w:r>
          </w:p>
        </w:tc>
        <w:tc>
          <w:tcPr>
            <w:tcW w:w="1780" w:type="dxa"/>
            <w:tcBorders>
              <w:bottom w:val="single" w:sz="4" w:space="0" w:color="000000"/>
              <w:right w:val="single" w:sz="4" w:space="0" w:color="000000"/>
            </w:tcBorders>
            <w:vAlign w:val="center"/>
          </w:tcPr>
          <w:p>
            <w:pPr>
              <w:pStyle w:val="Normal"/>
              <w:jc w:val="center"/>
              <w:rPr/>
            </w:pPr>
            <w:r>
              <w:rPr>
                <w:bCs/>
                <w:color w:val="000000"/>
                <w:sz w:val="24"/>
                <w:szCs w:val="24"/>
              </w:rPr>
              <w:t>15.2.01.11020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426,3</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426,3</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426,3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15.2.01.11020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147,0</w:t>
            </w:r>
          </w:p>
        </w:tc>
        <w:tc>
          <w:tcPr>
            <w:tcW w:w="1377" w:type="dxa"/>
            <w:tcBorders>
              <w:bottom w:val="single" w:sz="4" w:space="0" w:color="000000"/>
              <w:right w:val="single" w:sz="4" w:space="0" w:color="000000"/>
            </w:tcBorders>
            <w:vAlign w:val="center"/>
          </w:tcPr>
          <w:p>
            <w:pPr>
              <w:pStyle w:val="Normal"/>
              <w:jc w:val="center"/>
              <w:rPr/>
            </w:pPr>
            <w:r>
              <w:rPr>
                <w:bCs/>
                <w:color w:val="000000"/>
                <w:sz w:val="24"/>
                <w:szCs w:val="24"/>
              </w:rPr>
              <w:t>147,0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147,0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15.2.01.11020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279,3</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279,3</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279,3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Подпрограмма "Обеспечение реализации муниципальной программы"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15.3.00.00000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1 594,7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1 574,9</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1 574,9</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реализации муниципальной программы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15.3.01.00000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1 594,7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1 574,9</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1 574,9</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реализации муниципальной программы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15.3.01.11220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1 574,7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1 574,9</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1 574,9</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15.3.01.11220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874,7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874,1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874,1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15.3.01.11220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700,0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700,8</w:t>
            </w:r>
          </w:p>
        </w:tc>
        <w:tc>
          <w:tcPr>
            <w:tcW w:w="1318" w:type="dxa"/>
            <w:tcBorders>
              <w:bottom w:val="single" w:sz="4" w:space="0" w:color="000000"/>
              <w:right w:val="single" w:sz="4" w:space="0" w:color="000000"/>
            </w:tcBorders>
            <w:vAlign w:val="center"/>
          </w:tcPr>
          <w:p>
            <w:pPr>
              <w:pStyle w:val="Normal"/>
              <w:jc w:val="center"/>
              <w:rPr/>
            </w:pPr>
            <w:r>
              <w:rPr>
                <w:bCs/>
                <w:color w:val="000000"/>
                <w:sz w:val="24"/>
                <w:szCs w:val="24"/>
              </w:rPr>
              <w:t>700,8</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15.3.01.S2190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15.3.01.S2190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Муниципальная программа "Развитие образования Шарангского муниципального района"</w:t>
            </w:r>
          </w:p>
        </w:tc>
        <w:tc>
          <w:tcPr>
            <w:tcW w:w="17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16.0.00.00000</w:t>
            </w:r>
          </w:p>
        </w:tc>
        <w:tc>
          <w:tcPr>
            <w:tcW w:w="913"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323 462,7</w:t>
            </w:r>
          </w:p>
        </w:tc>
        <w:tc>
          <w:tcPr>
            <w:tcW w:w="1377"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285 382,3</w:t>
            </w:r>
          </w:p>
        </w:tc>
        <w:tc>
          <w:tcPr>
            <w:tcW w:w="131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288 561,8</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Подпрограмма "Развитие общего образования"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16.1.00.00000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229 848,2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226 036,4</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226 040,7</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Создание механизмов мотивации педагогов к повышению качества работы и непрерывному профессиональному развитию</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16.1.06.00000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7 847,1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7 847,1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7 847,1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МОО Нижегородской области,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16.1.06.53030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7 847,1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7 847,1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7 847,1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pPr>
            <w:r>
              <w:rPr>
                <w:bCs/>
                <w:color w:val="000000"/>
                <w:sz w:val="24"/>
                <w:szCs w:val="24"/>
              </w:rPr>
              <w:t>16.1.06.53030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7 847,1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7 847,1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7 847,1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деятельности общеобразовательных учреждений, подведомственных управлению образования, на основе муниципальных заданий</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16.1.07.00000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219 903,6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217 637,8</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217 642,1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обеспечение деятельности вводимых в эксплуатацию новых объектов</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16.1.07.42000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457,4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16.1.07.42000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457,4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обеспечение деятельности бюджетных учреждений, финансируемых из районного бюджета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16.1.07.42099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39 764,7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39 676,9</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39 676,9</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16.1.07.42099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39 764,7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39 676,9</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39 676,9</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обеспечение деятельности бюджетных учреждений, финансируемых из районного бюджета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16.1.07.42199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29 091,4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28 835,4</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28 839,7</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16.1.07.42199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29 091,4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28 835,4</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28 839,7</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субвенции на исполнение полномочий в сфере общего образования в муниципальных общеобразовательных организациях</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16.1.07.73070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96 754,9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96 754,9</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96 754,9</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16.1.07.73070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96 754,9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96 754,9</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96 754,9</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субвенции на исполнение полномочий в сфере общего образования в муниципальных дошкольных образовательных организациях</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16.1.07.73080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50 385,5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50 385,5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50 385,5</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16.1.07.73080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50 385,5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50 385,5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50 385,5</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16.1.07.S2190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1 251,2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16.1.07.S2190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1 251,2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субсидии на дополнительное финансовое обеспечение мероприятий по организации бесплатного горячего питания обучающихся, получающих начальное общее образование в муниципальных образовательных организациях Нижегородской области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16.1.07.S2490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2 198,5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1 985,1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1 985,1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pPr>
            <w:r>
              <w:rPr>
                <w:bCs/>
                <w:color w:val="000000"/>
                <w:sz w:val="24"/>
                <w:szCs w:val="24"/>
              </w:rPr>
              <w:t>16.1.07.S2490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2 198,5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1 985,1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1 985,1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деятельности общеобразовательных учреждений</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16.1.08.00000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551,5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551,5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551,5</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обеспечение деятельности бюджетных учреждений, финансируемых из районного бюджета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16.1.08.42199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51,0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51,0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51,0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16.1.08.42199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51,0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51,0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51,0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субвенции на исполнение полномочий в сфере общего образования в муниципальных общеобразовательных организациях</w:t>
            </w:r>
          </w:p>
        </w:tc>
        <w:tc>
          <w:tcPr>
            <w:tcW w:w="1780" w:type="dxa"/>
            <w:tcBorders>
              <w:bottom w:val="single" w:sz="4" w:space="0" w:color="000000"/>
              <w:right w:val="single" w:sz="4" w:space="0" w:color="000000"/>
            </w:tcBorders>
            <w:vAlign w:val="center"/>
          </w:tcPr>
          <w:p>
            <w:pPr>
              <w:pStyle w:val="Normal"/>
              <w:jc w:val="center"/>
              <w:rPr/>
            </w:pPr>
            <w:r>
              <w:rPr>
                <w:bCs/>
                <w:color w:val="000000"/>
                <w:sz w:val="24"/>
                <w:szCs w:val="24"/>
              </w:rPr>
              <w:t>16.1.08.73070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16.1.08.73070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субвенции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16.1.08.73140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300,5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300,5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300,5</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16.1.08.73140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300,5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300,5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300,5</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иных межбюджетных трансфертов на финансовое обеспечение деятельности центров образования цифрового и гуманитарного профилей "Точка роста"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16.1.E1.74590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pPr>
            <w:r>
              <w:rPr>
                <w:bCs/>
                <w:color w:val="000000"/>
                <w:sz w:val="24"/>
                <w:szCs w:val="24"/>
              </w:rPr>
              <w:t>1 532,6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16.1.E1.74590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1 532,6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Предупреждение распространения, профилактики, диагностика и лечение от новой коронавирусной инфекции (COVID-19)</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16.1.С1.00000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Предупреждение распространения, профилактики, диагностика и лечение от новой коронавирусной инфекции (COVID-19) на обеспечение деятельности бюджетных учреждений, финансируемых из районного бюджета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16.1.С1.42099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12,4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16.1.С1.42099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12,4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Предупреждение распространения, профилактики, диагностика и лечение от новой коронавирусной инфекции (COVID-19) на обеспечение деятельности бюджетных учреждений, финансируемых из районного бюджета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16.1.С1.42199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16.1.С1.42199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Подпрограмма "Развитие дополнительного образования и воспитания детей"</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16.2.00.00000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14 212,9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14 019,4</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14 019,4</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обеспечение деятельности учреждений по внешкольной работе с детьми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16.2.02.00000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8 976,5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10 198,5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10 198,5</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обеспечение деятельности бюджетных учреждений, финансируемых из районного бюджета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16.2.02.42399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8 903,4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10 198,5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10 198,5</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16.2.02.42399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8 903,4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10 198,5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10 198,5</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16.2.02.S2190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73,2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16.2.02.S2190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73,2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Оздоровление детей</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16.2.09.00000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1 762,1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2 034,1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2 034,1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Организация отдыха и оздоровления детей</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16.2.09.43101</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1 476,0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1 748,0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1 748,0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Социальное обеспечение и иные выплаты населению</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16.2.09.43101</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222,9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464,4</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464,4</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16.2.09.43101</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1 253,1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1 283,6</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1 283,6</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субвенции на осуществление выплат на возмещение части расходов по приобретению путевок в детские санатории, санаторно-оздоровительные центры (лагеря) круглогодичного действия и иные организации, осуществляющие санаторно-курортное лечение детей в соответствии с имеющейся лицензией, иные организации, осуществляющие санаторно-курортную помощь детям в соответствии с имеющейся лицензией, расположенные на территории Российской Федерации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16.2.09.73320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286,1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286,1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286,1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16.2.09.73320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13,6</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13,6</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Социальное обеспечение и иные выплаты населению</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16.2.09.73320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272,5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272,5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272,5</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Функционирование модели персонифицированного финансирования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16.2.13.00000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3 474,2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1 786,8</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1 786,8</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функционирования модели персонифицированного финансирования дополнительного образования детей</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16.2.13.42399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3 474,2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1 786,8</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1 786,8</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16.2.13.42399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3 361,8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1 751,8</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1 751,8</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Иные бюджетные ассигнования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16.2.13.42399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112,4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35,0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35,0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Подпрограмма «Патриотическое воспитание детей Шарангского муниципального района»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16.4.00.00000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75,1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76,0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76,0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Проведение комплекса мероприятий по патриотическому воспитанию у детей Шарангского муниципального района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16.4.08.00000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75,1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76,0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76,0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обеспечение деятельности бюджетных учреждений, финансируемых из районного бюджета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16.4.08.42199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75,1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76,0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76,0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16.4.08.42199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75,1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76,0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76,0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Подпрограмма "Ресурсное обеспечение сферы образования в Шарангском муниципальном районе"</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16.5.00.00000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39 808,4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6 981,5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10 227,4</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Муниципальные педагогические конференции, торжественные мероприятия с педагогами, праздничные приемы, юбилейные мероприятия подведомственных ОУ</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16.5.03.00000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342,0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342,0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342,0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обеспечение деятельности бюджетных учреждений, финансируемых из районного бюджета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16.5.03.42199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342,0</w:t>
            </w:r>
          </w:p>
        </w:tc>
        <w:tc>
          <w:tcPr>
            <w:tcW w:w="1377" w:type="dxa"/>
            <w:tcBorders>
              <w:bottom w:val="single" w:sz="4" w:space="0" w:color="000000"/>
              <w:right w:val="single" w:sz="4" w:space="0" w:color="000000"/>
            </w:tcBorders>
            <w:vAlign w:val="center"/>
          </w:tcPr>
          <w:p>
            <w:pPr>
              <w:pStyle w:val="Normal"/>
              <w:jc w:val="center"/>
              <w:rPr/>
            </w:pPr>
            <w:r>
              <w:rPr>
                <w:bCs/>
                <w:color w:val="000000"/>
                <w:sz w:val="24"/>
                <w:szCs w:val="24"/>
              </w:rPr>
              <w:t>342,0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342,0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16.5.03.42199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342,0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342,0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342,0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pPr>
            <w:r>
              <w:rPr>
                <w:bCs/>
                <w:color w:val="000000"/>
                <w:sz w:val="24"/>
                <w:szCs w:val="24"/>
              </w:rPr>
              <w:t>Укрепление материально-технической базы, ремонт ОУ</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16.5.04.00000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38 502,8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5 675,9</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8 921,8</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оборудованием и инвентарем в целях ввода в эксплуатацию новых объектов</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16.5.04.42000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6 162,4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16.5.04.42000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6 162,4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Укрепление материально- технической базы, ремонт МБДОУ</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16.5.04.42099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986,6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16.5.04.42099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986,6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Укрепление материально-технической базы, ремонт МБОУ</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16.5.04.42199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3 811,7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16.5.04.42199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3 811,7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приобретение школьных автобусов в лизинг</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16.5.04.42620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284,6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284,6</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284,6</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16.5.04.42620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284,6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284,6</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284,6</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реализацию проектов комплексного развития сельских территорий (сельских агломераций)</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16.5.04.L5760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23 669,6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Капитальные вложения в объекты государственной (муниципальной) собственности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16.5.04.L5760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23 669,6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капитальный ремонт образовательных организаций, реализующих общеобразовательные программы Нижегородской области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16.5.04.S2180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3 587,9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5 391,3</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8 637,2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16.5.04.S2180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3 587,9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5 391,3</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8 637,2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Реализация планов мероприятий противопожарной безопасности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16.5.05.00000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963,6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963,6</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963,6</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обеспечение деятельности бюджетных учреждений, финансируемых из районного бюджета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16.5.05.42099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553,2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553,2</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553,2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16.5.05.42099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553,2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553,2</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553,2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обеспечение деятельности бюджетных учреждений, финансируемых из районного бюджета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16.5.05.42199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377,4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377,4</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377,4</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16.5.05.42199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377,4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377,4</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377,4</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обеспечение деятельности бюджетных учреждений, финансируемых из районного бюджета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16.5.05.42399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33,0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33,0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33,0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16.5.05.42399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33,0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33,0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33,0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Подпрограмма «Социально-правовая защита детей в Шарангском муниципальном районе»</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16.6.00.00000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10 077,4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10 348,5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10 277,8</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Совершенствование системы социально-правовой защиты детей</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16.6.01.00000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10 077,4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10 348,5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10 277,8</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обеспечение деятельности бюджетных учреждений, финансируемых из районного бюджета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16.6.01.42199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16.6.01.42199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16.6.01.73020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465,4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465,4</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465,4</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16.6.01.73020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437,4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437,4</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437,4</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16.6.01.73020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28,0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субвенции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16.6.01.73110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2 024,2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2 024,2</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2 024,2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16.6.01.73110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29,9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29,9</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29,9</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Социальное обеспечение и иные выплаты населению</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16.6.01.73110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1 994,3</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1 994,3</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1 994,3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субвенции на исполнение полномочий по финансовому обеспечению осуществления присмотра и ухода за детьми-инвалидами, детьми-сиротами и детьми, оставшимися без попечения родителей, а так же за детьми с туберкулезной интоксикацией, обучающимися в муниципальных образовательных организациях, реализующих образовательные программы дошкольного образования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16.6.01.73170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464,1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464,1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464,1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16.6.01.73170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464,1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464,1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464,1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 не проживающих в муниципальных организациях, осуществляющих образовательную деятельность по адаптированным основным общеобразовательным программам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16.6.01.73180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1 039,2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1 039,2</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1 039,2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16.6.01.73180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1 039,2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1 039,2</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1 039,2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субсидии на организацию бесплатного горячего питания обучающихся, получающих начальное общее образование в муниципальных образовательных организациях</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16.6.01.L3040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6 074,5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6 345,6</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6 274,9</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16.6.01.L3040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6 074,5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6 345,6</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6 274,9</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Подпрограмма «Молодежь»</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16.7.00.00000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Комплекс мероприятий, направленных на становление духовно-нравственного и патриотического воспитания молодежи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16.7.02.00000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обеспечение деятельности бюджетных учреждений, финансируемых из районного бюджета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16.7.02.42199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16.7.02.42199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Подпрограмма « Обеспечение реализации муниципальной программы»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16.8.00.00000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29 370,7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27 850,5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27 850,5</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Содержание аппарата управления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16.8.01.00000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3 515,1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3 515,1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3 515,1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обеспечение функций органов местного самоуправления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16.8.01.20401</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3 515,1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3 515,1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3 515,1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16.8.01.20401</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3 478,7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3 478,7</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3 478,7</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16.8.01.20401</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36,4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36,4</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36,4</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Формирование культуры оценки качества образования на уровне региона, органов местного самоуправления и отдельных организаций через повышение квалификационного уровня кадров системы образования, организацию мониторинга качества образования, проведение анализа и использование результатов оценочных процедур</w:t>
            </w:r>
          </w:p>
        </w:tc>
        <w:tc>
          <w:tcPr>
            <w:tcW w:w="1780" w:type="dxa"/>
            <w:tcBorders>
              <w:bottom w:val="single" w:sz="4" w:space="0" w:color="000000"/>
              <w:right w:val="single" w:sz="4" w:space="0" w:color="000000"/>
            </w:tcBorders>
            <w:vAlign w:val="center"/>
          </w:tcPr>
          <w:p>
            <w:pPr>
              <w:pStyle w:val="Normal"/>
              <w:jc w:val="center"/>
              <w:rPr/>
            </w:pPr>
            <w:r>
              <w:rPr>
                <w:bCs/>
                <w:color w:val="000000"/>
                <w:sz w:val="24"/>
                <w:szCs w:val="24"/>
              </w:rPr>
              <w:t>16.8.02.00000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602,6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602,6</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602,6</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16.8.02.73010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602,6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602,6</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602,6</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16.8.02.73010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394,9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394,9</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394,9</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16.8.02.73010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pPr>
            <w:r>
              <w:rPr>
                <w:bCs/>
                <w:color w:val="000000"/>
                <w:sz w:val="24"/>
                <w:szCs w:val="24"/>
              </w:rPr>
              <w:t>207,7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207,7</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207,7</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Содержание учебно-методических кабинетов, централизованных бухгалтерий, групп хозяйственного обслуживания государственных учреждений</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16.8.04.00000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25 253,0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23 732,8</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23 732,8</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Учебно-методические кабинеты, централизованные бухгалтерии и группы хозяйственного обслуживания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16.8.04.45299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24 607,8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23 732,8</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23 732,8</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16.8.04.45299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21 844,9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21 296,4</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21 296,4</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16.8.04.45299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2 757,0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2 436,4</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2 436,4</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Иные бюджетные ассигнования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16.8.04.45299</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16.8.04.S2190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645,2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16.8.04.S2190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645,2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Муниципальная программа "Экология Шарангского муниципального района на 2021 - 2025 годы"</w:t>
            </w:r>
          </w:p>
        </w:tc>
        <w:tc>
          <w:tcPr>
            <w:tcW w:w="17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17.0.00.00000</w:t>
            </w:r>
          </w:p>
        </w:tc>
        <w:tc>
          <w:tcPr>
            <w:tcW w:w="913"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94,7</w:t>
            </w:r>
          </w:p>
        </w:tc>
        <w:tc>
          <w:tcPr>
            <w:tcW w:w="1377"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94,8</w:t>
            </w:r>
          </w:p>
        </w:tc>
        <w:tc>
          <w:tcPr>
            <w:tcW w:w="131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94,8</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Охрана окружающей среды от загрязнения отходами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17.3.00.00000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94,7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94,8</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94,8</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Услуги по расчету платы за негативное воздействие на окружающую среду</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17.3.09.00000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94,7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94,8</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94,8</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Мероприятия в области охраны окружающей среды (кроме органов местного самоуправления)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17.3.09.07070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86,3</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86,3</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86,3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17.3.09.07070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4,8</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4,8</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17.3.09.07070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81,5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81,5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81,5</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Мероприятия в области охраны окружающей среды органов местного самоуправления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17.3.09.20401</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8,5</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17.3.09.20401</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8,5</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Муниципальная программа «Профилактика безнадзорности и правонарушений несовершеннолетних в Шарангском муниципальном районе на 2021-2023 годы»</w:t>
            </w:r>
          </w:p>
        </w:tc>
        <w:tc>
          <w:tcPr>
            <w:tcW w:w="17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18.0.00.00000</w:t>
            </w:r>
          </w:p>
        </w:tc>
        <w:tc>
          <w:tcPr>
            <w:tcW w:w="913"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25,0</w:t>
            </w:r>
          </w:p>
        </w:tc>
        <w:tc>
          <w:tcPr>
            <w:tcW w:w="1377"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25,0</w:t>
            </w:r>
          </w:p>
        </w:tc>
        <w:tc>
          <w:tcPr>
            <w:tcW w:w="131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25,0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Организация проведения мероприятий, направленных на профилактику правонарушений и преступлений несовершеннолетних</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18.1.00.00000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25,0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25,0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25,0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Организация проведения мероприятий, направленных на профилактику правонарушений и преступлений несовершеннолетних</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18.1.01.00000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25,0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25,0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25,0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Организация конкурсов , соревнований и фестиваля по профилактике правонарушений и преступлений</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18.1.01.14010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25,0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25,0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25,0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18.1.01.14010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25,0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25,0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25,0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Муниципальная программа "Переселение граждан из аварийного жилищного фонда на территории Шарангского муниципального района, в том числе с учетом необходимости развития малоэтажного жилищного строительства на 2019-2023 годы"</w:t>
            </w:r>
          </w:p>
        </w:tc>
        <w:tc>
          <w:tcPr>
            <w:tcW w:w="17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20.0.00.00000</w:t>
            </w:r>
          </w:p>
        </w:tc>
        <w:tc>
          <w:tcPr>
            <w:tcW w:w="913"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8 031,5</w:t>
            </w:r>
          </w:p>
        </w:tc>
        <w:tc>
          <w:tcPr>
            <w:tcW w:w="1377"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88,0</w:t>
            </w:r>
          </w:p>
        </w:tc>
        <w:tc>
          <w:tcPr>
            <w:tcW w:w="131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9 802,6</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мероприятий по переселению граждан из аварийного жилищного фонда (2 этап)</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20.2.00.03503</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20.2.00.03503</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мероприятий по переселению граждан из аварийного жилищного фонда за счет средств корпорации - Фонда содействия реформированию жилищно-коммунального хозяйства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20.3.F3.67483</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3 552,5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Капитальные вложения в объекты государственной (муниципальной) собственности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20.3.F3.67483</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3 552,5</w:t>
            </w:r>
          </w:p>
        </w:tc>
        <w:tc>
          <w:tcPr>
            <w:tcW w:w="1377" w:type="dxa"/>
            <w:tcBorders>
              <w:bottom w:val="single" w:sz="4" w:space="0" w:color="000000"/>
              <w:right w:val="single" w:sz="4" w:space="0" w:color="000000"/>
            </w:tcBorders>
            <w:vAlign w:val="center"/>
          </w:tcPr>
          <w:p>
            <w:pPr>
              <w:pStyle w:val="Normal"/>
              <w:jc w:val="center"/>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мероприятий по переселению граждан из аварийного жилищного фонда за счет средств областного бюджета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20.3.F3.67484</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120,3</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Капитальные вложения в объекты государственной (муниципальной) собственности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20.3.F3.67484</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120,3</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мероприятий по переселению граждан из аварийного жилищного фонда за счет средств местного бюджета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20.3.F3.6748S</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Капитальные вложения в объекты государственной (муниципальной) собственности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20.3.F3.6748S</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мероприятий по переселению граждан из аварийного жилищного фонда за счет средств корпорации - Фонда содействия реформированию жилищно-коммунального хозяйства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20.4.F3.67483</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4 076,2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9 355,8</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Капитальные вложения в объекты государственной (муниципальной) собственности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20.4.F3.67483</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4 076,2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9 355,8</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мероприятий по переселению граждан из аварийного жилищного фонда за счет средств областного бюджета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20.4.F3.67484</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135,9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311,8</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Капитальные вложения в объекты государственной (муниципальной) собственности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20.4.F3.67484</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135,9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311,8</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мероприятий по переселению граждан из аварийного жилищного фонда за счет средств местного бюджета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20.4.F3.6748S</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66,5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38,0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Капитальные вложения в объекты государственной (муниципальной) собственности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20.4.F3.6748S</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66,5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38,0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мероприятий по переселению граждан из аварийного жилищного фонда за счет средств местного бюджета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20.5.F3.6748S</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85,0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Капитальные вложения в объекты государственной (муниципальной) собственности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20.5.F3.6748S</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85,0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Муниципальная программа "Управление муниципальным имуществом Шарангского муниципального района Нижегородской области на 2021-2025 годы"</w:t>
            </w:r>
          </w:p>
        </w:tc>
        <w:tc>
          <w:tcPr>
            <w:tcW w:w="17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21.0.00.00000</w:t>
            </w:r>
          </w:p>
        </w:tc>
        <w:tc>
          <w:tcPr>
            <w:tcW w:w="913"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455,0</w:t>
            </w:r>
          </w:p>
        </w:tc>
        <w:tc>
          <w:tcPr>
            <w:tcW w:w="1377"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405,0</w:t>
            </w:r>
          </w:p>
        </w:tc>
        <w:tc>
          <w:tcPr>
            <w:tcW w:w="131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1 405,0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Совершенствование учета и разграничения муниципального имущества, его структуризация, классификация и содержание объектов недвижимости в 2021-2025 годах</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21.1.00.00000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455,0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405,0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1 405,0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Совершенствование управления имуществом Шарангского муниципального района Нижегородской области на основе современных принципов и методов управления собственностью, а также качественное развитие процесса разграничения собственности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21.1.01.00000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Оценка недвижимости, признание прав и регулирование отношений по муниципальной собственности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21.1.01.90020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21.1.01.90020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Проведение кадастровых работ, разработка проектов планировки и межевания, изготовление топографических съемок, публикация в СМИ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21.1.02.00000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405,0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355,0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1 355,0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Мероприятия по землеустройству и землепользованию</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21.1.02.03403</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405,0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355,0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1 355,0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21.1.02.03403</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405,0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355,0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1 355,0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Муниципальная программа "Инвестиционная программа Шарангского муниципального района Нижегородской области на 2021-2023 годы"</w:t>
            </w:r>
          </w:p>
        </w:tc>
        <w:tc>
          <w:tcPr>
            <w:tcW w:w="17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22.0.00.00000</w:t>
            </w:r>
          </w:p>
        </w:tc>
        <w:tc>
          <w:tcPr>
            <w:tcW w:w="913"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10 699,3</w:t>
            </w:r>
          </w:p>
        </w:tc>
        <w:tc>
          <w:tcPr>
            <w:tcW w:w="1377"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15 918,3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Проектно-изыскательские работы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22.0.01.00000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5 114,2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15 918,3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Бюджетные инвестиции в объекты капитального строительства собственности муниципальных образований</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22.0.01.01020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5 114,2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Капитальные вложения в объекты государственной (муниципальной) собственности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22.0.01.01020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w:t>
            </w:r>
          </w:p>
        </w:tc>
        <w:tc>
          <w:tcPr>
            <w:tcW w:w="1276" w:type="dxa"/>
            <w:tcBorders>
              <w:bottom w:val="single" w:sz="4" w:space="0" w:color="000000"/>
              <w:right w:val="single" w:sz="4" w:space="0" w:color="000000"/>
            </w:tcBorders>
            <w:vAlign w:val="center"/>
          </w:tcPr>
          <w:p>
            <w:pPr>
              <w:pStyle w:val="Normal"/>
              <w:jc w:val="center"/>
              <w:rPr/>
            </w:pPr>
            <w:r>
              <w:rPr>
                <w:bCs/>
                <w:color w:val="000000"/>
                <w:sz w:val="24"/>
                <w:szCs w:val="24"/>
              </w:rPr>
              <w:t>5 114,2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Реализация мероприятий в рамках адресной инвестиционной программы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22.0.01.S2450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15 918,3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Капитальные вложения в объекты государственной (муниципальной) собственности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22.0.01.S2450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15 918,3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Прочее</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22.0.03.00000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5 585,1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Мероприятия в области коммунального хозяйства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22.0.03.03515</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5 260,1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22.0.03.03515</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980,0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Капитальные вложения в объекты государственной (муниципальной) собственности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22.0.03.03515</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3 330,1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Иные бюджетные ассигнования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22.0.03.03515</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950,0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проектирование и строительство (реконструкцию) автомобильных дорог общего пользования местного значения муниципальных образований Нижегородской области, в том числе на строительство объектов скоростного внеуличного транспорта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22.0.03.S2200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325,0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Межбюджетные трансферты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22.0.03.S2200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325,0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Непрограммные расходы</w:t>
            </w:r>
          </w:p>
        </w:tc>
        <w:tc>
          <w:tcPr>
            <w:tcW w:w="17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88.0.00.00000</w:t>
            </w:r>
          </w:p>
        </w:tc>
        <w:tc>
          <w:tcPr>
            <w:tcW w:w="913"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55 081,4</w:t>
            </w:r>
          </w:p>
        </w:tc>
        <w:tc>
          <w:tcPr>
            <w:tcW w:w="1377"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45 341,8</w:t>
            </w:r>
          </w:p>
        </w:tc>
        <w:tc>
          <w:tcPr>
            <w:tcW w:w="131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48 676,4</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Непрограммное направление деятельности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88.8.00.00000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55 081,4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45 341,8</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48 676,4</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Содержание аппарата управления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88.8.01.00000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33 591,9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29 947,3</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30 918,2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Глава местного самоуправления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88.8.01.20300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1 918,9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1 918,9</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1 918,9</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88.8.01.20300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1 918,9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1 918,9</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1 918,9</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обеспечение функций органов местного самоуправления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88.8.01.20401</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25 503,6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23 126,7</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24 097,6</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88.8.01.20401</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18 455,4</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18 455,5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18 455,4</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88.8.01.20401</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7 028,2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4 671,2</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5 642,2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Иные бюджетные ассигнования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88.8.01.20401</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88.8.01.73040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469,7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469,7</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469,7</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88.8.01.73040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440,7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440,7</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440,7</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pPr>
            <w:r>
              <w:rPr>
                <w:bCs/>
                <w:color w:val="000000"/>
                <w:sz w:val="24"/>
                <w:szCs w:val="24"/>
              </w:rPr>
              <w:t>88.8.01.73040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29,0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29,0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29,0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88.8.01.73060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394,2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394,2</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394,2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88.8.01.73060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363,5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363,5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363,5</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88.8.01.73060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30,7</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30,7</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Прочие выплаты по обязательствам муниципального образования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88.8.01.92035</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960,1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959,1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959,1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pPr>
            <w:r>
              <w:rPr>
                <w:bCs/>
                <w:color w:val="000000"/>
                <w:sz w:val="24"/>
                <w:szCs w:val="24"/>
              </w:rPr>
              <w:t>88.8.01.92035</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942,1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906,1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906,1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Социальное обеспечение и иные выплаты населению</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88.8.01.92035</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35,0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35,0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Иные бюджетные ассигнования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88.8.01.92035</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18,0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18,0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18,0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Учреждения по обеспечению хозяйственного обслуживания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88.8.01.93990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4 228,4</w:t>
            </w:r>
          </w:p>
        </w:tc>
        <w:tc>
          <w:tcPr>
            <w:tcW w:w="1377" w:type="dxa"/>
            <w:tcBorders>
              <w:bottom w:val="single" w:sz="4" w:space="0" w:color="000000"/>
              <w:right w:val="single" w:sz="4" w:space="0" w:color="000000"/>
            </w:tcBorders>
            <w:vAlign w:val="center"/>
          </w:tcPr>
          <w:p>
            <w:pPr>
              <w:pStyle w:val="Normal"/>
              <w:jc w:val="center"/>
              <w:rPr/>
            </w:pPr>
            <w:r>
              <w:rPr>
                <w:bCs/>
                <w:color w:val="000000"/>
                <w:sz w:val="24"/>
                <w:szCs w:val="24"/>
              </w:rPr>
              <w:t>3 078,7</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3 078,7</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88.8.01.93990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2 921,1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2 922,3</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2 922,3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88.8.01.93990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1 307,3</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156,4</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156,4</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1780" w:type="dxa"/>
            <w:tcBorders>
              <w:bottom w:val="single" w:sz="4" w:space="0" w:color="000000"/>
              <w:right w:val="single" w:sz="4" w:space="0" w:color="000000"/>
            </w:tcBorders>
            <w:vAlign w:val="center"/>
          </w:tcPr>
          <w:p>
            <w:pPr>
              <w:pStyle w:val="Normal"/>
              <w:jc w:val="center"/>
              <w:rPr/>
            </w:pPr>
            <w:r>
              <w:rPr>
                <w:bCs/>
                <w:color w:val="000000"/>
                <w:sz w:val="24"/>
                <w:szCs w:val="24"/>
              </w:rPr>
              <w:t>88.8.01.S2190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117,0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88.8.01.S2190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117,0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межбюджетных трансфертов вышестоящих бюджетов</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88.8.05.00000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827,7</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54,5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иных межбюджетных трансфертов из фонда поддержки территорий</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88.8.05.22000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727,1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Социальное обеспечение и иные выплаты населению</w:t>
            </w:r>
          </w:p>
        </w:tc>
        <w:tc>
          <w:tcPr>
            <w:tcW w:w="1780" w:type="dxa"/>
            <w:tcBorders>
              <w:bottom w:val="single" w:sz="4" w:space="0" w:color="000000"/>
              <w:right w:val="single" w:sz="4" w:space="0" w:color="000000"/>
            </w:tcBorders>
            <w:vAlign w:val="center"/>
          </w:tcPr>
          <w:p>
            <w:pPr>
              <w:pStyle w:val="Normal"/>
              <w:jc w:val="center"/>
              <w:rPr/>
            </w:pPr>
            <w:r>
              <w:rPr>
                <w:bCs/>
                <w:color w:val="000000"/>
                <w:sz w:val="24"/>
                <w:szCs w:val="24"/>
              </w:rPr>
              <w:t>88.8.05.22000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88.8.05.22000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657,1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субвенции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Российской Федерации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88.8.05.51200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12,6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54,5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88.8.05.51200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12,6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54,5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pPr>
            <w:r>
              <w:rPr>
                <w:bCs/>
                <w:color w:val="000000"/>
                <w:sz w:val="24"/>
                <w:szCs w:val="24"/>
              </w:rPr>
              <w:t>Расходы за счет субвенции на осуществление полномочий по организации мероприятий при осуществлении деятельности по обращению с животными без владельцев, а также по организации проведения мероприятий по предупреждению и ликвидации болезней животных, их лечению, защите населения от болезней, общих для человека и животных</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88.8.05.73310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88.8.05.73310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Прочие непрограммные расходы</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88.8.06.00000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20 661,8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15 340,0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17 753,1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Поддержка средств массовой информации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88.8.06.02050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88.8.06.02050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Капитальный ремонт муниципального жилищного фонда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88.8.06.03502</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175,8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205,9</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175,8</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88.8.06.03502</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175,8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205,9</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175,8</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Мероприятия в области жилищного хозяйства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88.8.06.03503</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148,3</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88.8.06.03503</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148,3</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Мероприятия в области водного хозяйства</w:t>
            </w:r>
          </w:p>
        </w:tc>
        <w:tc>
          <w:tcPr>
            <w:tcW w:w="1780" w:type="dxa"/>
            <w:tcBorders>
              <w:bottom w:val="single" w:sz="4" w:space="0" w:color="000000"/>
              <w:right w:val="single" w:sz="4" w:space="0" w:color="000000"/>
            </w:tcBorders>
            <w:vAlign w:val="center"/>
          </w:tcPr>
          <w:p>
            <w:pPr>
              <w:pStyle w:val="Normal"/>
              <w:jc w:val="center"/>
              <w:rPr/>
            </w:pPr>
            <w:r>
              <w:rPr>
                <w:bCs/>
                <w:color w:val="000000"/>
                <w:sz w:val="24"/>
                <w:szCs w:val="24"/>
              </w:rPr>
              <w:t>88.8.06.03506</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75,2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88.8.06.03506</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75,2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Компенсация выпадающих доходов организациям, предоставляющим услуги водоснабжения и водоотведения по тарифам, не обеспечивающим возмещение издержек</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88.8.06.03513</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964,2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964,2</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964,2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Иные бюджетные ассигнования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88.8.06.03513</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964,2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964,2</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964,2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Мероприятия в области коммунального хозяйства</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88.8.06.03515</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4 444,5</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108,2</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108,2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88.8.06.03515</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4 336,3</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Иные бюджетные ассигнования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88.8.06.03515</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108,2</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108,2</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108,2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Мероприятия в области социальной политики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88.8.06.05140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4 387,0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3 387,0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5 387,0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Социальное обеспечение и иные выплаты населению</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88.8.06.05140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4 387,0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3 387,0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5 387,0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Субсидии отдельным общественным организациям и иным некоммерческим объединениям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88.8.06.14050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37,8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37,8</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37,8</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Предоставление субсидий бюджетным, автономным учреждениям и иным некоммерческим организациям</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88.8.06.14050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37,8</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37,8</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37,8</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субвенции на обеспечение жильем отдельных категорий граждан, установленных ФЗ от 12 января 1995 года №5-ФЗ "О ветеранах"</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88.8.06.51350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1 008,9</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1 051,2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Социальное обеспечение и иные выплаты населению</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88.8.06.51350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300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1 008,9</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1 051,2</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88.8.06.73050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2,3</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2,3</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88.8.06.73050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2,3</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2,3</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2,3</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pPr>
            <w:r>
              <w:rPr>
                <w:bCs/>
                <w:color w:val="000000"/>
                <w:sz w:val="24"/>
                <w:szCs w:val="24"/>
              </w:rPr>
              <w:t>Расходы за счет субвенции на проведение ремонта жилых помещений собственниками которых являются дети-сироты и дети, оставшихся без попечения родителей, а так же лица из числа детей – сирот и детей, оставшихся без попечения родителей либо жилых помещений государственного жилищного фонда, право пользования которыми за ними сохранено, в целях обеспечения надлежащего санитарного и технического состояния этих жилых помещений</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88.8.06.73120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84,9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88.8.06.73120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84,9</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Расходы за счет субвенции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88.8.06.R0820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4 318,6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4 318,5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4 318,5</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Капитальные вложения в объекты государственной (муниципальной) собственности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88.8.06.R0820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4 318,6</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4 318,5</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4 318,5</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Субсидия СМИ</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88.8.06.S2050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5 261,1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5 261,1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5 261,1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Иные бюджетные ассигнования</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88.8.06.S2050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5 261,1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5 261,1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5 261,1</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Обеспечение доступа к системе электронного документооборота</w:t>
            </w:r>
          </w:p>
        </w:tc>
        <w:tc>
          <w:tcPr>
            <w:tcW w:w="1780" w:type="dxa"/>
            <w:tcBorders>
              <w:bottom w:val="single" w:sz="4" w:space="0" w:color="000000"/>
              <w:right w:val="single" w:sz="4" w:space="0" w:color="000000"/>
            </w:tcBorders>
            <w:vAlign w:val="center"/>
          </w:tcPr>
          <w:p>
            <w:pPr>
              <w:pStyle w:val="Normal"/>
              <w:jc w:val="center"/>
              <w:rPr/>
            </w:pPr>
            <w:r>
              <w:rPr>
                <w:bCs/>
                <w:color w:val="000000"/>
                <w:sz w:val="24"/>
                <w:szCs w:val="24"/>
              </w:rPr>
              <w:t>88.8.06.S2300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000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162,1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46,1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447,0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jc w:val="both"/>
              <w:rPr>
                <w:bCs/>
                <w:color w:val="000000"/>
                <w:sz w:val="24"/>
                <w:szCs w:val="24"/>
              </w:rPr>
            </w:pPr>
            <w:r>
              <w:rPr>
                <w:bCs/>
                <w:color w:val="000000"/>
                <w:sz w:val="24"/>
                <w:szCs w:val="24"/>
              </w:rPr>
              <w:t>Закупка товаров, работ и услуг для обеспечения государственных (муниципальных) нужд</w:t>
            </w:r>
          </w:p>
        </w:tc>
        <w:tc>
          <w:tcPr>
            <w:tcW w:w="1780"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88.8.06.S2300</w:t>
            </w:r>
          </w:p>
        </w:tc>
        <w:tc>
          <w:tcPr>
            <w:tcW w:w="913"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162,1</w:t>
            </w:r>
          </w:p>
        </w:tc>
        <w:tc>
          <w:tcPr>
            <w:tcW w:w="1377"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46,1</w:t>
            </w:r>
          </w:p>
        </w:tc>
        <w:tc>
          <w:tcPr>
            <w:tcW w:w="1318" w:type="dxa"/>
            <w:tcBorders>
              <w:bottom w:val="single" w:sz="4" w:space="0" w:color="000000"/>
              <w:right w:val="single" w:sz="4" w:space="0" w:color="000000"/>
            </w:tcBorders>
            <w:vAlign w:val="center"/>
          </w:tcPr>
          <w:p>
            <w:pPr>
              <w:pStyle w:val="Normal"/>
              <w:jc w:val="center"/>
              <w:rPr>
                <w:bCs/>
                <w:color w:val="000000"/>
                <w:sz w:val="24"/>
                <w:szCs w:val="24"/>
              </w:rPr>
            </w:pPr>
            <w:r>
              <w:rPr>
                <w:bCs/>
                <w:color w:val="000000"/>
                <w:sz w:val="24"/>
                <w:szCs w:val="24"/>
              </w:rPr>
              <w:t>447,0</w:t>
            </w:r>
          </w:p>
        </w:tc>
      </w:tr>
      <w:tr>
        <w:trPr>
          <w:trHeight w:val="23" w:hRule="atLeast"/>
        </w:trPr>
        <w:tc>
          <w:tcPr>
            <w:tcW w:w="8095" w:type="dxa"/>
            <w:tcBorders>
              <w:left w:val="single" w:sz="4" w:space="0" w:color="000000"/>
              <w:bottom w:val="single" w:sz="4" w:space="0" w:color="000000"/>
              <w:right w:val="single" w:sz="4" w:space="0" w:color="000000"/>
            </w:tcBorders>
            <w:vAlign w:val="center"/>
          </w:tcPr>
          <w:p>
            <w:pPr>
              <w:pStyle w:val="Normal"/>
              <w:rPr>
                <w:b/>
                <w:b/>
                <w:bCs/>
                <w:color w:val="000000"/>
                <w:sz w:val="24"/>
                <w:szCs w:val="24"/>
              </w:rPr>
            </w:pPr>
            <w:r>
              <w:rPr>
                <w:b/>
                <w:bCs/>
                <w:color w:val="000000"/>
                <w:sz w:val="24"/>
                <w:szCs w:val="24"/>
              </w:rPr>
              <w:t>Всего</w:t>
            </w:r>
          </w:p>
        </w:tc>
        <w:tc>
          <w:tcPr>
            <w:tcW w:w="17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913"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718 036,0</w:t>
            </w:r>
          </w:p>
        </w:tc>
        <w:tc>
          <w:tcPr>
            <w:tcW w:w="1377"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541 174,6</w:t>
            </w:r>
          </w:p>
        </w:tc>
        <w:tc>
          <w:tcPr>
            <w:tcW w:w="131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596 849,3</w:t>
            </w:r>
          </w:p>
        </w:tc>
      </w:tr>
    </w:tbl>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Normal"/>
        <w:tabs>
          <w:tab w:val="clear" w:pos="720"/>
          <w:tab w:val="left" w:pos="567" w:leader="none"/>
        </w:tabs>
        <w:jc w:val="right"/>
        <w:rPr>
          <w:rFonts w:ascii="Times New Roman" w:hAnsi="Times New Roman" w:cs="Times New Roman"/>
          <w:b/>
          <w:b/>
          <w:bCs/>
          <w:sz w:val="28"/>
          <w:szCs w:val="28"/>
        </w:rPr>
      </w:pPr>
      <w:r>
        <w:rPr>
          <w:rFonts w:cs="Times New Roman"/>
          <w:b/>
          <w:bCs/>
          <w:sz w:val="28"/>
          <w:szCs w:val="28"/>
        </w:rPr>
      </w:r>
    </w:p>
    <w:p>
      <w:pPr>
        <w:pStyle w:val="Normal"/>
        <w:tabs>
          <w:tab w:val="clear" w:pos="720"/>
          <w:tab w:val="left" w:pos="567" w:leader="none"/>
        </w:tabs>
        <w:jc w:val="right"/>
        <w:rPr>
          <w:bCs/>
          <w:sz w:val="28"/>
          <w:szCs w:val="28"/>
        </w:rPr>
      </w:pPr>
      <w:r>
        <w:rPr>
          <w:bCs/>
          <w:sz w:val="28"/>
          <w:szCs w:val="28"/>
        </w:rPr>
      </w:r>
    </w:p>
    <w:p>
      <w:pPr>
        <w:pStyle w:val="Normal"/>
        <w:tabs>
          <w:tab w:val="clear" w:pos="720"/>
          <w:tab w:val="left" w:pos="567" w:leader="none"/>
        </w:tabs>
        <w:jc w:val="right"/>
        <w:rPr>
          <w:b/>
          <w:b/>
          <w:sz w:val="28"/>
          <w:szCs w:val="28"/>
        </w:rPr>
      </w:pPr>
      <w:r>
        <w:rPr>
          <w:sz w:val="28"/>
          <w:szCs w:val="28"/>
        </w:rPr>
        <w:t xml:space="preserve">Приложение 6 </w:t>
      </w:r>
    </w:p>
    <w:p>
      <w:pPr>
        <w:pStyle w:val="Normal"/>
        <w:jc w:val="right"/>
        <w:rPr>
          <w:sz w:val="28"/>
          <w:szCs w:val="28"/>
        </w:rPr>
      </w:pPr>
      <w:r>
        <w:rPr>
          <w:sz w:val="28"/>
          <w:szCs w:val="28"/>
        </w:rPr>
        <w:t>к решению Земского собрания</w:t>
      </w:r>
    </w:p>
    <w:p>
      <w:pPr>
        <w:pStyle w:val="Normal"/>
        <w:jc w:val="right"/>
        <w:rPr>
          <w:sz w:val="28"/>
          <w:szCs w:val="28"/>
        </w:rPr>
      </w:pPr>
      <w:r>
        <w:rPr>
          <w:sz w:val="28"/>
          <w:szCs w:val="28"/>
        </w:rPr>
        <w:t>Шарангского муниципального района</w:t>
      </w:r>
    </w:p>
    <w:p>
      <w:pPr>
        <w:pStyle w:val="Normal"/>
        <w:jc w:val="right"/>
        <w:rPr>
          <w:sz w:val="28"/>
          <w:szCs w:val="28"/>
        </w:rPr>
      </w:pPr>
      <w:r>
        <w:rPr>
          <w:sz w:val="28"/>
          <w:szCs w:val="28"/>
        </w:rPr>
        <w:t xml:space="preserve">                                                                                                                                             </w:t>
      </w:r>
      <w:r>
        <w:rPr>
          <w:sz w:val="28"/>
          <w:szCs w:val="28"/>
        </w:rPr>
        <w:t xml:space="preserve">«О районном бюджете на 2021 год и </w:t>
      </w:r>
    </w:p>
    <w:p>
      <w:pPr>
        <w:pStyle w:val="Normal"/>
        <w:jc w:val="right"/>
        <w:rPr>
          <w:sz w:val="28"/>
          <w:szCs w:val="28"/>
        </w:rPr>
      </w:pPr>
      <w:r>
        <w:rPr>
          <w:sz w:val="28"/>
          <w:szCs w:val="28"/>
        </w:rPr>
        <w:t>на плановый период  2022 и 2023 годов»</w:t>
      </w:r>
    </w:p>
    <w:p>
      <w:pPr>
        <w:pStyle w:val="Normal"/>
        <w:tabs>
          <w:tab w:val="clear" w:pos="720"/>
          <w:tab w:val="left" w:pos="567" w:leader="none"/>
        </w:tabs>
        <w:ind w:left="284" w:firstLine="283"/>
        <w:jc w:val="both"/>
        <w:rPr/>
      </w:pPr>
      <w:r>
        <w:rPr>
          <w:sz w:val="28"/>
          <w:szCs w:val="28"/>
        </w:rPr>
        <w:t xml:space="preserve">                                                                                                                                             </w:t>
      </w:r>
    </w:p>
    <w:p>
      <w:pPr>
        <w:pStyle w:val="Normal"/>
        <w:jc w:val="right"/>
        <w:rPr>
          <w:color w:val="FF0000"/>
          <w:sz w:val="28"/>
          <w:szCs w:val="28"/>
        </w:rPr>
      </w:pPr>
      <w:r>
        <w:rPr>
          <w:color w:val="FF0000"/>
          <w:sz w:val="28"/>
          <w:szCs w:val="28"/>
        </w:rPr>
      </w:r>
    </w:p>
    <w:p>
      <w:pPr>
        <w:pStyle w:val="Normal"/>
        <w:jc w:val="center"/>
        <w:rPr>
          <w:b/>
          <w:b/>
          <w:sz w:val="28"/>
          <w:szCs w:val="28"/>
        </w:rPr>
      </w:pPr>
      <w:r>
        <w:rPr>
          <w:b/>
          <w:sz w:val="28"/>
          <w:szCs w:val="28"/>
        </w:rPr>
        <w:t>Ведомственная структура расходов районного бюджета на 2021 год                                                                                                   и на плановый период 2022 и 2023 годов</w:t>
      </w:r>
    </w:p>
    <w:p>
      <w:pPr>
        <w:pStyle w:val="Normal"/>
        <w:ind w:left="540" w:hanging="0"/>
        <w:jc w:val="right"/>
        <w:rPr/>
      </w:pPr>
      <w:r>
        <w:rPr/>
        <w:t>(тыс. рублей)</w:t>
      </w:r>
    </w:p>
    <w:tbl>
      <w:tblPr>
        <w:tblW w:w="15568" w:type="dxa"/>
        <w:jc w:val="left"/>
        <w:tblInd w:w="-147" w:type="dxa"/>
        <w:tblLayout w:type="fixed"/>
        <w:tblCellMar>
          <w:top w:w="0" w:type="dxa"/>
          <w:left w:w="108" w:type="dxa"/>
          <w:bottom w:w="0" w:type="dxa"/>
          <w:right w:w="108" w:type="dxa"/>
        </w:tblCellMar>
      </w:tblPr>
      <w:tblGrid>
        <w:gridCol w:w="6819"/>
        <w:gridCol w:w="992"/>
        <w:gridCol w:w="709"/>
        <w:gridCol w:w="709"/>
        <w:gridCol w:w="1719"/>
        <w:gridCol w:w="832"/>
        <w:gridCol w:w="1236"/>
        <w:gridCol w:w="1276"/>
        <w:gridCol w:w="1276"/>
      </w:tblGrid>
      <w:tr>
        <w:trPr>
          <w:tblHeader w:val="true"/>
          <w:trHeight w:val="23" w:hRule="atLeast"/>
        </w:trPr>
        <w:tc>
          <w:tcPr>
            <w:tcW w:w="6819"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Наименование</w:t>
            </w:r>
          </w:p>
        </w:tc>
        <w:tc>
          <w:tcPr>
            <w:tcW w:w="4961" w:type="dxa"/>
            <w:gridSpan w:val="5"/>
            <w:tcBorders>
              <w:top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Код бюджетной классификации</w:t>
            </w:r>
          </w:p>
        </w:tc>
        <w:tc>
          <w:tcPr>
            <w:tcW w:w="1236"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2021 год</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2022 год</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2023 год</w:t>
            </w:r>
          </w:p>
        </w:tc>
      </w:tr>
      <w:tr>
        <w:trPr>
          <w:tblHeader w:val="true"/>
          <w:trHeight w:val="276" w:hRule="atLeast"/>
        </w:trPr>
        <w:tc>
          <w:tcPr>
            <w:tcW w:w="681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992" w:type="dxa"/>
            <w:vMerge w:val="restart"/>
            <w:tcBorders>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Ведомство</w:t>
            </w:r>
          </w:p>
        </w:tc>
        <w:tc>
          <w:tcPr>
            <w:tcW w:w="709" w:type="dxa"/>
            <w:vMerge w:val="restart"/>
            <w:tcBorders>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Раз дел</w:t>
            </w:r>
          </w:p>
        </w:tc>
        <w:tc>
          <w:tcPr>
            <w:tcW w:w="709" w:type="dxa"/>
            <w:vMerge w:val="restart"/>
            <w:tcBorders>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Под раз дел</w:t>
            </w:r>
          </w:p>
        </w:tc>
        <w:tc>
          <w:tcPr>
            <w:tcW w:w="1719" w:type="dxa"/>
            <w:vMerge w:val="restart"/>
            <w:tcBorders>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Целевая статья расходов</w:t>
            </w:r>
          </w:p>
        </w:tc>
        <w:tc>
          <w:tcPr>
            <w:tcW w:w="832" w:type="dxa"/>
            <w:vMerge w:val="restart"/>
            <w:tcBorders>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Вид расходов</w:t>
            </w:r>
          </w:p>
        </w:tc>
        <w:tc>
          <w:tcPr>
            <w:tcW w:w="12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127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127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r>
      <w:tr>
        <w:trPr>
          <w:tblHeader w:val="true"/>
          <w:trHeight w:val="276" w:hRule="atLeast"/>
        </w:trPr>
        <w:tc>
          <w:tcPr>
            <w:tcW w:w="681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992" w:type="dxa"/>
            <w:vMerge w:val="continue"/>
            <w:tcBorders>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709" w:type="dxa"/>
            <w:vMerge w:val="continue"/>
            <w:tcBorders>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709" w:type="dxa"/>
            <w:vMerge w:val="continue"/>
            <w:tcBorders>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1719" w:type="dxa"/>
            <w:vMerge w:val="continue"/>
            <w:tcBorders>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832" w:type="dxa"/>
            <w:vMerge w:val="continue"/>
            <w:tcBorders>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12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127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127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ФИНАНСОВОЕ УПРАВЛЕНИЕ АДМИНИСТРАЦИИ ШАРАНГСКОГО МУНИЦИПАЛЬНОГО РАЙОНА НИЖЕГОРОДСКОЙ ОБЛАСТИ</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001</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87 633,0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46 895,9</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62 393,2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ОБЩЕГОСУДАРСТВЕННЫЕ ВОПРОСЫ</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01</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14 894,9</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11 603,1</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11 603,1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01</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"Управление муниципальными финансами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14.2.10.00000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межбюджетные трансферты на компенсацию дополнительных расходов, возникших в результате решений, принятых органами власти другого уровня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14.2.10.04516</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14.2.10.04516</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Обеспечение деятельности финансовых, налоговых и таможенных органов и органов финансового (финансово-бюджетного) надзора</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01</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06</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11 180,1</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10 603,1</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10 603,1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"Управление муниципальными финансами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11 180,1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10 603,1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10 603,1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"Обеспечение реализации муниципальной программы"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14.4.00.00000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11 180,1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10 603,1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10 603,1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деятельности финансового управления администрации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14.4.01.00000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11 180,1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10 603,1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10 603,1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обеспечение функций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14.4.01.20401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11 180,1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10 603,1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10 603,1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14.4.01.20401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10 085,3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9 611,1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9 611,1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14.4.01.20401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1 094,8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992,0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992,0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Резервные фонды</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01</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11</w:t>
            </w:r>
          </w:p>
        </w:tc>
        <w:tc>
          <w:tcPr>
            <w:tcW w:w="1719" w:type="dxa"/>
            <w:tcBorders>
              <w:bottom w:val="single" w:sz="4" w:space="0" w:color="000000"/>
              <w:right w:val="single" w:sz="4" w:space="0" w:color="000000"/>
            </w:tcBorders>
            <w:vAlign w:val="center"/>
          </w:tcPr>
          <w:p>
            <w:pPr>
              <w:pStyle w:val="Normal"/>
              <w:jc w:val="center"/>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2 000,0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1 000,0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1 000,0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"Управление муниципальными финансами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1 000,0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"Организация и совершенствование бюджетного процесса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14.1.00.00000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1 000,0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Резервные фонды местных администраций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14.1.40.07005</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1 000,0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14.1.40.07005</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1 000,0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Другие общегосударственные вопросы</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01</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1 654,8</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"Управление муниципальными финансами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632,4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632,4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14.2.10.00000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560,0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межбюджетные трансферты на компенсацию дополнительных расходов, возникших в результате решений, принятых органами власти другого уровня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14.2.10.04516</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pPr>
            <w:r>
              <w:rPr>
                <w:color w:val="000000"/>
                <w:sz w:val="24"/>
                <w:szCs w:val="24"/>
              </w:rPr>
              <w:t>560,0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14.2.10.04516</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560,0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Повышение финансовой самостоятельности бюджетов поселений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72,4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14.2.20.S2190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72,4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14.2.20.S2190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72,4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1 022,4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Непрограммное направление деятельности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1 022,4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Содержание аппарата 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1 022,4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обеспечение функций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88.8.01.20401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1 022,4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88.8.01.20401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1 022,4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НАЦИОНАЛЬНАЯ ОБОРОНА</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02</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891,8</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900,5</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934,3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Мобилизационная и вневойсковая подготовка</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02</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891,8</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900,5</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934,3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"Управление муниципальными финансами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891,8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900,5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934,3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891,8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900,5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934,3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Повышение финансовой самостоятельности бюджетов поселений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891,8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900,5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934,3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14.2.20.51180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891,8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900,5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934,3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14.2.20.51180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891,8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900,5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934,3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НАЦИОНАЛЬНАЯ БЕЗОПАСНОСТЬ И ПРАВООХРАНИТЕЛЬНАЯ ДЕЯТЕЛЬНОСТЬ</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03</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394,3</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Защита населения и территории от чрезвычайных ситуаций природного и техногенного характера, пожарная безопасность</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03</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394,3</w:t>
            </w:r>
          </w:p>
        </w:tc>
        <w:tc>
          <w:tcPr>
            <w:tcW w:w="1276" w:type="dxa"/>
            <w:tcBorders>
              <w:bottom w:val="single" w:sz="4" w:space="0" w:color="000000"/>
              <w:right w:val="single" w:sz="4" w:space="0" w:color="000000"/>
            </w:tcBorders>
            <w:vAlign w:val="center"/>
          </w:tcPr>
          <w:p>
            <w:pPr>
              <w:pStyle w:val="Normal"/>
              <w:jc w:val="center"/>
              <w:rPr/>
            </w:pPr>
            <w:r>
              <w:rPr>
                <w:b/>
                <w:bCs/>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"Управление муниципальными финансами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394,3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394,3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719" w:type="dxa"/>
            <w:tcBorders>
              <w:bottom w:val="single" w:sz="4" w:space="0" w:color="000000"/>
              <w:right w:val="single" w:sz="4" w:space="0" w:color="000000"/>
            </w:tcBorders>
            <w:vAlign w:val="center"/>
          </w:tcPr>
          <w:p>
            <w:pPr>
              <w:pStyle w:val="Normal"/>
              <w:jc w:val="center"/>
              <w:rPr/>
            </w:pPr>
            <w:r>
              <w:rPr>
                <w:color w:val="000000"/>
                <w:sz w:val="24"/>
                <w:szCs w:val="24"/>
              </w:rPr>
              <w:t>14.2.10.00000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межбюджетные трансферты на компенсацию дополнительных расходов, возникших в результате решений, принятых органами власти другого уровня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14.2.10.04516</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14.2.10.04516</w:t>
            </w:r>
          </w:p>
        </w:tc>
        <w:tc>
          <w:tcPr>
            <w:tcW w:w="832" w:type="dxa"/>
            <w:tcBorders>
              <w:bottom w:val="single" w:sz="4" w:space="0" w:color="000000"/>
              <w:right w:val="single" w:sz="4" w:space="0" w:color="000000"/>
            </w:tcBorders>
            <w:vAlign w:val="center"/>
          </w:tcPr>
          <w:p>
            <w:pPr>
              <w:pStyle w:val="Normal"/>
              <w:jc w:val="center"/>
              <w:rPr/>
            </w:pPr>
            <w:r>
              <w:rPr>
                <w:color w:val="000000"/>
                <w:sz w:val="24"/>
                <w:szCs w:val="24"/>
              </w:rPr>
              <w:t>500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Повышение финансовой самостоятельности бюджетов поселений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279,3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14.2.20.S2190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279,3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14.2.20.S2190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279,3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НАЦИОНАЛЬНАЯ ЭКОНОМИКА</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04</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13 486,1</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Дорожное хозяйство (дорожные фонды)</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04</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13 486,1</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«Развитие транспортной системы в Шарангском муниципальном районе Нижегородской области в 2021-2025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6 787,9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Ремонт и содержание автомобильных дорог общего пользования в Шарангском муниципальном районе</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06.2.00.00000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6 787,9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Содержание автомобильных дорог общего пользования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06.2.02.00000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1 233,2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Содержание автомобильных дорог общего пользования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06.2.02.07080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1 233,2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06.2.02.07080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1 233,2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капитальный ремонт и ремонт автомобильных дорог общего пользования местного значения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06.2.03.00000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5 554,7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капитальный ремонт и ремонт автомобильных дорог общего пользования местного значения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06.2.03.S2210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5 554,7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06.2.03.S2210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5 554,7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"Управление муниципальными финансами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6 373,2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6 373,2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Повышение финансовой самостоятельности бюджетов поселений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6 373,2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реализацию проекта инициативного бюджетирования "Вам решать!" (ремонт автомобильной дороги по ул.Колхозная в с.Большая Рудка)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14.2.20.S2602</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pPr>
            <w:r>
              <w:rPr>
                <w:color w:val="000000"/>
                <w:sz w:val="24"/>
                <w:szCs w:val="24"/>
              </w:rPr>
              <w:t>2 179,1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14.2.20.S2602</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2 179,1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реализацию проекта инициативного бюджетирования "Вам решать!" (ремонт автомобильной дороги в с.Большое Устинское, ул .Садовая, ул.Советская от д.1 до д.15)</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pPr>
            <w:r>
              <w:rPr>
                <w:color w:val="000000"/>
                <w:sz w:val="24"/>
                <w:szCs w:val="24"/>
              </w:rPr>
              <w:t>14.2.20.S2603</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974,3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14.2.20.S2603</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974,3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реализацию проекта инициативного бюджетирования "Вам решать!" (ремонт участков автомобильной дороги в д.Поздеево Шарангского муниципального района )</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14.2.20.S2608</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1 416,0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14.2.20.S2608</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1 416,0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реализацию проекта инициативного бюджетирования "Вам решать!" (ремонт участков автодороги по ул.Родниковая в р.п.Шаранга Шарангского муниципального района Нижегородской области )</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14.2.20.S260A</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1 803,8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14.2.20.S260A</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1 803,8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"Инвестиционная программа Шарангского муниципального района Нижегородской области на 2021-2023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325,0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Прочее</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22.0.03.00000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325,0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проектирование и строительство (реконструкцию) автомобильных дорог общего пользования местного значения муниципальных образований Нижегородской области, в том числе на строительство объектов скоростного внеуличного транспорта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22.0.03.S2200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325,0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22.0.03.S2200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325,0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ЖИЛИЩНО-КОММУНАЛЬНОЕ ХОЗЯЙСТВО</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05</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7 702,2</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3 121,2</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3 121,2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Жилищное хозяйство</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05</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109,0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"Управление муниципальными финансами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109,0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109,0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14.2.10.00000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109,0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межбюджетные трансферты на компенсацию дополнительных расходов, возникших в результате решений, принятых органами власти другого уровня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pPr>
            <w:r>
              <w:rPr>
                <w:color w:val="000000"/>
                <w:sz w:val="24"/>
                <w:szCs w:val="24"/>
              </w:rPr>
              <w:t>14.2.10.04516</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109,0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14.2.10.04516</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109,0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Благоустройство</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05</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7 593,2</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3 121,2</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3 121,2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"Управление муниципальными финансами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7 593,2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3 121,2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3 121,2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pPr>
            <w:r>
              <w:rPr>
                <w:color w:val="000000"/>
                <w:sz w:val="24"/>
                <w:szCs w:val="24"/>
              </w:rPr>
              <w:t>7 593,2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3 121,2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3 121,2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14.2.10.00000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3 331,1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межбюджетные трансферты на компенсацию дополнительных расходов, возникших в результате решений, принятых органами власти другого уровня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14.2.10.04516</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3 331,1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14.2.10.04516</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3 331,1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Повышение финансовой самостоятельности бюджетов поселений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4 262,1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иных межбюджетных трансфертов из фонда поддержки территорий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14.2.20.22000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97,6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14.2.20.22000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97,6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межбюджетные трансферты на предоставление грантов на награждение победителей смотра-конкурса на звание "Лучшее муниципальное образование Нижегородской области в сфере благоустройства и дорожной деятельности"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14.2.20.74800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14.2.20.74800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14.2.20.S2190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pPr>
            <w:r>
              <w:rPr>
                <w:color w:val="000000"/>
                <w:sz w:val="24"/>
                <w:szCs w:val="24"/>
              </w:rPr>
              <w:t>14.2.20.S2190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реализацию проекта инициативного бюджетирования "Вам решать!" (обустройство детской спортивной площадки на ул.Фруктовая в р.п.Шаранга Шарангского муниципального района Нижегородской области)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14.2.20.S2601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1 048,5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14.2.20.S2601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1 048,5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реализацию проекта инициативного бюджетирования "Вам решать!" (обустройство детской площадки в д.Козлянур Шарангского муниципального района )</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14.2.20.S2604</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14.2.20.S2604</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реализацию проекта инициативного бюджетирования "Вам решать!" (благоустройство сквера у памятника воинам землякам в д.Мосуново погибшим ВОВ)</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14.2.20.S2605</w:t>
            </w:r>
          </w:p>
        </w:tc>
        <w:tc>
          <w:tcPr>
            <w:tcW w:w="832" w:type="dxa"/>
            <w:tcBorders>
              <w:bottom w:val="single" w:sz="4" w:space="0" w:color="000000"/>
              <w:right w:val="single" w:sz="4" w:space="0" w:color="000000"/>
            </w:tcBorders>
            <w:vAlign w:val="center"/>
          </w:tcPr>
          <w:p>
            <w:pPr>
              <w:pStyle w:val="Normal"/>
              <w:jc w:val="center"/>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169,1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14.2.20.S2605</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169,1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реализацию проекта инициативного бюджетирования "Вам решать!" (благоустройство территории зоны отдыха в д.Черномуж Шарангского района Нижегородской области)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14.2.20.S2606</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735,6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14.2.20.S2606</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735,6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реализацию проекта инициативного бюджетирования "Вам решать!" (обустройство детской площадки в д.Поздеево Шарангского муниципального района )</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14.2.20.S2607</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361,5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14.2.20.S2607</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361,5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реализацию проекта инициативного бюджетирования "Вам решать!" (обустройство кладбища в с.Старая Рудка )</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14.2.20.S2609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824,8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14.2.20.S2609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824,8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поддержку государственных программ субъектов РФ и муниципальных программ формирования современной городской среды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14.2.F2.55550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3 121,2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3 121,2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14.2.F2.55550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3 121,2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3 121,2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ФИЗИЧЕСКАЯ КУЛЬТУРА И СПОРТ</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11</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29,9</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Массовый спорт</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11</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29,9</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"Управление муниципальными финансами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29,9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29,9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Повышение финансовой самостоятельности бюджетов поселений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29,9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14.2.20.S2190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29,9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14.2.20.S2190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29,9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МЕЖБЮДЖЕТНЫЕ ТРАНСФЕРТЫ ОБЩЕГО ХАРАКТЕРА БЮДЖЕТАМ БЮДЖЕТНОЙ СИСТЕМЫ РОССИЙСКОЙ ФЕДЕРАЦИИ</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14</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50 233,8</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31 271,1</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46 734,6</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Дотации на выравнивание бюджетной обеспеченности субъектов Российской Федерации и муниципальных образований</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14</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33 501,9</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26 899,7</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28 394,4</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"Управление муниципальными финансами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33 501,9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26 899,7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28 394,4</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33 501,9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26 899,7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28 394,4</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14.2.10.00000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33 501,9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26 899,7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28 394,4</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Выравнивание бюджетной обеспеченности поселений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14.2.10.05161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33 501,9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26 899,7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28 394,4</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14.2.10.05161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33 501,9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26 899,7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28 394,4</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Прочие межбюджетные трансферты общего характера</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14</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16 731,9</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4 371,4</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18 340,2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"Управление муниципальными финансами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16 731,9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4 371,4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18 340,2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16 731,9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4 371,4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18 340,2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14.2.10.00000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16 731,9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4 371,4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18 340,2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межбюджетные трансферты на поддержку мер по обеспечению сбалансированности бюджетов поселений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14.2.10.05213</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16 731,9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4 371,4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18 340,2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14.2.10.05213</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16 731,9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4 371,4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18 340,2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ОТДЕЛ КУЛЬТУРЫ АДМИНИСТРАЦИИ ШАРАНГСКОГО МУНИЦИПАЛЬНОГО РАЙОНА НИЖЕГОРОДСКОЙ ОБЛАСТИ</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057</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79 064,6</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77 040,6</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77 040,6</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ОБРАЗОВАНИЕ</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07</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10 217,0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10 181,5</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10 181,5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Дополнительное образование детей</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07</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10 217,0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10 181,5</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10 181,5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"Противодействие терроризму и профилактика экстремизма в Шарангском муниципальном районе на 2021-2023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Усиление антитеррористической защищенности объектов образования, социальной сферы и мест массового пребывания людей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12.0.02.00000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Обслуживание установленных в учреждениях образования Шарангского муниципального района кнопок тревожной сигнализации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12.0.02.07010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12.0.02.07010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"Развитие культуры Шарангского муниципального района на 2021-2025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10 061,0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10 163,9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10 163,9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"Повышение качества и доступности услуг в сфере дополнительного образования"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13.5.00.00000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10 061,0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10 163,9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10 163,9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Реализация планов мероприятий по противопожарной безопасности муниципальных образовательных учреждений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13.5.01.00000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Выполнение мероприятий по противопожарной безопасности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13.5.01.08030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13.5.01.08030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услуг по предоставлению дополнительного образования детям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13.5.02.00000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10 021,0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10 123,9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10 123,9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услуги по предоставлению дополнительного образования детям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13.5.02.08000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9 958,3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10 123,9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10 123,9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13.5.02.08000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9 958,3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10 123,9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10 123,9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13.5.02.S2190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62,7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13.5.02.S2190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62,7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"Экология Шарангского муниципального района на 2021 - 2025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Охрана окружающей среды от загрязнения отходами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Услуги по расчету платы за негативное воздействие на окружающую среду</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17.3.09.00000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Мероприятия в области охраны окружающей среды (кроме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17.3.09.07070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17.3.09.07070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138,4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Непрограммное направление деятельности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138,4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межбюджетных трансфертов вышестоящих бюджетов</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88.8.05.00000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138,4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иных межбюджетных трансфертов из фонда поддержки территорий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88.8.05.22000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138,4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88.8.05.22000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138,4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КУЛЬТУРА, КИНЕМАТОГРАФИЯ</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08</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66 132,6</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64 144,1</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64 144,1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Культура</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08</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52 572,2</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51 202,9</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51 202,9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"Развитие культуры Шарангского муниципального района на 2021-2025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52 043,4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51 192,7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51 192,7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"Развитие библиотечно-информационного обслуживания населения"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13.1.00.00000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15 163,2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15 411,2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15 411,2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Увеличение объемов комплектования библиотечных фондов</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13.1.01.00000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443,4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Увеличение объемов комплектования библиотечных фондов</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13.1.01.08010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13.1.01.08010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субсидии на поддержку отрасли культуры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13.1.01.L519F</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43,4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13.1.01.L519F</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43,4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Реализация планов мероприятий по противопожарной безопасности муниципальных учреждений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13.1.02.00000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Выполнение мероприятий по противопожарной безопасности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13.1.02.08030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13.1.02.08030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деятельности организации библиотечного обслуживания населения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13.1.03.00000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14 706,7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14 998,1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14 998,1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деятельности организации библиотечного обслуживания населения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13.1.03.08000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14 706,7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14 998,1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14 998,1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13.1.03.08000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14 706,7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14 998,1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14 998,1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"Организация культурно-массовых мероприятий"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13.2.00.00000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15 286,2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14 324,8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14 324,8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Реализация планов мероприятий по противопожарной безопасности муниципальных учреждений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13.2.01.00000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Выполнение мероприятий по противопожарной безопасности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13.2.01.08030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13.2.01.08030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деятельности по организации и проведению культурно-массовых мероприятий РДК</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13.2.02.00000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15 274,2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14 312,8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14 312,8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деятельности по организации и проведению культурно-массовых мероприятий РДК</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13.2.02.08000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15 274,2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14 312,8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1 872,1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13.2.02.08000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15 274,2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14 312,8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1 872,1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13.2.02.S2090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12 440,7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13.2.02.S2090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12 440,7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"Организация культурно-массовых мероприятий в сельских учреждениях культуры"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13.3.00.00000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19 549,7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19 422,4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19 422,4</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Реализация планов мероприятий по противопожарной безопасности муниципальных учреждений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13.3.01.00000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89,3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89,3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89,3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Выполнение мероприятий по противопожарной безопасности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13.3.01.08030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89,3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89,3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89,3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13.3.01.08030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89,3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89,3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89,3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деятельности по организации и проведению культурно-массовых мероприятий ШЦКС</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13.3.02.00000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18 822,2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18 776,5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18 776,5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деятельности по организации и проведению культурно-массовых мероприятий ШЦКС</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13.3.02.08000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18 412,4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18 776,5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7 836,8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13.3.02.08000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18 412,4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18 776,5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7 836,8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13.3.02.S2090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10 939,7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13.3.02.S2090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10 939,7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13.3.02.S2190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409,8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13.3.02.S2190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409,8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Укрепление материально- технической базы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13.3.03.00000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638,2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556,6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556,6</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развития и укрепления материально-технической базы домов культуры в населенных пунктах с числом жителей до 50 тысяч человек</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13.3.03.L4670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638,2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556,6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556,6</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13.3.03.L4670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638,2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556,6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556,6</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"Развитие сферы музейной деятельности"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13.4.00.00000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2 044,3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2 034,3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2 034,3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Реализация планов мероприятий по противопожарной безопасности муниципальных учреждений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13.4.01.00000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Выполнение мероприятий по противопожарной безопасности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13.4.01.08030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13.4.01.08030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оказания услуг по созданию и поддержке муниципальных музеев, в т.ч. по обеспечению пополнения и сохранности музейных фондов</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13.4.02.00000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2 038,3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2 028,3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2 028,3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оказания услуг по созданию и поддержке муниципальных музеев, в т.ч. по обеспечению пополнения и сохранности музейных фондов</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13.4.02.08000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2 038,3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2 028,3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2 028,3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13.4.02.08000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2 038,3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2 028,3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2 028,3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"Экология Шарангского муниципального района на 2021 - 2025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Охрана окружающей среды от загрязнения отходами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Услуги по расчету платы за негативное воздействие на окружающую среду</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17.3.09.00000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Мероприятия в области охраны окружающей среды (кроме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17.3.09.07070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17.3.09.07070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518,6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Непрограммное направление деятельности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518,6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межбюджетных трансфертов вышестоящих бюджетов</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88.8.05.00000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518,6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иных межбюджетных трансфертов из фонда поддержки территорий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88.8.05.22000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518,6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88.8.05.22000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518,6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Другие вопросы в области культуры, кинематографии</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08</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13 560,4</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12 941,2</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12 941,2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"Развитие культуры Шарангского муниципального района на 2021-2025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13 555,6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12 936,4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12 936,4</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"Обеспечение реализации муниципальной программы"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13.6.00.00000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13 555,6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12 936,4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12 936,4</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Административно- правовое сопровождение реализации программы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13.6.01.00000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1 282,0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1 237,0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1 237,0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обеспечение функций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13.6.01.20401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1 282,0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1 237,0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1 237,0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13.6.01.20401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1 190,1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1 190,1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1 190,1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13.6.01.20401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91,9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Бухгалтерское и хозяйственное обслуживание</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13.6.02.00000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12 273,6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11 699,4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11 699,4</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Бухгалтерское и хозяйственное обслуживание</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13.6.02.45299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11 783,0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11 699,4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11 699,4</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13.6.02.45299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11 519,6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11 332,3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11 332,3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13.6.02.45299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263,4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367,1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367,1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13.6.02.S2190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490,7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13.6.02.S2190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490,7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"Экология Шарангского муниципального района на 2021 - 2025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Охрана окружающей среды от загрязнения отходами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Услуги по расчету платы за негативное воздействие на окружающую среду</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17.3.09.00000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Мероприятия в области охраны окружающей среды (кроме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17.3.09.07070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17.3.09.07070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СРЕДСТВА МАССОВОЙ ИНФОРМАЦИИ</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12</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2 715,0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2 715,0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2 715,0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Телевидение и радиовещание</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12</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2 715,0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2 715,0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2 715,0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2 715,0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2 715,0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2 715,0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Непрограммное направление деятельности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2 715,0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2 715,0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2 715,0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Прочие 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2 715,0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2 715,0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2 715,0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Субсидия СМИ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88.8.06.S2050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2 715,0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2 715,0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2 715,0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88.8.06.S2050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2 715,0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2 715,0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2 715,0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УПРАВЛЕНИЕ ОБРАЗОВАНИЯ И МОЛОДЕЖНОЙ ПОЛИТИКИ АДМИНИСТРАЦИИ ШАРАНГСКОГО МУНИЦИПАЛЬНОГО РАЙОНА НИЖЕГОРОДСКОЙ ОБЛАСТИ</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074</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299 856,4</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285 835,0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289 014,5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НАЦИОНАЛЬНАЯ ЭКОНОМИКА</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04</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Транспорт</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04</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08</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«Развитие пассажирского транспорта на территории Шарангского муниципального района Нижегородской области на 2020 - 2024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Создание эффективной системообразующей транспортной инфраструктуры для удовлетворения потребностей населения на территории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09.0.01.00000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Поддержка и развитие пассажирского транспорта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09.0.01.04080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09.0.01.04080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ОБРАЗОВАНИЕ</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07</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297 832,2</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283 710,8</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286 890,3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Дошкольное образование</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07</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104 656,0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97 362,1</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97 941,7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"Противодействие терроризму и профилактика экстремизма в Шарангском муниципальном районе на 2021-2023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268,7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Усиление антитеррористической защищенности объектов образования, социальной сферы и мест массового пребывания людей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12.0.02.00000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268,7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Обслуживание установленных в учреждениях образования Шарангского муниципального района кнопок тревожной сигнализации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12.0.02.07010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268,7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12.0.02.07010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268,7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"Развитие образования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104 352,8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97 162,4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97 742,0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"Развитие общего образования"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93 591,7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92 465,9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92 466,0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деятельности общеобразовательных учреждений, подведомственных управлению образования, на основе муниципальных заданий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16.1.07.00000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93 579,4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92 465,9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92 466,0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обеспечение деятельности бюджетных учреждений, финансируемых из районного бюджета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16.1.07.42099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39 764,7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39 676,8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39 676,9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16.1.07.42099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39 764,7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39 676,8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39 676,9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обеспечение деятельности бюджетных учреждений, финансируемых из районного бюджета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16.1.07.42199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1 491,1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1 481,6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1 481,6</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16.1.07.42199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1 491,1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1 481,6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1 481,6</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субвенции на исполнение полномочий в сфере общего образования в муниципальных общеобразовательных организациях</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16.1.07.73070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922,0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922,0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922,0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16.1.07.73070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922,0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922,0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922,0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субвенции на исполнение полномочий в сфере общего образования в муниципальных дошкольных образовательных организациях</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16.1.07.73080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50 385,5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50 385,5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50 385,5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16.1.07.73080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50 385,5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50 385,5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50 385,5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16.1.07.S2190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1 016,0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16.1.07.S2190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1 016,0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Предупреждение распространения, профилактики, диагностика и лечение от новой коронавирусной инфекции (COVID-19)</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16.1.С1.00000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Предупреждение распространения, профилактики, диагностика и лечение от новой коронавирусной инфекции (COVID-19) на обеспечение деятельности бюджетных учреждений, финансируемых из районного бюджета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16.1.С1.42099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16.1.С1.42099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"Ресурсное обеспечение сферы образования в Шарангском муниципальном районе"</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10 297,0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4 232,4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4 811,9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Укрепление материально-технической базы, ремонт ОУ</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16.5.04.00000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9 743,8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3 679,2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4 258,7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оборудованием и инвентарем в целях ввода в эксплуатацию новых объектов</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16.5.04.42000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6 162,4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16.5.04.42000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6 162,4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Укрепление материально- технической базы, ремонт МБДОУ</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16.5.04.42099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986,7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16.5.04.42099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986,7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Укрепление материально-технической базы, ремонт МБОУ</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16.5.04.42199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453,7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16.5.04.42199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453,7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капитальный ремонт образовательных организаций, реализующих общеобразовательные программы Нижегородской области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16.5.04.S2180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2 141,1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3 679,2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4 258,7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16.5.04.S2180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2 141,1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3 679,2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4 258,7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Реализация планов мероприятий противопожарной безопасности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16.5.05.00000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553,2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553,2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553,2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обеспечение деятельности бюджетных учреждений, финансируемых из районного бюджета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16.5.05.42099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553,2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553,2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553,2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16.5.05.42099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553,2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553,2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553,2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«Социально-правовая защита детей в Шарангском муниципальном районе»</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16.6.00.00000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464,1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464,1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464,1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Совершенствование системы социально-правовой защиты детей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16.6.01.00000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464,1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464,1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464,1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субвенции на исполнение полномочий по финансовому обеспечению осуществления присмотра и ухода за детьми-инвалидами, детьми-сиротами и детьми, оставшимися без попечения родителей, а так же за детьми с туберкулезной интоксикацией , обучающимися в муниципальных образовательных организациях, реализующих образовательные программы дошкольного образования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16.6.01.73170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464,1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464,1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464,1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16.6.01.73170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464,1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464,1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464,1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"Экология Шарангского муниципального района на 2021 - 2025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34,5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34,5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34,5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Охрана окружающей среды от загрязнения отходами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34,5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34,5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34,5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Услуги по расчету платы за негативное воздействие на окружающую среду</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17.3.09.00000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34,5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34,5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34,5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Мероприятия в области охраны окружающей среды (кроме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17.3.09.07070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34,5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34,5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34,5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17.3.09.07070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34,5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34,5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34,5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Общее образование</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07</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149 082,1</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143 971,0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146 570,9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"Профилактика преступлений и иных правонарушений в Шарангском муниципальном районе на 2021-2025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Улучшение межведомственного взаимодействия правоохранительных органов, органов местного самоуправления и общественности в борьбе с преступностью</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01.0.03.00000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Мероприятия по проблемам профилактики преступлений, злоупотреблений наркотическими веществами, организация конкурсов и викторин на правовые темы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01.0.03.05020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01.0.03.05020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«Развитие транспортной системы в Шарангском муниципальном районе Нижегородской области в 2021-2025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Формирование у детей навыков безопасного поведения на дорогах</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06.1.02.00000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Организация и проведение районных детских конкурсных программ по профилактике детского дорожно-транспортного травматизма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06.1.02.07080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06.1.02.07080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"Противодействие терроризму и профилактика экстремизма в Шарангском муниципальном районе на 2021-2023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99,2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99,2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Усиление антитеррористической защищенности объектов образования, социальной сферы и мест массового пребывания людей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12.0.02.00000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99,2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99,2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Обслуживание установленных в учреждениях образования Шарангского муниципального района кнопок тревожной сигнализации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12.0.02.07010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99,2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99,2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12.0.02.07010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99,2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99,2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"Развитие образования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148 876,7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143 827,3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146 427,2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"Развитие общего образования"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135 799,0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133 570,4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133 574,6</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Создание механизмов мотивации педагогов к повышению качества работы и непрерывному профессиональному развитию</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16.1.06.00000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7 847,1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7 847,1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7 847,1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МОО Нижегородской области,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16.1.06.53030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7 847,1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7 847,1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7 847,1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16.1.06.53030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7 847,1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7 847,1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7 847,1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деятельности общеобразовательных учреждений, подведомственных управлению образования, на основе муниципальных заданий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16.1.07.00000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125 866,8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125 171,8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125 176,0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обеспечение деятельности бюджетных учреждений, финансируемых из районного бюджета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16.1.07.42199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27 600,3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27 353,8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27 358,0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16.1.07.42199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27 600,3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27 353,8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27 358,0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субвенции на исполнение полномочий в сфере общего образования в муниципальных общеобразовательных организациях</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16.1.07.73070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95 832,9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95 832,9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95 832,9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16.1.07.73070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95 832,9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95 832,9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95 832,9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16.1.07.S2190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235,1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16.1.07.S2190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235,1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субсидии на дополнительное финансовое обеспечение мероприятий по организации бесплатного горячего питания обучающихся, получающих начальное общее образование в муниципальных образовательных организациях Нижегородской области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16.1.07.S2490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2 198,5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1 985,1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1 985,1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16.1.07.S2490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2 198,5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1 985,1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1 985,1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деятельности общеобразовательных учреждений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16.1.08.00000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551,5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551,5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551,5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обеспечение деятельности бюджетных учреждений, финансируемых из районного бюджета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16.1.08.42199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51,0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51,0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51,0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16.1.08.42199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51,0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51,0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51,0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субвенции на исполнение полномочий в сфере общего образования в муниципальных общеобразовательных организациях</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16.1.08.73070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16.1.08.73070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субвенции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16.1.08.73140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16.1.08.73140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иных межбюджетных трансфертов на финансовое обеспечение деятельности центров образования цифрового и гуманитарного профилей "Точка роста"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16.1.E1.74590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1 532,6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16.1.E1.74590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1 532,6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Предупреждение распространения, профилактики, диагностика и лечение от новой коронавирусной инфекции (COVID-19)</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16.1.С1.00000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Предупреждение распространения, профилактики, диагностика и лечение от новой коронавирусной инфекции (COVID-19) на обеспечение деятельности бюджетных учреждений, финансируемых из районного бюджета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16.1.С1.42199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16.1.С1.42199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«Патриотическое воспитание детей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16.4.00.00000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75,1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76,0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Проведение комплекса мероприятий по патриотическому воспитанию у детей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16.4.08.00000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75,1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76,0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обеспечение деятельности бюджетных учреждений, финансируемых из районного бюджета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16.4.08.42199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75,1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76,0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16.4.08.42199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75,1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76,0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"Ресурсное обеспечение сферы образования в Шарангском муниципальном районе"</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5 808,9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2 716,1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5 382,5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Муниципальные педагогические конференции, торжественные мероприятия с педагогами, праздничные приемы, юбилейные мероприятия подведомственных ОУ</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16.5.03.00000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342,0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342,0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342,0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обеспечение деятельности бюджетных учреждений, финансируемых из районного бюджета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16.5.03.42199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342,0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342,0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342,0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16.5.03.42199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342,0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342,0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342,0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Укрепление материально-технической базы, ремонт ОУ</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16.5.04.00000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5 089,5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1 996,7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4 663,1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Укрепление материально-технической базы, ремонт МБОУ</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16.5.04.42199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3 358,0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16.5.04.42199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3 358,0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приобретение школьных автобусов в лизинг</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16.5.04.42620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284,6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284,6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284,6</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16.5.04.42620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284,6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284,6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284,6</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капитальный ремонт образовательных организаций, реализующих общеобразовательные программы Нижегородской области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16.5.04.S2180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1 446,9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1 712,1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4 378,5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16.5.04.S2180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1 446,9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1 712,1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4 378,5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Реализация планов мероприятий противопожарной безопасности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16.5.05.00000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377,4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377,4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377,4</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обеспечение деятельности бюджетных учреждений, финансируемых из районного бюджета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16.5.05.42199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377,4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377,4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377,4</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16.5.05.42199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377,4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377,4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377,4</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«Социально-правовая защита детей в Шарангском муниципальном районе»</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16.6.00.00000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7 123,7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7 394,8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7 324,1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Совершенствование системы социально-правовой защиты детей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16.6.01.00000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7 123,7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7 394,8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7 324,1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обеспечение деятельности бюджетных учреждений, финансируемых из районного бюджета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16.6.01.42199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16.6.01.42199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 не проживающих в муниципальных организациях, осуществляющих образовательную деятельность по адаптированным основным общеобразовательным программам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16.6.01.73180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1 039,2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1 039,2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1 039,2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16.6.01.73180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1 039,2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1 039,2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1 039,2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субсидии на организацию бесплатного горячего питания обучающихся, получающих начальное общее образование в муниципальных образовательных организациях</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16.6.01.L3040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6 074,5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6 345,6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6 274,9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16.6.01.L3040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6 074,5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6 345,6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6 274,9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«Молодежь»</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16.7.00.00000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Комплекс мероприятий, направленных на становление духовно-нравственного и патриотического воспитания молодежи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16.7.02.00000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обеспечение деятельности бюджетных учреждений, финансируемых из районного бюджета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16.7.02.42199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16.7.02.42199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"Экология Шарангского муниципального района на 2021 - 2025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24,5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24,5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24,5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Охрана окружающей среды от загрязнения отходами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24,5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24,5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24,5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Услуги по расчету платы за негативное воздействие на окружающую среду</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17.3.09.00000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24,5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24,5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24,5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Мероприятия в области охраны окружающей среды (кроме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17.3.09.07070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24,5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24,5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24,5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17.3.09.07070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24,5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24,5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24,5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Дополнительное образование детей</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07</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12 495,9</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12 027,7</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12 027,7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"Противодействие терроризму и профилактика экстремизма в Шарангском муниципальном районе на 2021-2023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Усиление антитеррористической защищенности объектов образования, социальной сферы и мест массового пребывания людей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12.0.02.00000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Обслуживание установленных в учреждениях образования Шарангского муниципального района кнопок тревожной сигнализации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12.0.02.07010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12.0.02.07010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"Развитие образования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12 483,7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12 018,3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12 018,3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"Развитие дополнительного образования и воспитания детей"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16.2.00.00000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12 450,7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11 985,3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11 985,3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обеспечение деятельности учреждений по внешкольной работе с детьми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16.2.02.00000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8 976,5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10 198,5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10 198,5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обеспечение деятельности бюджетных учреждений, финансируемых из районного бюджета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16.2.02.42399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8 903,3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10 198,5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10 198,5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16.2.02.42399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8 903,3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10 198,5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10 198,5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16.2.02.S2190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73,2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16.2.02.S2190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73,2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Функционирование модели персонифицированного финансирования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16.2.13.00000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3 474,2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1 786,8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1 786,8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функционирования модели персонифицированного финансирования дополнительного образования детей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16.2.13.42399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3 474,2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1 786,8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1 786,8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16.2.13.42399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3 361,8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1 751,8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1 751,8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16.2.13.42399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112,4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"Ресурсное обеспечение сферы образования в Шарангском муниципальном районе"</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33,0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Реализация планов мероприятий противопожарной безопасности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16.5.05.00000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33,0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обеспечение деятельности бюджетных учреждений, финансируемых из районного бюджета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16.5.05.42399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33,0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16.5.05.42399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33,0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"Экология Шарангского муниципального района на 2021 - 2025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Охрана окружающей среды от загрязнения отходами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Услуги по расчету платы за негативное воздействие на окружающую среду</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17.3.09.00000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Мероприятия в области охраны окружающей среды (кроме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17.3.09.07070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17.3.09.07070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Молодежная политика</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07</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07</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1 762,1</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2 034,1</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2 034,1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"Развитие образования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1 762,1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2 034,1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2 034,1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"Развитие дополнительного образования и воспитания детей"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16.2.00.00000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1 762,1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2 034,1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2 034,1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Оздоровление детей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16.2.09.00000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1 762,1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2 034,1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2 034,1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Организация отдыха и оздоровления детей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16.2.09.43101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1 476,0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1 748,0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1 748,0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Социальное обеспечение и иные выплаты населению</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16.2.09.43101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222,9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464,4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464,4</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16.2.09.43101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1 253,1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1 283,6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1 283,6</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субвенции на осуществление выплат на возмещение части расходов по приобретению путевок в детские санатории, санаторно-оздоровительные центры (лагеря) круглогодичного действия и иные организации, осуществляющие санаторно-курортное лечение детей в соответствии с имеющейся лицензией, иные организации, осуществляющие санаторно-курортную помощь детям в соответствии с имеющейся лицензией, расположенные на территории Российской Федерации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16.2.09.73320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286,1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286,1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286,1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16.2.09.73320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13,6</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Социальное обеспечение и иные выплаты населению</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16.2.09.73320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272,5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272,5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272,5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Другие вопросы в области образования</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07</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29 836,1</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28 315,9</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28 315,9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"Развитие образования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29 836,1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28 315,9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28 315,9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«Социально-правовая защита детей в Шарангском муниципальном районе»</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16.6.00.00000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465,4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465,4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465,4</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Совершенствование системы социально-правовой защиты детей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16.6.01.00000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465,4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465,4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465,4</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16.6.01.73020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465,4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465,4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465,4</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16.6.01.73020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437,4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437,4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437,4</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16.6.01.73020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 Обеспечение реализации муниципальной программы»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16.8.00.00000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29 370,7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27 850,5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27 850,5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Содержание аппарата 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16.8.01.00000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3 515,1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3 515,1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3 515,1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обеспечение функций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16.8.01.20401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3 515,1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3 515,1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3 515,1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16.8.01.20401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3 478,7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3 478,7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3 478,7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16.8.01.20401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36,4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36,4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36,4</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Формирование культуры оценки качества образования на уровне региона, органов местного самоуправления и отдельных организаций через повышение квалификационного уровня кадров системы образования, организацию мониторинга качества образования, проведение анализа и использование результатов оценочных процедур</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16.8.02.00000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602,6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602,6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602,6</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16.8.02.73010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602,6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602,6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602,6</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16.8.02.73010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394,9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394,9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394,9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16.8.02.73010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207,7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207,7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207,7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Содержание учебно-методических кабинетов, централизованных бухгалтерий, групп хозяйственного обслуживания государственных учреждений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16.8.04.00000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25 253,0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23 732,8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23 732,8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Учебно-методические кабинеты, централизованные бухгалтерии и группы хозяйственного обслуживания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16.8.04.45299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24 607,8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23 732,8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23 732,8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16.8.04.45299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21 844,9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21 296,4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21 296,4</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16.8.04.45299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2 757,0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2 436,4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2 436,4</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16.8.04.45299</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16.8.04.S2190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645,2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16.8.04.S2190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645,2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СОЦИАЛЬНАЯ ПОЛИТИКА</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2 024,2</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2 024,2</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2 024,2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Охрана семьи и детства</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2 024,2</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2 024,2</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2 024,2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"Развитие образования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2 024,2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2 024,2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2 024,2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«Социально-правовая защита детей в Шарангском муниципальном районе»</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16.6.00.00000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2 024,2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2 024,2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2 024,2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Совершенствование системы социально-правовой защиты детей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16.6.01.00000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2 024,2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2 024,2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2 024,2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субвенции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16.6.01.73110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2 024,2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2 024,2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2 024,2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16.6.01.73110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29,9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29,9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29,9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Социальное обеспечение и иные выплаты населению</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16.6.01.73110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1 994,3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1 994,3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1 994,3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УПРАВЛЕНИЕ СЕЛЬСКОГО ХОЗЯЙСТВА АДМИНИСТРАЦИИ ШАРАНГСКОГО МУНИЦИПАЛЬНОГО РАЙОНА НИЖЕГОРОДСКОЙ ОБЛАСТИ</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082</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57 478,4</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35 086,3</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35 143,8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НАЦИОНАЛЬНАЯ ЭКОНОМИКА</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04</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57 478,4</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35 086,3</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35 143,8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Сельское хозяйство и рыболовство</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04</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57 478,4</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35 086,3</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35 143,8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"Развитие агропромышленного комплекса Шарангского муниципального района Нижегородской области"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57 478,4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35 086,3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35 143,8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"Развитие сельского хозяйства, пищевой и перерабатывающей промышленности Шарангского муниципального района Нижегородской области" до 2025 года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11.1.00.00000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53 076,7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30 754,6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30 812,1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Развитие производства продукции растениеводства (субсидирование части затрат)</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11.1.01.00000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8 500,8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11 276,9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11 334,4</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Возмещение производителям зерновых культур части затрат на производство и реализацию зерновых культур</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11.1.01.R3680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237,8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11.1.01.R3680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237,8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11.1.01.R5020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4 285,7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8 323,6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8 381,1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11.1.01.R5020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4 285,7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8 323,6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8 381,1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Поддержка сельскохозяйственного производства по отдельным подотраслям растениеводства и животноводства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11.1.01.R5080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3 977,3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2 953,3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2 953,3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11.1.01.R5080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3 977,3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2 953,3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2 953,3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Развитие производства продукции животноводства (субсидирование части затрат)</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11.1.02.00000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17 964,7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13 360,5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13 360,5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11.1.02.R5020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2 914,6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3 265,3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3 265,3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11.1.02.R5020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2 914,6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3 265,3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3 265,3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Поддержка сельскохозяйственного производства по отдельным подотраслям растениеводства и животноводства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11.1.02.R5080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15 050,1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10 095,2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10 095,2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11.1.02.R5080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15 050,1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10 095,2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10 095,2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Возмещение части затрат организаций АПК на уплату процентов за пользование кредитными ресурсами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11.1.03.00000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субвенции на возмещение части затрат на уплату процентов по кредитам, полученным в российских кредитных организациях, и займам, полученным в сельскохозяйственных кредитных потребительских кооперативах</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11.1.03.R5020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11.1.03.R5020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Обновление парка сельскохозяйственной техники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11.1.09.00000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26 193,3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5 643,2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5 643,2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субвенции на возмещение части затрат на приобретение оборудования и техники за счет средств областного бюджета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11.1.09.73220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26 193,3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5 643,2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5 643,2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11.1.09.73220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26 193,3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5 643,2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5 643,2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Финансовая поддержка сельхозпредприятий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11.1.11.00000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417,0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474,0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474,0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Финансовая поддержка сельхозпредприятий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11.1.11.04050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417,0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474,0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474,0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11.1.11.04050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11.1.11.04050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384,0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444,0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444,0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"Обеспечение реализации муниципальной программы"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11.4.00.00000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4 401,7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4 331,7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4 331,7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выполнения целей, задач и показателей муниципальной программы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11.4.01.00000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4 401,7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4 331,7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4 331,7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обеспечение функций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11.4.01.20401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11.4.01.20401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субвенции на осуществление полномочий по поддержке сельскохозяйственного производства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11.4.01.73030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4 331,7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4 331,7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4 331,7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11.4.01.73030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3 852,6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3 894,6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3 894,6</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11.4.01.73030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478,6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436,6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436,6</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11.4.01.73030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ЗЕМСКОЕ СОБРАНИЕ ШАРАНГСКОГО МУНИЦИПАЛЬНОГО РАЙОНА НИЖЕГОРОДСКОЙ ОБЛАСТИ</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330</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698,3</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698,4</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698,3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ОБЩЕГОСУДАРСТВЕННЫЕ ВОПРОСЫ</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01</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698,3</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698,4</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698,3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01</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620,3</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620,4</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620,3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"Экология Шарангского муниципального района на 2021 - 2025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Охрана окружающей среды от загрязнения отходами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Услуги по расчету платы за негативное воздействие на окружающую среду</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17.3.09.00000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Мероприятия в области охраны окружающей среды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17.3.09.20401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17.3.09.20401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617,3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617,4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617,3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Непрограммное направление деятельности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617,3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617,4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617,3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Содержание аппарата 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617,3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617,4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617,3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обеспечение функций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88.8.01.20401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617,3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617,4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617,3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88.8.01.20401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398,3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398,4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398,3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88.8.01.20401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219,0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219,0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219,0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Другие общегосударственные вопросы</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01</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78,0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78,0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78,0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78,0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78,0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78,0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Непрограммное направление деятельности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78,0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78,0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78,0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Содержание аппарата 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78,0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78,0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78,0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Прочие выплаты по обязательствам муниципального образования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88.8.01.92035</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78,0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78,0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78,0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88.8.01.92035</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Социальное обеспечение и иные выплаты населению</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88.8.01.92035</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88.8.01.92035</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АДМИНИСТРАЦИЯ ШАРАНГСКОГО МУНИЦИПАЛЬНОГО РАЙОНА НИЖЕГОРОДСКОЙ ОБЛАСТИ</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487</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193 305,3</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95 618,4</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132 558,9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ОБЩЕГОСУДАРСТВЕННЫЕ ВОПРОСЫ</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01</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31 952,3</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29 371,9</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30 293,5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Функционирование высшего должностного лица субъекта Российской Федерации и муниципального образования</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01</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1 918,9</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1 918,9</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1 918,9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1 918,9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1 918,9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1 918,9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Непрограммное направление деятельности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1 918,9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1 918,9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1 918,9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Содержание аппарата 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1 918,9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1 918,9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1 918,9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Глава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88.8.01.20300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1 918,9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1 918,9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1 918,9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88.8.01.20300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1 918,9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1 918,9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1 918,9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01</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24 743,3</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23 388,7</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24 359,7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«Противодействие коррупции в Шарангском муниципальном районе на 2021-2025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Организация на территории Шарангского муниципального района антикоррупционного просвещения, обучения и воспитания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05.0.03.00000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Организация обучения по программам повышения квалификации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05.0.03.20401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05.0.03.20401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05.0.03.20401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"Экология Шарангского муниципального района на 2021 - 2025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Охрана окружающей среды от загрязнения отходами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Услуги по расчету платы за негативное воздействие на окружающую среду</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17.3.09.00000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Мероприятия в области охраны окружающей среды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17.3.09.20401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17.3.09.20401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24 727,8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23 373,2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24 344,2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Непрограммное направление деятельности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24 727,8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23 373,2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24 344,2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Содержание аппарата 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24 727,8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23 373,2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24 344,2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обеспечение функций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88.8.01.20401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23 863,9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22 509,3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23 480,3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88.8.01.20401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18 057,1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18 057,1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18 057,1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88.8.01.20401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5 786,8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4 452,2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5 423,2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88.8.01.20401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88.8.01.73040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469,7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469,7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469,7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88.8.01.73040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440,7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440,7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440,7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88.8.01.73040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29,0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29,0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29,0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88.8.01.73060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394,2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394,2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394,2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88.8.01.73060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363,5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363,5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363,5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88.8.01.73060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Судебная система</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01</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12,6</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54,5</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54,5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Непрограммное направление деятельности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54,5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межбюджетных трансфертов вышестоящих бюджетов</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88.8.05.00000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54,5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субвенции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Российской Федерации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88.8.05.51200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54,5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88.8.05.51200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54,5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Другие общегосударственные вопросы</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01</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5 277,5</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4 009,8</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4 009,8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"Управление муниципальным имуществом Шарангского муниципального района Нижегородской области на 2021-2025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21.0.00.00000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Совершенствование учета и разграничения муниципального имущества, его структуризация, классификация и содержание объектов недвижимости в 2021-2025 годах</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21.1.00.00000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Совершенствование управления имуществом Шарангского муниципального района Нижегородской области на основе современных принципов и методов управления собственностью, а также качественное развитие процесса разграничения собственности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21.1.01.00000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Оценка недвижимости, признание прав и регулирование отношений по муниципальной собственности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21.1.01.90020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21.1.01.90020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5 227,5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3 959,8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3 959,8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Непрограммное направление деятельности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5 227,5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3 959,8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3 959,8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Содержание аппарата 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5 227,5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3 959,8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3 959,8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Прочие выплаты по обязательствам муниципального образования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88.8.01.92035</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882,1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881,1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881,1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88.8.01.92035</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882,1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881,1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881,1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Учреждения по обеспечению хозяйственного обслуживания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88.8.01.93990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4 228,4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3 078,7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3 078,7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88.8.01.93990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2 921,1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2 922,3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2 922,3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88.8.01.93990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1 307,3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156,4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156,4</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88.8.01.S2190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117,0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88.8.01.S2190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117,0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НАЦИОНАЛЬНАЯ БЕЗОПАСНОСТЬ И ПРАВООХРАНИТЕЛЬНАЯ ДЕЯТЕЛЬНОСТЬ</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03</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3 661,1</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3 547,3</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3 547,3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Защита населения и территории от чрезвычайных ситуаций природного и техногенного характера, пожарная безопасность</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03</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3 661,1</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3 547,3</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3 547,3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"Защита населения и территорий от чрезвычайных ситуаций, обеспечение пожарной безопасности и безопасности людей на водных объектах Шарангского муниципального района на 2021 – 2025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3 661,1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3 547,3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3 547,3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Защита населения от чрезвычайных ситуаций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08.1.00.00000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3 661,1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3 547,3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3 547,3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необходимых условий для безопасной жизнедеятельности и устойчивого социально-экономического развития Шарангского муниципального района Нижегородской области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08.1.02.00000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3 661,1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3 547,3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3 547,3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деятельности ЕДДС</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08.1.02.02990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3 346,1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3 347,3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3 347,3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08.1.02.02990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2 601,3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2 602,5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2 602,5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08.1.02.02990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744,8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744,8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744,8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08.1.02.21801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08.1.02.21801</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08.1.02.S2190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08.1.02.S2190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НАЦИОНАЛЬНАЯ ЭКОНОМИКА</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04</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14 121,6</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1 777,3</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6 178,2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Сельское хозяйство и рыболовство</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04</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88,0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Непрограммное направление деятельности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межбюджетных трансфертов вышестоящих бюджетов</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88.8.05.00000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субвенции на осуществление полномочий по организации мероприятий при осуществлении деятельности по обращению с животными без владельцев, а также по организации проведения мероприятий по предупреждению и ликвидации болезней животных, их лечению, защите населения от болезней, общих для человека и животных</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88.8.05.73310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88.8.05.73310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Водное хозяйство</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04</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06</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75,2</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75,2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Непрограммное направление деятельности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75,2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Прочие 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75,2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Мероприятия в области водного хозяйства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88.8.06.03506</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75,2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88.8.06.03506</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75,2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Транспорт</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04</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08</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7 557,7</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1 000,0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4 000,0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«Развитие пассажирского транспорта на территории Шарангского муниципального района Нижегородской области на 2020 - 2024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7 557,7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4 000,0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Создание эффективной системообразующей транспортной инфраструктуры для удовлетворения потребностей населения на территории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09.0.01.00000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7 557,7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4 000,0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Поддержка и развитие пассажирского транспорта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09.0.01.04080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7 557,7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4 000,0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09.0.01.04080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7 557,7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4 000,0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Дорожное хозяйство (дорожные фонды)</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04</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5 457,4</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«Развитие транспортной системы в Шарангском муниципальном районе Нижегородской области в 2021-2025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5 457,4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Ремонт и содержание автомобильных дорог общего пользования в Шарангском муниципальном районе</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06.2.00.00000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5 457,4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Содержание автомобильных дорог общего пользования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06.2.02.00000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457,4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Содержание автомобильных дорог общего пользования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06.2.02.07080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457,4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06.2.02.07080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140,4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06.2.02.07080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317,0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капитальный ремонт и ремонт автомобильных дорог общего пользования местного значения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06.2.03.00000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5 000,0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реализацию полномочий органов местного самоуправления по решению вопросов местного значения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06.2.03.S2650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5 000,0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06.2.03.S2650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5 000,0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Связь и информатика</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04</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238,3</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122,3</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523,2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"Построение и развитие аппаратно-программного комплекса "Безопасный город" в Шарангском муниципальном районе на 2019-2021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76,2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76,2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76,2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своевременного оповещения и информирования населения техническими средствами оповещения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07.0.03.04100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76,2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76,2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76,2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07.0.03.04100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76,2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76,2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76,2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162,1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447,0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Непрограммное направление деятельности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162,1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447,0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Прочие 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162,1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447,0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доступа к системе электронного документооборота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88.8.06.S2300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162,1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447,0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88.8.06.S2300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162,1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447,0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Другие вопросы в области национальной экономики</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04</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12</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705,0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655,0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1 655,0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"Развитие предпринимательства и туризма в Шарангском муниципальном районе Нижегородской области на 2021-2025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Эффективная кредитно-финансовая инвестиционная поддержка субъектов малого предпринимательства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02.0.01.00000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Субсидия на поддержку малого предпринимательства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02.0.01.02290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02.0.01.02290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"Управление муниципальным имуществом Шарангского муниципального района Нижегородской области на 2021-2025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21.0.00.00000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355,0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1 355,0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Совершенствование учета и разграничения муниципального имущества, его структуризация, классификация и содержание объектов недвижимости в 2021-2025 годах</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21.1.00.00000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355,0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1 355,0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Проведение кадастровых работ, разработка проектов планировки и межевания, изготовление топографических съемок, публикация в СМИ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21.1.02.00000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355,0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1 355,0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Мероприятия по землеустройству и землепользованию</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21.1.02.03403</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355,0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1 355,0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21.1.02.03403</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355,0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1 355,0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ЖИЛИЩНО-КОММУНАЛЬНОЕ ХОЗЯЙСТВО</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05</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47 070,7</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1 368,6</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26 971,4</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Жилищное хозяйство</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05</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38 299,7</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293,9</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9 978,4</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"Развитие агропромышленного комплекса Шарангского муниципального района Нижегородской области"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28 043,9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"Комплексное развитие сельских территорий Шарангского муниципального района Нижегородской области" до 2025 года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11.2.00.00000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28 043,9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Строительство (реконструкция) в сельской местности объектов социальной и инженерной инфраструктуры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11.2.22.04050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1 570,0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 xml:space="preserve">Капитальные вложения в объекты государственной (муниципальной) собственности </w:t>
            </w:r>
            <w:r>
              <w:rPr>
                <w:iCs/>
                <w:color w:val="000000"/>
                <w:sz w:val="24"/>
                <w:szCs w:val="24"/>
              </w:rPr>
              <w:t>(Экспертиза сметной документации, проектно-изыскательские работы, технологическое присоединение  по строительству жилого помещения (жилого дома), предоставляемого гражданам Российской Федерации, проживающим на сельских территориях, по договору найма жилого помещения, строительный контроль)</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11.2.22.04050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1 570,0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Строительство (реконструкция) в сельской местности объектов социальной и инженерной инфраструктуры, объектов сельскохозяйственного назначения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11.2.22.L5760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26 473,9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Капитальные вложения в объекты государственной (муниципальной) собственности (Строительство жилого помещения (жилого дома), предоставляемого гражданам Российской Федерации, проживающим на сельских территориях, по договору найма жилого помещения)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11.2.22.L5760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26 473,9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"Переселение граждан из аварийного жилищного фонда на территории Шарангского муниципального района, в том числе с учетом необходимости развития малоэтажного жилищного строительства на 2019-2023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8 031,5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9 802,6</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мероприятий по переселению граждан из аварийного жилищного фонда (2 этап)</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20.2.00.03503</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20.2.00.03503</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мероприятий по переселению граждан из аварийного жилищного фонда за счет средств корпорации - Фонда содействия реформированию жилищно-коммунального хозяйства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20.3.F3.67483</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3 552,5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Капитальные вложения в объекты государственной (муниципальной) собственности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20.3.F3.67483</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3 552,5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мероприятий по переселению граждан из аварийного жилищного фонда за счет средств областного бюджета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20.3.F3.67484</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120,3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Капитальные вложения в объекты государственной (муниципальной) собственности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20.3.F3.67484</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120,3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мероприятий по переселению граждан из аварийного жилищного фонда за счет средств местного бюджета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20.3.F3.6748S</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Капитальные вложения в объекты государственной (муниципальной) собственности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20.3.F3.6748S</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мероприятий по переселению граждан из аварийного жилищного фонда за счет средств корпорации - Фонда содействия реформированию жилищно-коммунального хозяйства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20.4.F3.67483</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4 076,2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9 355,8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Капитальные вложения в объекты государственной (муниципальной) собственности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20.4.F3.67483</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4 076,2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9 355,8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мероприятий по переселению граждан из аварийного жилищного фонда за счет средств областного бюджета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20.4.F3.67484</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135,9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311,9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Капитальные вложения в объекты государственной (муниципальной) собственности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20.4.F3.67484</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135,9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311,9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мероприятий по переселению граждан из аварийного жилищного фонда за счет средств местного бюджета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20.4.F3.6748S</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66,5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38,0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Капитальные вложения в объекты государственной (муниципальной) собственности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20.4.F3.6748S</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66,5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38,0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мероприятий по переселению граждан из аварийного жилищного фонда за счет средств местного бюджета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20.5.F3.6748S</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Капитальные вложения в объекты государственной (муниципальной) собственности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20.5.F3.6748S</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"Инвестиционная программа Шарангского муниципального района Нижегородской области на 2021-2023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1 900,2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Прочее</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22.0.03.00000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1 900,2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Мероприятия в области коммунального хозяйства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22.0.03.03515</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1 900,2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Капитальные вложения в объекты государственной (муниципальной) собственности (Расселение аварийного жилого дома в р.п. Шаранга, ул. Большевиков, д.25)</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22.0.03.03515</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1 900,2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324,1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205,9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175,8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Непрограммное направление деятельности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324,1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205,9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175,8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Прочие 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324,1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205,9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175,8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Капитальный ремонт муниципального жилищного фонда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88.8.06.03502</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175,8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205,9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175,8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88.8.06.03502</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175,8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205,9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175,8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Мероприятия в области жилищного хозяйства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88.8.06.03503</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148,3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88.8.06.03503</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148,3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Коммунальное хозяйство</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05</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8 768,7</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1 072,4</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16 990,7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"Инвестиционная программа Шарангского муниципального района Нижегородской области на 2021-2023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3 360,0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15 918,3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Проектно-изыскательские работы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22.0.01.00000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15 918,3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Реализация мероприятий в рамках адресной инвестиционной программы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22.0.01.S2450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15 918,3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Капитальные вложения в объекты государственной (муниципальной) собственности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22.0.01.S2450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15 918,3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Прочее</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22.0.03.00000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3 360,0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Мероприятия в области коммунального хозяйства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22.0.03.03515</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3 360,0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22.0.03.03515</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980,0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 xml:space="preserve">Капитальные вложения в объекты государственной (муниципальной) собственности </w:t>
            </w:r>
            <w:r>
              <w:rPr>
                <w:iCs/>
                <w:color w:val="000000"/>
                <w:sz w:val="24"/>
                <w:szCs w:val="24"/>
              </w:rPr>
              <w:t>(Замена водопроводной башни ул. Родниковая)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22.0.03.03515</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1 430,0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22.0.03.03515</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950,0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5 408,7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1 072,4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1 072,4</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Непрограммное направление деятельности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5 408,7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1 072,4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1 072,4</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Прочие 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5 408,7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1 072,4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1 072,4</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Компенсация выпадающих доходов организациям, предоставляющим услуги водоснабжения и водоотведения по тарифам, не обеспечивающим возмещение издержек</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88.8.06.03513</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964,2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964,2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964,2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88.8.06.03513</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964,2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964,2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964,2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Мероприятия в области коммунального хозяйства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88.8.06.03515</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4 444,5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108,2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108,2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88.8.06.03515</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4 336,3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88.8.06.03515</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108,2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108,2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108,2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Другие вопросы в области жилищно-коммунального хозяйства</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05</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2,3</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2,3</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Непрограммное направление деятельности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Прочие 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88.8.06.73050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88.8.06.73050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ОБРАЗОВАНИЕ</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07</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34 746,9</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5 505,7</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5 505,7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Дошкольное образование</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07</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24 127,0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"Развитие образования Шарангского муниципального района"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24 127,0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"Развитие общего образования"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457,4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деятельности общеобразовательных учреждений, подведомственных управлению образования, на основе муниципальных заданий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16.1.07.00000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457,4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обеспечение деятельности вводимых в эксплуатацию новых объектов</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16.1.07.42000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457,4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16.1.07.42000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457,4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"Ресурсное обеспечение сферы образования в Шарангском муниципальном районе"</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23 669,6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Укрепление материально-технической базы, ремонт ОУ</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16.5.04.00000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23 669,6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реализацию проектов комплексного развития сельских территорий (сельских агломераций)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16.5.04.L5760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23 669,6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Капитальные вложения в объекты государственной (муниципальной) собственности (Строительство детского сада на 160 мест, р.п.Шаранга Нижегородской области)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16.5.04.L5760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23 669,6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Общее образование</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07</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5 114,2</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"Инвестиционная программа Шарангского муниципального района Нижегородской области на 2021-2023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5 114,2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Проектно-изыскательские работы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22.0.01.00000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5 114,2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Бюджетные инвестиции в объекты капитального строительства собственности муниципальных образований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22.0.01.01020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5 114,2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Капитальные вложения в объекты государственной (муниципальной) собственности (ПИР и госэкспертиза по объекту "Здание начальной школы на 450 мест МБОУ Шарангская средняя школа»)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22.0.01.01020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5 114,2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Дополнительное образование детей</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07</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5 505,7</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5 505,7</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5 505,7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«Развитие физической культуры и спорта Шарангского муниципального района на 2020 - 2024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5 505,7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5 505,7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5 505,7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"Развитие физической культуры и массового спорта"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15.1.00.00000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5 505,7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5 505,7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5 505,7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деятельности муниципальных учреждений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15.1.02.00000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5 505,7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5 505,7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5 505,7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выполнения МАУ"ФОК в р.п.Шаранга Нижегородской области" муниципального задания по оказанию услуг</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15.1.02.11120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5 505,7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5 505,7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15.1.02.11120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5 505,7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5 505,7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15.1.02.S2090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5 505,7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15.1.02.S2090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5 505,7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СОЦИАЛЬНАЯ ПОЛИТИКА</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10 336,6</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10 299,3</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12 416,8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Пенсионное обеспечение</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4 387,0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3 387,0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5 387,0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4 387,0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3 387,0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5 387,0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Непрограммное направление деятельности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4 387,0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3 387,0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5 387,0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Прочие 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4 387,0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3 387,0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5 387,0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Мероприятия в области социальной политики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88.8.06.05140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4 387,0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3 387,0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5 387,0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Социальное обеспечение и иные выплаты населению</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88.8.06.05140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4 387,0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3 387,0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5 387,0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Социальное обеспечение населения</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412,3</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1 270,8</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1 286,7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«Обеспечение граждан Шарангского района доступным и комфортным жильем на период 2021-2023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108,3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27,9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«Обеспечение жильем молодых семей в Шарангском р-не на период 2021-2023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04.1.00.00000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Компенсация процентной ставки по кредитам, выданным до 31.12.2006 года в рамках РЦП "Молодой семье - доступное жилье" на 2005 - 2010 годы, утвержденной решением ЗС Шарангского р-на от 15.04.2005 г. №15</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04.1.03.00000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социальных выплат гражданам на оплату части процентной ставки по кредитам на строительство (приобретение) жилья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04.1.03.10060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Социальное обеспечение и иные выплаты населению</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04.1.03.10060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«Ипотечное жилищное кредитование населения Шарангского района на период 2021-2023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04.2.00.00000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106,8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26,4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Оказание государственной поддержки гражданам Шарангского района в решении жилищной проблемы с использованием ипотечного жилищного кредитования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04.2.02.00000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106,8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26,4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компенсацию части платежа по полученным гражданами - участниками социальной (льготной) ипотеки ипотечным жилищным кредитам (займам)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04.2.02.S2270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106,8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26,4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Социальное обеспечение и иные выплаты населению</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04.2.02.S2270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106,8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26,4</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"Социальная поддержка граждан Шарангского муниципального района Нижегородской области на 2021-2025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234,0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234,0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234,0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"Социальная поддержка семей"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10.1.00.00000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Мероприятия в области социальной политики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10.1.01.00000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Проведение районных мероприятий в области социальной политики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10.1.01.10010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10.1.01.10010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"Старшее поколение и социальная поддержка инвалидов"</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10.2.00.00000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156,0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Мероприятия в области социальной политики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10.2.01.00000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156,0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Проведение районных мероприятий в области социальной политики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10.2.01.10010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156,0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10.2.01.10010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156,0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"Ветераны боевых действий"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10.3.00.00000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Мероприятия в области социальной политики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10.3.01.00000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Проведение районных мероприятий в области социальной политики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10.3.01.10010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10.3.01.10010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1 008,9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1 051,2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Непрограммное направление деятельности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1 008,9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1 051,2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межбюджетных трансфертов вышестоящих бюджетов</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88.8.05.00000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иных межбюджетных трансфертов из фонда поддержки территорий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88.8.05.22000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Социальное обеспечение и иные выплаты населению</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88.8.05.22000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Прочие 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1 008,9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1 051,2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субвенции на обеспечение жильем отдельных категорий граждан, установленных ФЗ от 12 января 1995 года №5-ФЗ "О ветеранах"</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88.8.06.51350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1 008,9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1 051,2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Социальное обеспечение и иные выплаты населению</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88.8.06.51350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1 008,9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1 051,2</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Охрана семьи и детства</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5 474,5</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5 578,7</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5 680,3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«Обеспечение граждан Шарангского района доступным и комфортным жильем на период 2021-2023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1 071,0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1 260,1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1 361,7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«Обеспечение жильем молодых семей в Шарангском р-не на период 2021-2023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04.1.00.00000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1 071,0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1 260,1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1 361,7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Государственная поддержка молодых семей Шарангского района в решении жилищной проблемы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04.1.01.00000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1 071,0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1 260,1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1 361,7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социальных выплат молодым семьям на приобретение (строительство) жилья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04.1.01.L4970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1 071,0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1 260,1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1 361,7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Социальное обеспечение и иные выплаты населению</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04.1.01.L4970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1 071,0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1 260,1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1 361,7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4 403,5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4 318,6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4 318,6</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Непрограммное направление деятельности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4 403,5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4 318,6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4 318,6</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Прочие 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4 403,5</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4 318,6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4 318,6</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субвенции на проведение ремонта жилых помещений собственниками которых являются дети-сироты и дети, оставшихся без попечения родителей, а так же лица из числа детей –сирот и детей, оставшихся без попечения родителей либо жилых помещений государственного жилищного фонда, право пользования которыми за ними сохранено, в целях обеспечения надлежащего санитарного и технического состояния этих жилых помещений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88.8.06.73120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84,9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88.8.06.73120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84,9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субвенции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88.8.06.R0820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4 318,6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4 318,6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4 318,6</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Капитальные вложения в объекты государственной (муниципальной) собственности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88.8.06.R0820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4 318,6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4 318,6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4 318,6</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Другие вопросы в области социальной политики</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06</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62,8</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62,8</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62,8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«Профилактика безнадзорности и правонарушений несовершеннолетних в Шарангском муниципальном районе на 2021-2023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Организация проведения мероприятий, направленных на профилактику правонарушений и преступлений несовершеннолетних</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18.1.00.00000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Организация проведения мероприятий, направленных на профилактику правонарушений и преступлений несовершеннолетних</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18.1.01.00000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Организация конкурсов , соревнований и фестиваля по профилактике правонарушений и преступлений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18.1.01.14010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18.1.01.14010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25,0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Непрограммное направление деятельности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Прочие 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Субсидии отдельным общественным организациям и иным некоммерческим объединениям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88.8.06.14050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88.8.06.14050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ФИЗИЧЕСКАЯ КУЛЬТУРА И СПОРТ</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11</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48 270,0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41 202,2</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45 099,9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Массовый спорт</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11</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48 270,0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41 202,2</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45 099,9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«Развитие физической культуры и спорта Шарангского муниципального района на 2020 - 2024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48 264,0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41 196,2</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45 093,9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"Развитие физической культуры и массового спорта"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15.1.00.00000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46 243,0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39 195,0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43 092,7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Проведение физкультурно-массовых мероприятий среди различных категорий населения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15.1.01.00000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286,7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286,7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286,7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Мероприятия в области спорта и физической культуры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15.1.01.11020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286,7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286,7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286,7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15.1.01.11020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15.1.01.11020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113,7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113,7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113,7</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деятельности муниципальных учреждений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15.1.02.00000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45 956,3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38 908,3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42 806,0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выполнения МАУ"ФОК в р.п.Шаранга Нижегородской области" муниципального задания по оказанию услуг</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15.1.02.11120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22 666,9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38 908,3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19 093,1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15.1.02.11120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22 666,9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38 908,3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19 093,1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15.1.02.S2090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22 900,6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23 712,9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15.1.02.S2090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22 900,6</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23 712,9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15.1.02.S2190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388,8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15.1.02.S2190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388,8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"Развитие спорта высших достижений и системы подготовки спортивного резерва"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15.2.00.00000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426,3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426,3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426,3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Проведение межрайонных, областных соревнований, обеспечение участия спортсменов в официальных соревнованиях</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15.2.01.00000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426,3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426,3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426,3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Мероприятия в области спорта и физической культуры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15.2.01.11020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426,3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426,3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426,3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15.2.01.11020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147,0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147,0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147,0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15.2.01.11020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279,3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279,3</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279,3</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Подпрограмма "Обеспечение реализации муниципальной программы"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15.3.00.00000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1 594,7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1 574,9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1 574,9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реализации муниципальной программы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15.3.01.00000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1 594,7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1 574,9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1 574,9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реализации муниципальной программы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15.3.01.11220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1 574,7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1 574,9</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1 574,9</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15.3.01.11220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874,7</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874,1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874,1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15.3.01.11220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700,8</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700,8</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15.3.01.S2190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15.3.01.S2190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Муниципальная программа "Экология Шарангского муниципального района на 2021 - 2025 годы"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Охрана окружающей среды от загрязнения отходами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Услуги по расчету платы за негативное воздействие на окружающую среду</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17.3.09.00000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Мероприятия в области охраны окружающей среды (кроме органов местного самоуправления)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17.3.09.07070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17.3.09.07070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СРЕДСТВА МАССОВОЙ ИНФОРМАЦИИ</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12</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3 146,1</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2 546,1</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2 546,1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Периодическая печать и издательства</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12</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3 146,1</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2 546,1</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2 546,1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88.0.00.00000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3 146,1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2 546,1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2 546,1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Непрограммное направление деятельности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88.8.00.00000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3 146,1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2 546,1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2 546,1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Прочие непрограммные расходы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88.8.06.00000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3 146,1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2 546,1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2 546,1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Поддержка средств массовой информации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88.8.06.02050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88.8.06.02050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Субсидия СМИ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88.8.06.S2050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2 546,1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2 546,1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2 546,1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 </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70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719"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88.8.06.S2050</w:t>
            </w:r>
          </w:p>
        </w:tc>
        <w:tc>
          <w:tcPr>
            <w:tcW w:w="83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23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2 546,1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2 546,1</w:t>
            </w:r>
          </w:p>
        </w:tc>
        <w:tc>
          <w:tcPr>
            <w:tcW w:w="12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2 546,1</w:t>
            </w:r>
          </w:p>
        </w:tc>
      </w:tr>
      <w:tr>
        <w:trPr>
          <w:trHeight w:val="23" w:hRule="atLeast"/>
        </w:trPr>
        <w:tc>
          <w:tcPr>
            <w:tcW w:w="6819"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Всего</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70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171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83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123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718 036,0</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541 174,6</w:t>
            </w:r>
          </w:p>
        </w:tc>
        <w:tc>
          <w:tcPr>
            <w:tcW w:w="12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596 849,3</w:t>
            </w:r>
          </w:p>
        </w:tc>
      </w:tr>
    </w:tbl>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Normal"/>
        <w:jc w:val="right"/>
        <w:rPr>
          <w:sz w:val="28"/>
          <w:szCs w:val="28"/>
        </w:rPr>
      </w:pPr>
      <w:r>
        <w:rPr>
          <w:sz w:val="28"/>
          <w:szCs w:val="28"/>
        </w:rPr>
        <w:t xml:space="preserve">Приложение 7 </w:t>
      </w:r>
    </w:p>
    <w:p>
      <w:pPr>
        <w:pStyle w:val="Normal"/>
        <w:jc w:val="right"/>
        <w:rPr>
          <w:sz w:val="28"/>
          <w:szCs w:val="28"/>
        </w:rPr>
      </w:pPr>
      <w:r>
        <w:rPr>
          <w:sz w:val="28"/>
          <w:szCs w:val="28"/>
        </w:rPr>
        <w:t xml:space="preserve">к решению Земского собрания </w:t>
      </w:r>
    </w:p>
    <w:p>
      <w:pPr>
        <w:pStyle w:val="Normal"/>
        <w:jc w:val="right"/>
        <w:rPr>
          <w:sz w:val="28"/>
          <w:szCs w:val="28"/>
        </w:rPr>
      </w:pPr>
      <w:r>
        <w:rPr>
          <w:sz w:val="28"/>
          <w:szCs w:val="28"/>
        </w:rPr>
        <w:t xml:space="preserve">Шарангского муниципального района </w:t>
      </w:r>
    </w:p>
    <w:p>
      <w:pPr>
        <w:pStyle w:val="Normal"/>
        <w:jc w:val="right"/>
        <w:rPr>
          <w:sz w:val="28"/>
          <w:szCs w:val="28"/>
        </w:rPr>
      </w:pPr>
      <w:r>
        <w:rPr>
          <w:sz w:val="28"/>
          <w:szCs w:val="28"/>
        </w:rPr>
        <w:t xml:space="preserve">«О районном бюджете на 2021 год и </w:t>
      </w:r>
    </w:p>
    <w:p>
      <w:pPr>
        <w:pStyle w:val="Normal"/>
        <w:jc w:val="right"/>
        <w:rPr>
          <w:sz w:val="28"/>
          <w:szCs w:val="28"/>
        </w:rPr>
      </w:pPr>
      <w:r>
        <w:rPr>
          <w:sz w:val="28"/>
          <w:szCs w:val="28"/>
        </w:rPr>
        <w:t>на плановый период 2022 и 2023 годов»</w:t>
      </w:r>
    </w:p>
    <w:p>
      <w:pPr>
        <w:pStyle w:val="Normal"/>
        <w:jc w:val="center"/>
        <w:rPr>
          <w:b/>
          <w:b/>
          <w:bCs/>
          <w:color w:val="000000"/>
          <w:sz w:val="28"/>
          <w:szCs w:val="28"/>
        </w:rPr>
      </w:pPr>
      <w:r>
        <w:rPr>
          <w:b/>
          <w:bCs/>
          <w:color w:val="000000"/>
          <w:sz w:val="28"/>
          <w:szCs w:val="28"/>
        </w:rPr>
      </w:r>
    </w:p>
    <w:p>
      <w:pPr>
        <w:pStyle w:val="Normal"/>
        <w:jc w:val="center"/>
        <w:rPr>
          <w:b/>
          <w:b/>
          <w:bCs/>
          <w:color w:val="000000"/>
          <w:sz w:val="28"/>
          <w:szCs w:val="28"/>
        </w:rPr>
      </w:pPr>
      <w:r>
        <w:rPr>
          <w:b/>
          <w:bCs/>
          <w:color w:val="000000"/>
          <w:sz w:val="28"/>
          <w:szCs w:val="28"/>
        </w:rPr>
        <w:t xml:space="preserve">Распределение бюджетных ассигнований по разделам, </w:t>
        <w:br/>
        <w:t xml:space="preserve">подразделам, группам видов расходов классификации </w:t>
        <w:br/>
        <w:t xml:space="preserve">расходов районного бюджета на 2021 год </w:t>
        <w:br/>
        <w:t>и на плановый период 2022 и 2023 годов</w:t>
      </w:r>
    </w:p>
    <w:p>
      <w:pPr>
        <w:pStyle w:val="Normal"/>
        <w:jc w:val="right"/>
        <w:rPr/>
      </w:pPr>
      <w:r>
        <w:rPr>
          <w:sz w:val="24"/>
          <w:szCs w:val="24"/>
        </w:rPr>
        <w:t xml:space="preserve">                                                                                                                                                                                                                                                                                                                              </w:t>
      </w:r>
      <w:r>
        <w:rPr>
          <w:sz w:val="24"/>
          <w:szCs w:val="24"/>
        </w:rPr>
        <w:t xml:space="preserve">(тыс. </w:t>
      </w:r>
      <w:r>
        <w:rPr/>
        <w:t>рублей)</w:t>
      </w:r>
    </w:p>
    <w:tbl>
      <w:tblPr>
        <w:tblW w:w="15164" w:type="dxa"/>
        <w:jc w:val="left"/>
        <w:tblInd w:w="-20" w:type="dxa"/>
        <w:tblLayout w:type="fixed"/>
        <w:tblCellMar>
          <w:top w:w="0" w:type="dxa"/>
          <w:left w:w="108" w:type="dxa"/>
          <w:bottom w:w="0" w:type="dxa"/>
          <w:right w:w="108" w:type="dxa"/>
        </w:tblCellMar>
      </w:tblPr>
      <w:tblGrid>
        <w:gridCol w:w="7670"/>
        <w:gridCol w:w="992"/>
        <w:gridCol w:w="851"/>
        <w:gridCol w:w="851"/>
        <w:gridCol w:w="1700"/>
        <w:gridCol w:w="1560"/>
        <w:gridCol w:w="1540"/>
      </w:tblGrid>
      <w:tr>
        <w:trPr>
          <w:tblHeader w:val="true"/>
          <w:trHeight w:val="23" w:hRule="atLeast"/>
        </w:trPr>
        <w:tc>
          <w:tcPr>
            <w:tcW w:w="7670"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Наименование</w:t>
            </w:r>
          </w:p>
        </w:tc>
        <w:tc>
          <w:tcPr>
            <w:tcW w:w="2694" w:type="dxa"/>
            <w:gridSpan w:val="3"/>
            <w:tcBorders>
              <w:top w:val="single" w:sz="4" w:space="0" w:color="000000"/>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Код бюджетной классификации</w:t>
            </w:r>
          </w:p>
        </w:tc>
        <w:tc>
          <w:tcPr>
            <w:tcW w:w="1700" w:type="dxa"/>
            <w:vMerge w:val="restart"/>
            <w:tcBorders>
              <w:top w:val="single" w:sz="4" w:space="0" w:color="000000"/>
              <w:left w:val="single" w:sz="4" w:space="0" w:color="000000"/>
              <w:bottom w:val="single" w:sz="4" w:space="0" w:color="000000"/>
              <w:right w:val="single" w:sz="4" w:space="0" w:color="000000"/>
            </w:tcBorders>
            <w:vAlign w:val="center"/>
          </w:tcPr>
          <w:p>
            <w:pPr>
              <w:pStyle w:val="Normal"/>
              <w:ind w:left="-109" w:firstLine="109"/>
              <w:jc w:val="center"/>
              <w:rPr>
                <w:b/>
                <w:b/>
                <w:bCs/>
                <w:color w:val="000000"/>
                <w:sz w:val="24"/>
                <w:szCs w:val="24"/>
              </w:rPr>
            </w:pPr>
            <w:r>
              <w:rPr>
                <w:b/>
                <w:bCs/>
                <w:color w:val="000000"/>
                <w:sz w:val="24"/>
                <w:szCs w:val="24"/>
              </w:rPr>
              <w:t>2021 год</w:t>
            </w:r>
          </w:p>
        </w:tc>
        <w:tc>
          <w:tcPr>
            <w:tcW w:w="1560"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2022 год</w:t>
            </w:r>
          </w:p>
        </w:tc>
        <w:tc>
          <w:tcPr>
            <w:tcW w:w="1540"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2023 год</w:t>
            </w:r>
          </w:p>
        </w:tc>
      </w:tr>
      <w:tr>
        <w:trPr>
          <w:tblHeader w:val="true"/>
          <w:trHeight w:val="276" w:hRule="atLeast"/>
        </w:trPr>
        <w:tc>
          <w:tcPr>
            <w:tcW w:w="767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992" w:type="dxa"/>
            <w:vMerge w:val="restart"/>
            <w:tcBorders>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Раздел</w:t>
            </w:r>
          </w:p>
        </w:tc>
        <w:tc>
          <w:tcPr>
            <w:tcW w:w="851" w:type="dxa"/>
            <w:vMerge w:val="restart"/>
            <w:tcBorders>
              <w:left w:val="single" w:sz="4" w:space="0" w:color="000000"/>
              <w:bottom w:val="single" w:sz="4" w:space="0" w:color="000000"/>
              <w:right w:val="single" w:sz="4" w:space="0" w:color="000000"/>
            </w:tcBorders>
            <w:vAlign w:val="center"/>
          </w:tcPr>
          <w:p>
            <w:pPr>
              <w:pStyle w:val="Normal"/>
              <w:jc w:val="center"/>
              <w:rPr/>
            </w:pPr>
            <w:r>
              <w:rPr>
                <w:b/>
                <w:bCs/>
                <w:color w:val="000000"/>
                <w:sz w:val="24"/>
                <w:szCs w:val="24"/>
              </w:rPr>
              <w:t>Под раз  дел</w:t>
            </w:r>
          </w:p>
        </w:tc>
        <w:tc>
          <w:tcPr>
            <w:tcW w:w="851" w:type="dxa"/>
            <w:vMerge w:val="restart"/>
            <w:tcBorders>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Вид расходов</w:t>
            </w:r>
          </w:p>
        </w:tc>
        <w:tc>
          <w:tcPr>
            <w:tcW w:w="170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154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r>
      <w:tr>
        <w:trPr>
          <w:tblHeader w:val="true"/>
          <w:trHeight w:val="276" w:hRule="atLeast"/>
        </w:trPr>
        <w:tc>
          <w:tcPr>
            <w:tcW w:w="767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992" w:type="dxa"/>
            <w:vMerge w:val="continue"/>
            <w:tcBorders>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851" w:type="dxa"/>
            <w:vMerge w:val="continue"/>
            <w:tcBorders>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851" w:type="dxa"/>
            <w:vMerge w:val="continue"/>
            <w:tcBorders>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170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154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ОБЩЕГОСУДАРСТВЕННЫЕ ВОПРОСЫ</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01</w:t>
            </w:r>
          </w:p>
        </w:tc>
        <w:tc>
          <w:tcPr>
            <w:tcW w:w="851"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851"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47 545,5</w:t>
            </w:r>
          </w:p>
        </w:tc>
        <w:tc>
          <w:tcPr>
            <w:tcW w:w="156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41 673,4</w:t>
            </w:r>
          </w:p>
        </w:tc>
        <w:tc>
          <w:tcPr>
            <w:tcW w:w="154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42 594,9</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Функционирование высшего должностного лица субъекта Российской Федерации и муниципального образования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1 918,9</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1 918,9</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1 918,9</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1 918,9</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1 918,9</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1 918,9</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620,3</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620,4</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620,3</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398,3</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398,4</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398,3</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222,0</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222,0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222,0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24 803,3</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23 388,7</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24 359,7</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18 861,8</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18 861,8</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18 861,8</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5 861,5</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4 526,9</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5 497,9</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Судебная система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12,6</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54,5</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5,1</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12,6</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54,5</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5,1</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Обеспечение деятельности финансовых, налоговых и таможенных органов и органов финансового (финансово-бюджетного) надзора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11 180,0</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10 603,1</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10 603,1</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10 085,2</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9 611,1</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9 611,1</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1 094,8</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992,0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992,0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Резервные фонды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2 000,0</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1 000,0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1 000,0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2 000,0</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1 000,0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1 000,0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Другие общегосударственные вопросы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7 010,4</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4 087,8</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4 087,8</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3 038,2</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2 922,3</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2 922,3</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3 321,8</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1 112,5</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1 112,5</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Социальное обеспечение и иные выплаты населению</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35,0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35,0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632,4</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18,0</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НАЦИОНАЛЬНАЯ ОБОРОНА</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02</w:t>
            </w:r>
          </w:p>
        </w:tc>
        <w:tc>
          <w:tcPr>
            <w:tcW w:w="851"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851"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891,8</w:t>
            </w:r>
          </w:p>
        </w:tc>
        <w:tc>
          <w:tcPr>
            <w:tcW w:w="156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900,5</w:t>
            </w:r>
          </w:p>
        </w:tc>
        <w:tc>
          <w:tcPr>
            <w:tcW w:w="154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934,3</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Мобилизационная и вневойсковая подготовка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891,8</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900,5</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934,3</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891,8</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900,5</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934,3</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НАЦИОНАЛЬНАЯ БЕЗОПАСНОСТЬ И ПРАВООХРАНИТЕЛЬНАЯ ДЕЯТЕЛЬНОСТЬ</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03</w:t>
            </w:r>
          </w:p>
        </w:tc>
        <w:tc>
          <w:tcPr>
            <w:tcW w:w="851"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851"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4 055,4</w:t>
            </w:r>
          </w:p>
        </w:tc>
        <w:tc>
          <w:tcPr>
            <w:tcW w:w="156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3 547,3</w:t>
            </w:r>
          </w:p>
        </w:tc>
        <w:tc>
          <w:tcPr>
            <w:tcW w:w="154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3 547,3</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Защита населения и территории от чрезвычайных ситуаций природного и техногенного характера, пожарная безопасность</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4 055,4</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3 547,3</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3 547,3</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2 716,3</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2 602,5</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2 602,5</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744,8</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744,8</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744,8</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394,3</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200,0</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НАЦИОНАЛЬНАЯ ЭКОНОМИКА</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04</w:t>
            </w:r>
          </w:p>
        </w:tc>
        <w:tc>
          <w:tcPr>
            <w:tcW w:w="851"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851"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85 086,1</w:t>
            </w:r>
          </w:p>
        </w:tc>
        <w:tc>
          <w:tcPr>
            <w:tcW w:w="156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36 963,6</w:t>
            </w:r>
          </w:p>
        </w:tc>
        <w:tc>
          <w:tcPr>
            <w:tcW w:w="154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41 422,0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Сельское хозяйство и рыболовство</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57 566,4</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35 086,3</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35 143,8</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3 852,6</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3 894,6</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3 894,6</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669,6</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466,6</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466,6</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53 044,2</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30 725,1</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30 782,6</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Водное хозяйство</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75,2</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75,2</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Транспорт</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7 557,7</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1 100,0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4 100,0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7 557,7</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1 100,0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4 100,0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Дорожное хозяйство (дорожные фонды)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18 943,5</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140,4</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18 803,1</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Связь и информатика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238,3</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122,3</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523,2</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238,3</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122,3</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523,2</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Другие вопросы в области национальной экономики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705,0</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655,0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1 655,0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405,0</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355,0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1 355,0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300,0</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ЖИЛИЩНО-КОММУНАЛЬНОЕ ХОЗЯЙСТВО</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05</w:t>
            </w:r>
          </w:p>
        </w:tc>
        <w:tc>
          <w:tcPr>
            <w:tcW w:w="851"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851"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54 772,9</w:t>
            </w:r>
          </w:p>
        </w:tc>
        <w:tc>
          <w:tcPr>
            <w:tcW w:w="156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4 489,8</w:t>
            </w:r>
          </w:p>
        </w:tc>
        <w:tc>
          <w:tcPr>
            <w:tcW w:w="154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30 092,6</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Жилищное хозяйство</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38 408,7</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293,9</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9 978,4</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374,1</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255,9</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225,8</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Капитальные вложения в объекты государственной (муниципальной) собственности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37 925,6</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38,0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9 752,6</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109,0</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Коммунальное хозяйство</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8 768,7</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1 072,4</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16 990,7</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5 316,3</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Капитальные вложения в объекты государственной (муниципальной) собственности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1 430,0</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15 918,3</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2 022,4</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1 072,4</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1 072,4</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Благоустройство</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7 593,2</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3 121,2</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3 121,2</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7 593,2</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3 121,2</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3 121,2</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Другие вопросы в области жилищно-коммунального хозяйства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ОБРАЗОВАНИЕ</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07</w:t>
            </w:r>
          </w:p>
        </w:tc>
        <w:tc>
          <w:tcPr>
            <w:tcW w:w="851"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851"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342 796,1</w:t>
            </w:r>
          </w:p>
        </w:tc>
        <w:tc>
          <w:tcPr>
            <w:tcW w:w="156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299 398,0</w:t>
            </w:r>
          </w:p>
        </w:tc>
        <w:tc>
          <w:tcPr>
            <w:tcW w:w="154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302 577,5</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Дошкольное образование</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128 783,0</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97 362,1</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97 941,6</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6 619,8</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Капитальные вложения в объекты государственной (муниципальной) собственности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23 669,6</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98 493,6</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97 362,1</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97 941,6</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Общее образование</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154 196,3</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143 971,0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146 571,0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769,0</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769,0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769,0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Капитальные вложения в объекты государственной (муниципальной) собственности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5 114,2</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148 313,1</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143 202,0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145 802,0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Дополнительное образование детей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28 218,6</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27 714,9</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27 714,9</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28 106,2</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27 679,9</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27 679,9</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112,4</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35,0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35,0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Молодежная политика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1 762,1</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2 034,1</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2 034,1</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13,6</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13,6</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13,6</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Социальное обеспечение и иные выплаты населению</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495,4</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736,9</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736,9</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1 253,1</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1 283,6</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1 283,6</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Другие вопросы в области образования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29 836,1</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28 315,9</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28 315,9</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26 801,1</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25 607,4</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25 607,4</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3 029,1</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2 708,5</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2 708,5</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5,9</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КУЛЬТУРА, КИНЕМАТОГРАФИЯ</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08</w:t>
            </w:r>
          </w:p>
        </w:tc>
        <w:tc>
          <w:tcPr>
            <w:tcW w:w="851"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851"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66 132,6</w:t>
            </w:r>
          </w:p>
        </w:tc>
        <w:tc>
          <w:tcPr>
            <w:tcW w:w="156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64 144,1</w:t>
            </w:r>
          </w:p>
        </w:tc>
        <w:tc>
          <w:tcPr>
            <w:tcW w:w="154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64 144,1</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Культура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52 572,2</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51 202,9</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51 202,9</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52 572,2</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51 202,9</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51 202,9</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Другие вопросы в области культуры, кинематографии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13 560,4</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12 941,2</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12 941,2</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13 200,3</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12 522,4</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12 522,4</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360,1</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418,8</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418,8</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СОЦИАЛЬНАЯ ПОЛИТИКА</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w:t>
            </w:r>
          </w:p>
        </w:tc>
        <w:tc>
          <w:tcPr>
            <w:tcW w:w="851"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851"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12 360,8</w:t>
            </w:r>
          </w:p>
        </w:tc>
        <w:tc>
          <w:tcPr>
            <w:tcW w:w="156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12 323,5</w:t>
            </w:r>
          </w:p>
        </w:tc>
        <w:tc>
          <w:tcPr>
            <w:tcW w:w="154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14 441,0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Пенсионное обеспечение</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4 387,0</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3 387,0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5 387,0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Социальное обеспечение и иные выплаты населению</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4 387,0</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3 387,0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5 387,0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Социальное обеспечение населения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412,3</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1 270,8</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1 286,7</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234,0</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234,0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234,0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Социальное обеспечение и иные выплаты населению</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178,3</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1 036,8</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1 052,7</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Охрана семьи и детства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7 498,7</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7 602,9</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7 704,5</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114,8</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29,9</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29,9</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Социальное обеспечение и иные выплаты населению</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3 065,3</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3 254,4</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3 356,0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Капитальные вложения в объекты государственной (муниципальной) собственности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4 318,6</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4 318,6</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4 318,6</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Другие вопросы в области социальной политики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62,8</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62,8</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62,8</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25,0</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25,0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25,0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37,8</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37,8</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37,8</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ФИЗИЧЕСКАЯ КУЛЬТУРА И СПОРТ</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11</w:t>
            </w:r>
          </w:p>
        </w:tc>
        <w:tc>
          <w:tcPr>
            <w:tcW w:w="851"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851"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48 299,9</w:t>
            </w:r>
          </w:p>
        </w:tc>
        <w:tc>
          <w:tcPr>
            <w:tcW w:w="156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41 202,2</w:t>
            </w:r>
          </w:p>
        </w:tc>
        <w:tc>
          <w:tcPr>
            <w:tcW w:w="154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45 099,9</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Массовый спорт</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48 299,9</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41 202,2</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45 099,9</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1 214,7</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1 194,1</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1 194,1</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1 093,0</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1 093,8</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1 093,8</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29,9</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45 962,3</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38 914,3</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42 812,0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СРЕДСТВА МАССОВОЙ ИНФОРМАЦИИ</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12</w:t>
            </w:r>
          </w:p>
        </w:tc>
        <w:tc>
          <w:tcPr>
            <w:tcW w:w="851"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851"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5 861,1</w:t>
            </w:r>
          </w:p>
        </w:tc>
        <w:tc>
          <w:tcPr>
            <w:tcW w:w="156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5 261,1</w:t>
            </w:r>
          </w:p>
        </w:tc>
        <w:tc>
          <w:tcPr>
            <w:tcW w:w="154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5 261,1</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Телевидение и радиовещание</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2 715,0</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2 715,0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2 715,0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2 715,0</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2 715,0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2 715,0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Периодическая печать и издательства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3 146,1</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2 546,1</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2 546,1</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600,0</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Иные бюджетные ассигнования</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2 546,1</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2 546,1</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2 546,1</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МЕЖБЮДЖЕТНЫЕ ТРАНСФЕРТЫ ОБЩЕГО ХАРАКТЕРА БЮДЖЕТАМ БЮДЖЕТНОЙ СИСТЕМЫ РОССИЙСКОЙ ФЕДЕРАЦИИ</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14</w:t>
            </w:r>
          </w:p>
        </w:tc>
        <w:tc>
          <w:tcPr>
            <w:tcW w:w="851"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851"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50 233,8</w:t>
            </w:r>
          </w:p>
        </w:tc>
        <w:tc>
          <w:tcPr>
            <w:tcW w:w="156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31 271,1</w:t>
            </w:r>
          </w:p>
        </w:tc>
        <w:tc>
          <w:tcPr>
            <w:tcW w:w="154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46 734,6</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Дотации на выравнивание бюджетной обеспеченности субъектов Российской Федерации и муниципальных образований</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33 501,9</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26 899,7</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28 394,4</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33 501,9</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26 899,7</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28 394,4</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Прочие межбюджетные трансферты общего характера</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16 731,9</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4 371,4</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18 340,2</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color w:val="000000"/>
                <w:sz w:val="24"/>
                <w:szCs w:val="24"/>
              </w:rPr>
            </w:pPr>
            <w:r>
              <w:rPr>
                <w:color w:val="000000"/>
                <w:sz w:val="24"/>
                <w:szCs w:val="24"/>
              </w:rPr>
              <w:t>Межбюджетные трансферты</w:t>
            </w:r>
          </w:p>
        </w:tc>
        <w:tc>
          <w:tcPr>
            <w:tcW w:w="992"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851"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70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16 731,9</w:t>
            </w:r>
          </w:p>
        </w:tc>
        <w:tc>
          <w:tcPr>
            <w:tcW w:w="156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4 371,4</w:t>
            </w:r>
          </w:p>
        </w:tc>
        <w:tc>
          <w:tcPr>
            <w:tcW w:w="154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18 340,2</w:t>
            </w:r>
          </w:p>
        </w:tc>
      </w:tr>
      <w:tr>
        <w:trPr>
          <w:trHeight w:val="23" w:hRule="atLeast"/>
        </w:trPr>
        <w:tc>
          <w:tcPr>
            <w:tcW w:w="7670"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Всего</w:t>
            </w:r>
          </w:p>
        </w:tc>
        <w:tc>
          <w:tcPr>
            <w:tcW w:w="992"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851"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851"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 </w:t>
            </w:r>
          </w:p>
        </w:tc>
        <w:tc>
          <w:tcPr>
            <w:tcW w:w="170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718 036,0</w:t>
            </w:r>
          </w:p>
        </w:tc>
        <w:tc>
          <w:tcPr>
            <w:tcW w:w="156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541 174,6</w:t>
            </w:r>
          </w:p>
        </w:tc>
        <w:tc>
          <w:tcPr>
            <w:tcW w:w="154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596 849,3</w:t>
            </w:r>
          </w:p>
        </w:tc>
      </w:tr>
    </w:tbl>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p>
      <w:pPr>
        <w:pStyle w:val="Normal"/>
        <w:jc w:val="right"/>
        <w:rPr>
          <w:rFonts w:ascii="Times New Roman" w:hAnsi="Times New Roman" w:cs="Times New Roman"/>
          <w:b/>
          <w:b/>
          <w:bCs/>
          <w:sz w:val="28"/>
          <w:szCs w:val="28"/>
        </w:rPr>
      </w:pPr>
      <w:r>
        <w:rPr>
          <w:rFonts w:cs="Times New Roman"/>
          <w:b/>
          <w:bCs/>
          <w:sz w:val="28"/>
          <w:szCs w:val="28"/>
        </w:rPr>
      </w:r>
    </w:p>
    <w:p>
      <w:pPr>
        <w:sectPr>
          <w:type w:val="nextPage"/>
          <w:pgSz w:orient="landscape" w:w="16838" w:h="11906"/>
          <w:pgMar w:left="851" w:right="851" w:gutter="0" w:header="0" w:top="1418" w:footer="0" w:bottom="851"/>
          <w:pgNumType w:fmt="decimal"/>
          <w:formProt w:val="false"/>
          <w:titlePg/>
          <w:textDirection w:val="lrTb"/>
          <w:docGrid w:type="default" w:linePitch="272" w:charSpace="0"/>
        </w:sectPr>
        <w:pStyle w:val="Normal"/>
        <w:jc w:val="right"/>
        <w:rPr>
          <w:bCs/>
          <w:sz w:val="28"/>
          <w:szCs w:val="28"/>
        </w:rPr>
      </w:pPr>
      <w:r>
        <w:rPr>
          <w:bCs/>
          <w:sz w:val="28"/>
          <w:szCs w:val="28"/>
        </w:rPr>
      </w:r>
    </w:p>
    <w:p>
      <w:pPr>
        <w:pStyle w:val="Normal"/>
        <w:tabs>
          <w:tab w:val="clear" w:pos="720"/>
          <w:tab w:val="left" w:pos="567" w:leader="none"/>
        </w:tabs>
        <w:jc w:val="right"/>
        <w:rPr>
          <w:sz w:val="28"/>
          <w:szCs w:val="28"/>
        </w:rPr>
      </w:pPr>
      <w:r>
        <w:rPr>
          <w:sz w:val="28"/>
          <w:szCs w:val="28"/>
        </w:rPr>
        <w:t>Приложение  11</w:t>
      </w:r>
    </w:p>
    <w:p>
      <w:pPr>
        <w:pStyle w:val="Normal"/>
        <w:jc w:val="right"/>
        <w:rPr>
          <w:sz w:val="28"/>
          <w:szCs w:val="28"/>
        </w:rPr>
      </w:pPr>
      <w:r>
        <w:rPr>
          <w:sz w:val="28"/>
          <w:szCs w:val="28"/>
        </w:rPr>
        <w:t>к решению Земского собрания</w:t>
      </w:r>
    </w:p>
    <w:p>
      <w:pPr>
        <w:pStyle w:val="Normal"/>
        <w:jc w:val="right"/>
        <w:rPr>
          <w:sz w:val="28"/>
          <w:szCs w:val="28"/>
        </w:rPr>
      </w:pPr>
      <w:r>
        <w:rPr>
          <w:sz w:val="28"/>
          <w:szCs w:val="28"/>
        </w:rPr>
        <w:t>Шарангского муниципального района</w:t>
      </w:r>
    </w:p>
    <w:p>
      <w:pPr>
        <w:pStyle w:val="Normal"/>
        <w:jc w:val="right"/>
        <w:rPr>
          <w:sz w:val="28"/>
          <w:szCs w:val="28"/>
        </w:rPr>
      </w:pPr>
      <w:r>
        <w:rPr>
          <w:sz w:val="28"/>
          <w:szCs w:val="28"/>
        </w:rPr>
        <w:t>«О районном бюджете на 2021 год и</w:t>
      </w:r>
    </w:p>
    <w:p>
      <w:pPr>
        <w:pStyle w:val="Normal"/>
        <w:jc w:val="right"/>
        <w:rPr>
          <w:sz w:val="28"/>
          <w:szCs w:val="28"/>
        </w:rPr>
      </w:pPr>
      <w:r>
        <w:rPr>
          <w:sz w:val="28"/>
          <w:szCs w:val="28"/>
        </w:rPr>
        <w:t>на плановый период 2022 и 2023 годов»</w:t>
      </w:r>
    </w:p>
    <w:p>
      <w:pPr>
        <w:pStyle w:val="Normal"/>
        <w:jc w:val="both"/>
        <w:rPr>
          <w:b/>
          <w:b/>
          <w:sz w:val="28"/>
          <w:szCs w:val="28"/>
        </w:rPr>
      </w:pPr>
      <w:r>
        <w:rPr>
          <w:b/>
          <w:sz w:val="28"/>
          <w:szCs w:val="28"/>
        </w:rPr>
      </w:r>
    </w:p>
    <w:p>
      <w:pPr>
        <w:pStyle w:val="Normal"/>
        <w:jc w:val="center"/>
        <w:rPr>
          <w:b/>
          <w:b/>
          <w:color w:val="000000"/>
          <w:sz w:val="28"/>
          <w:szCs w:val="28"/>
        </w:rPr>
      </w:pPr>
      <w:r>
        <w:rPr>
          <w:b/>
          <w:color w:val="000000"/>
          <w:sz w:val="28"/>
          <w:szCs w:val="28"/>
        </w:rPr>
        <w:t xml:space="preserve">Распределение иных межбюджетных трансфертов  на 2021 год </w:t>
      </w:r>
    </w:p>
    <w:p>
      <w:pPr>
        <w:pStyle w:val="Normal"/>
        <w:jc w:val="center"/>
        <w:rPr>
          <w:b/>
          <w:b/>
          <w:color w:val="000000"/>
          <w:sz w:val="28"/>
          <w:szCs w:val="28"/>
        </w:rPr>
      </w:pPr>
      <w:r>
        <w:rPr>
          <w:b/>
          <w:color w:val="000000"/>
          <w:sz w:val="28"/>
          <w:szCs w:val="28"/>
        </w:rPr>
        <w:t>и на плановый период 2022 и 2023 годов</w:t>
      </w:r>
    </w:p>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4"/>
          <w:szCs w:val="24"/>
        </w:rPr>
      </w:pPr>
      <w:r>
        <w:rPr>
          <w:b/>
          <w:color w:val="000000"/>
          <w:sz w:val="24"/>
          <w:szCs w:val="24"/>
        </w:rPr>
        <w:t>Таблица 1.                                                                                                                                              (тыс.рублей)</w:t>
      </w:r>
    </w:p>
    <w:tbl>
      <w:tblPr>
        <w:tblW w:w="9923" w:type="dxa"/>
        <w:jc w:val="left"/>
        <w:tblInd w:w="-5" w:type="dxa"/>
        <w:tblLayout w:type="fixed"/>
        <w:tblCellMar>
          <w:top w:w="0" w:type="dxa"/>
          <w:left w:w="108" w:type="dxa"/>
          <w:bottom w:w="0" w:type="dxa"/>
          <w:right w:w="108" w:type="dxa"/>
        </w:tblCellMar>
      </w:tblPr>
      <w:tblGrid>
        <w:gridCol w:w="4111"/>
        <w:gridCol w:w="1985"/>
        <w:gridCol w:w="1984"/>
        <w:gridCol w:w="1843"/>
      </w:tblGrid>
      <w:tr>
        <w:trPr>
          <w:trHeight w:val="964" w:hRule="atLeast"/>
        </w:trPr>
        <w:tc>
          <w:tcPr>
            <w:tcW w:w="41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color w:val="000000"/>
                <w:sz w:val="24"/>
                <w:szCs w:val="24"/>
                <w:lang w:eastAsia="en-US"/>
              </w:rPr>
            </w:pPr>
            <w:r>
              <w:rPr>
                <w:bCs/>
                <w:color w:val="000000"/>
                <w:sz w:val="24"/>
                <w:szCs w:val="24"/>
                <w:lang w:eastAsia="en-US"/>
              </w:rPr>
              <w:t>Наименование</w:t>
            </w:r>
          </w:p>
          <w:p>
            <w:pPr>
              <w:pStyle w:val="Normal"/>
              <w:spacing w:lineRule="auto" w:line="276"/>
              <w:jc w:val="center"/>
              <w:rPr>
                <w:color w:val="000000"/>
                <w:sz w:val="24"/>
                <w:szCs w:val="24"/>
                <w:lang w:eastAsia="en-US"/>
              </w:rPr>
            </w:pPr>
            <w:r>
              <w:rPr>
                <w:bCs/>
                <w:color w:val="000000"/>
                <w:sz w:val="24"/>
                <w:szCs w:val="24"/>
                <w:lang w:eastAsia="en-US"/>
              </w:rPr>
              <w:t>поселения</w:t>
            </w:r>
          </w:p>
        </w:tc>
        <w:tc>
          <w:tcPr>
            <w:tcW w:w="5812"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 xml:space="preserve">Иные межбюджетные трансферты на поддержку мер по обеспечению </w:t>
            </w:r>
          </w:p>
          <w:p>
            <w:pPr>
              <w:pStyle w:val="Normal"/>
              <w:spacing w:lineRule="auto" w:line="276"/>
              <w:jc w:val="center"/>
              <w:rPr>
                <w:color w:val="000000"/>
                <w:sz w:val="24"/>
                <w:szCs w:val="24"/>
                <w:lang w:eastAsia="en-US"/>
              </w:rPr>
            </w:pPr>
            <w:r>
              <w:rPr>
                <w:color w:val="000000"/>
                <w:sz w:val="24"/>
                <w:szCs w:val="24"/>
                <w:lang w:eastAsia="en-US"/>
              </w:rPr>
              <w:t>сбалансированности бюджетов поселений</w:t>
            </w:r>
          </w:p>
        </w:tc>
      </w:tr>
      <w:tr>
        <w:trPr>
          <w:trHeight w:val="315" w:hRule="atLeast"/>
        </w:trPr>
        <w:tc>
          <w:tcPr>
            <w:tcW w:w="41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color w:val="000000"/>
                <w:sz w:val="24"/>
                <w:szCs w:val="24"/>
                <w:lang w:eastAsia="en-US"/>
              </w:rPr>
            </w:pPr>
            <w:r>
              <w:rPr>
                <w:color w:val="000000"/>
                <w:sz w:val="24"/>
                <w:szCs w:val="24"/>
                <w:lang w:eastAsia="en-US"/>
              </w:rPr>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2021 год</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2022 год</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2023 год</w:t>
            </w:r>
          </w:p>
        </w:tc>
      </w:tr>
      <w:tr>
        <w:trPr>
          <w:trHeight w:val="29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Большеустинский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1 588,4</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423,6</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1 874,5</w:t>
            </w:r>
          </w:p>
        </w:tc>
      </w:tr>
      <w:tr>
        <w:trPr>
          <w:trHeight w:val="21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Большерудкинский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1 433,9</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444,7</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1 835,4</w:t>
            </w:r>
          </w:p>
        </w:tc>
      </w:tr>
      <w:tr>
        <w:trPr>
          <w:trHeight w:val="252"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Кушнурский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1 118,9</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34,0</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1 443,5</w:t>
            </w:r>
          </w:p>
        </w:tc>
      </w:tr>
      <w:tr>
        <w:trPr>
          <w:trHeight w:val="299"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Роженцовский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135,0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 xml:space="preserve">194,1 </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570,8</w:t>
            </w:r>
          </w:p>
        </w:tc>
      </w:tr>
      <w:tr>
        <w:trPr>
          <w:trHeight w:val="27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Старорудкинский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1 277,0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396,2</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1 678,7</w:t>
            </w:r>
          </w:p>
        </w:tc>
      </w:tr>
      <w:tr>
        <w:trPr>
          <w:trHeight w:val="221"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Черномужский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104,4</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131,2</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421,4</w:t>
            </w:r>
          </w:p>
        </w:tc>
      </w:tr>
      <w:tr>
        <w:trPr>
          <w:trHeight w:val="184"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Щенниковский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445,8</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87,4</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218,6</w:t>
            </w:r>
          </w:p>
        </w:tc>
      </w:tr>
      <w:tr>
        <w:trPr>
          <w:trHeight w:val="27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р.п. Шаранга</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10 628,5</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2 360,2</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10 297,3</w:t>
            </w:r>
          </w:p>
        </w:tc>
      </w:tr>
      <w:tr>
        <w:trPr>
          <w:trHeight w:val="235" w:hRule="atLeast"/>
        </w:trPr>
        <w:tc>
          <w:tcPr>
            <w:tcW w:w="4111" w:type="dxa"/>
            <w:tcBorders>
              <w:top w:val="single" w:sz="4" w:space="0" w:color="000000"/>
              <w:left w:val="single" w:sz="4" w:space="0" w:color="000000"/>
              <w:bottom w:val="single" w:sz="4" w:space="0" w:color="000000"/>
              <w:right w:val="single" w:sz="4" w:space="0" w:color="000000"/>
            </w:tcBorders>
            <w:vAlign w:val="center"/>
          </w:tcPr>
          <w:p>
            <w:pPr>
              <w:pStyle w:val="4"/>
              <w:spacing w:lineRule="auto" w:line="276" w:before="200" w:after="0"/>
              <w:rPr>
                <w:rFonts w:ascii="Times New Roman" w:hAnsi="Times New Roman" w:cs="Times New Roman"/>
                <w:i w:val="false"/>
                <w:i w:val="false"/>
                <w:color w:val="000000"/>
                <w:lang w:eastAsia="en-US"/>
              </w:rPr>
            </w:pPr>
            <w:r>
              <w:rPr>
                <w:rFonts w:cs="Times New Roman" w:ascii="Times New Roman" w:hAnsi="Times New Roman"/>
                <w:i w:val="false"/>
                <w:color w:val="000000"/>
                <w:lang w:eastAsia="en-US"/>
              </w:rPr>
              <w:t>Всего</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16 731,9</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4 371,4</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18 340,2</w:t>
            </w:r>
          </w:p>
        </w:tc>
      </w:tr>
    </w:tbl>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t>Таблица 2.</w:t>
      </w:r>
    </w:p>
    <w:p>
      <w:pPr>
        <w:pStyle w:val="Normal"/>
        <w:ind w:right="-61" w:hanging="0"/>
        <w:jc w:val="right"/>
        <w:rPr/>
      </w:pPr>
      <w:r>
        <w:rPr/>
        <w:t xml:space="preserve"> </w:t>
      </w:r>
      <w:r>
        <w:rPr/>
        <w:t>тыс.рублей)</w:t>
      </w:r>
    </w:p>
    <w:tbl>
      <w:tblPr>
        <w:tblW w:w="9923" w:type="dxa"/>
        <w:jc w:val="left"/>
        <w:tblInd w:w="-5" w:type="dxa"/>
        <w:tblLayout w:type="fixed"/>
        <w:tblCellMar>
          <w:top w:w="0" w:type="dxa"/>
          <w:left w:w="108" w:type="dxa"/>
          <w:bottom w:w="0" w:type="dxa"/>
          <w:right w:w="108" w:type="dxa"/>
        </w:tblCellMar>
      </w:tblPr>
      <w:tblGrid>
        <w:gridCol w:w="4111"/>
        <w:gridCol w:w="1985"/>
        <w:gridCol w:w="1984"/>
        <w:gridCol w:w="1843"/>
      </w:tblGrid>
      <w:tr>
        <w:trPr>
          <w:trHeight w:val="1008" w:hRule="atLeast"/>
        </w:trPr>
        <w:tc>
          <w:tcPr>
            <w:tcW w:w="41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color w:val="000000"/>
                <w:sz w:val="24"/>
                <w:szCs w:val="24"/>
                <w:lang w:eastAsia="en-US"/>
              </w:rPr>
            </w:pPr>
            <w:r>
              <w:rPr>
                <w:bCs/>
                <w:color w:val="000000"/>
                <w:sz w:val="24"/>
                <w:szCs w:val="24"/>
                <w:lang w:eastAsia="en-US"/>
              </w:rPr>
              <w:t>Наименование</w:t>
            </w:r>
          </w:p>
          <w:p>
            <w:pPr>
              <w:pStyle w:val="Normal"/>
              <w:spacing w:lineRule="auto" w:line="276"/>
              <w:jc w:val="center"/>
              <w:rPr>
                <w:color w:val="000000"/>
                <w:sz w:val="24"/>
                <w:szCs w:val="24"/>
                <w:lang w:eastAsia="en-US"/>
              </w:rPr>
            </w:pPr>
            <w:r>
              <w:rPr>
                <w:bCs/>
                <w:color w:val="000000"/>
                <w:sz w:val="24"/>
                <w:szCs w:val="24"/>
                <w:lang w:eastAsia="en-US"/>
              </w:rPr>
              <w:t>поселения</w:t>
            </w:r>
          </w:p>
        </w:tc>
        <w:tc>
          <w:tcPr>
            <w:tcW w:w="5812"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 xml:space="preserve">Иные межбюджетные трансферты, передаваемые </w:t>
            </w:r>
            <w:r>
              <w:rPr>
                <w:sz w:val="24"/>
                <w:szCs w:val="24"/>
                <w:lang w:eastAsia="en-US"/>
              </w:rPr>
              <w:t>на поддержку программы формирования современной городской среды</w:t>
            </w:r>
          </w:p>
        </w:tc>
      </w:tr>
      <w:tr>
        <w:trPr>
          <w:trHeight w:val="249" w:hRule="atLeast"/>
        </w:trPr>
        <w:tc>
          <w:tcPr>
            <w:tcW w:w="41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color w:val="000000"/>
                <w:sz w:val="24"/>
                <w:szCs w:val="24"/>
                <w:lang w:eastAsia="en-US"/>
              </w:rPr>
            </w:pPr>
            <w:r>
              <w:rPr>
                <w:color w:val="000000"/>
                <w:sz w:val="24"/>
                <w:szCs w:val="24"/>
                <w:lang w:eastAsia="en-US"/>
              </w:rPr>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2021 год</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2022 год</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2023 год</w:t>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Большеустинский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rPr>
                <w:rFonts w:ascii="Calibri" w:hAnsi="Calibri" w:eastAsia="Calibri" w:cs="Calibri"/>
                <w:sz w:val="24"/>
                <w:szCs w:val="24"/>
                <w:lang w:eastAsia="en-US"/>
              </w:rPr>
            </w:pPr>
            <w:r>
              <w:rPr>
                <w:rFonts w:eastAsia="Calibri" w:cs="Calibri" w:ascii="Calibri" w:hAnsi="Calibri"/>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ascii="Calibri" w:hAnsi="Calibri" w:eastAsia="Calibri" w:cs="Calibri"/>
                <w:color w:val="000000"/>
                <w:sz w:val="24"/>
                <w:szCs w:val="24"/>
                <w:lang w:eastAsia="en-US"/>
              </w:rPr>
            </w:pPr>
            <w:r>
              <w:rPr>
                <w:rFonts w:eastAsia="Calibri" w:cs="Calibri" w:ascii="Calibri" w:hAnsi="Calibri"/>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68"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Большерудкинский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9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Кушнурский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92"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Роженцовский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95"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Старорудкинский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4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Черномужский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21"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Щенниковский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95"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р.п. Шаранга</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455,3</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3 121,2</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3 121,2</w:t>
            </w:r>
          </w:p>
        </w:tc>
      </w:tr>
      <w:tr>
        <w:trPr>
          <w:trHeight w:val="416" w:hRule="atLeast"/>
        </w:trPr>
        <w:tc>
          <w:tcPr>
            <w:tcW w:w="4111" w:type="dxa"/>
            <w:tcBorders>
              <w:top w:val="single" w:sz="4" w:space="0" w:color="000000"/>
              <w:left w:val="single" w:sz="4" w:space="0" w:color="000000"/>
              <w:bottom w:val="single" w:sz="4" w:space="0" w:color="000000"/>
              <w:right w:val="single" w:sz="4" w:space="0" w:color="000000"/>
            </w:tcBorders>
            <w:vAlign w:val="center"/>
          </w:tcPr>
          <w:p>
            <w:pPr>
              <w:pStyle w:val="4"/>
              <w:spacing w:lineRule="auto" w:line="276" w:before="200" w:after="0"/>
              <w:rPr>
                <w:rFonts w:ascii="Times New Roman" w:hAnsi="Times New Roman" w:cs="Times New Roman"/>
                <w:i w:val="false"/>
                <w:i w:val="false"/>
                <w:color w:val="000000"/>
                <w:lang w:eastAsia="en-US"/>
              </w:rPr>
            </w:pPr>
            <w:r>
              <w:rPr>
                <w:rFonts w:cs="Times New Roman" w:ascii="Times New Roman" w:hAnsi="Times New Roman"/>
                <w:i w:val="false"/>
                <w:color w:val="000000"/>
                <w:lang w:eastAsia="en-US"/>
              </w:rPr>
              <w:t>Всего</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455,3</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3 121,2</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3 121,2</w:t>
            </w:r>
          </w:p>
        </w:tc>
      </w:tr>
    </w:tbl>
    <w:p>
      <w:pPr>
        <w:pStyle w:val="Normal"/>
        <w:jc w:val="center"/>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t>Таблица 3.</w:t>
      </w:r>
    </w:p>
    <w:p>
      <w:pPr>
        <w:pStyle w:val="Normal"/>
        <w:ind w:right="-61" w:hanging="0"/>
        <w:jc w:val="right"/>
        <w:rPr/>
      </w:pPr>
      <w:r>
        <w:rPr/>
        <w:t xml:space="preserve"> </w:t>
      </w:r>
      <w:r>
        <w:rPr/>
        <w:t>(тыс.рублей)</w:t>
      </w:r>
    </w:p>
    <w:tbl>
      <w:tblPr>
        <w:tblW w:w="9923" w:type="dxa"/>
        <w:jc w:val="left"/>
        <w:tblInd w:w="-5" w:type="dxa"/>
        <w:tblLayout w:type="fixed"/>
        <w:tblCellMar>
          <w:top w:w="0" w:type="dxa"/>
          <w:left w:w="108" w:type="dxa"/>
          <w:bottom w:w="0" w:type="dxa"/>
          <w:right w:w="108" w:type="dxa"/>
        </w:tblCellMar>
      </w:tblPr>
      <w:tblGrid>
        <w:gridCol w:w="4111"/>
        <w:gridCol w:w="1985"/>
        <w:gridCol w:w="1984"/>
        <w:gridCol w:w="1843"/>
      </w:tblGrid>
      <w:tr>
        <w:trPr>
          <w:trHeight w:val="958" w:hRule="atLeast"/>
        </w:trPr>
        <w:tc>
          <w:tcPr>
            <w:tcW w:w="41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color w:val="000000"/>
                <w:sz w:val="24"/>
                <w:szCs w:val="24"/>
                <w:lang w:eastAsia="en-US"/>
              </w:rPr>
            </w:pPr>
            <w:r>
              <w:rPr>
                <w:bCs/>
                <w:color w:val="000000"/>
                <w:sz w:val="24"/>
                <w:szCs w:val="24"/>
                <w:lang w:eastAsia="en-US"/>
              </w:rPr>
              <w:t>Наименование</w:t>
            </w:r>
          </w:p>
          <w:p>
            <w:pPr>
              <w:pStyle w:val="Normal"/>
              <w:spacing w:lineRule="auto" w:line="276"/>
              <w:jc w:val="center"/>
              <w:rPr>
                <w:color w:val="000000"/>
                <w:sz w:val="24"/>
                <w:szCs w:val="24"/>
                <w:lang w:eastAsia="en-US"/>
              </w:rPr>
            </w:pPr>
            <w:r>
              <w:rPr>
                <w:bCs/>
                <w:color w:val="000000"/>
                <w:sz w:val="24"/>
                <w:szCs w:val="24"/>
                <w:lang w:eastAsia="en-US"/>
              </w:rPr>
              <w:t>поселения</w:t>
            </w:r>
          </w:p>
        </w:tc>
        <w:tc>
          <w:tcPr>
            <w:tcW w:w="5812"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 xml:space="preserve">Иные межбюджетные трансферты  на </w:t>
            </w:r>
            <w:r>
              <w:rPr>
                <w:sz w:val="24"/>
                <w:szCs w:val="24"/>
              </w:rPr>
              <w:t>реализацию проектов комплексного развития сельских территорий (сельских агломераций)</w:t>
            </w:r>
          </w:p>
        </w:tc>
      </w:tr>
      <w:tr>
        <w:trPr>
          <w:trHeight w:val="149" w:hRule="atLeast"/>
        </w:trPr>
        <w:tc>
          <w:tcPr>
            <w:tcW w:w="41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color w:val="000000"/>
                <w:sz w:val="24"/>
                <w:szCs w:val="24"/>
                <w:lang w:eastAsia="en-US"/>
              </w:rPr>
            </w:pPr>
            <w:r>
              <w:rPr>
                <w:color w:val="000000"/>
                <w:sz w:val="24"/>
                <w:szCs w:val="24"/>
                <w:lang w:eastAsia="en-US"/>
              </w:rPr>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2021 год</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2022 год</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2023 год</w:t>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Большеустинский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rPr>
                <w:rFonts w:ascii="Calibri" w:hAnsi="Calibri" w:eastAsia="Calibri" w:cs="Calibri"/>
                <w:sz w:val="24"/>
                <w:szCs w:val="24"/>
                <w:lang w:eastAsia="en-US"/>
              </w:rPr>
            </w:pPr>
            <w:r>
              <w:rPr>
                <w:rFonts w:eastAsia="Calibri" w:cs="Calibri" w:ascii="Calibri" w:hAnsi="Calibri"/>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ascii="Calibri" w:hAnsi="Calibri" w:eastAsia="Calibri" w:cs="Calibri"/>
                <w:color w:val="000000"/>
                <w:sz w:val="24"/>
                <w:szCs w:val="24"/>
                <w:lang w:eastAsia="en-US"/>
              </w:rPr>
            </w:pPr>
            <w:r>
              <w:rPr>
                <w:rFonts w:eastAsia="Calibri" w:cs="Calibri" w:ascii="Calibri" w:hAnsi="Calibri"/>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68"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Большерудкинский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45"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Кушнурский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92"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Роженцовский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81"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Старорудкинский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44"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Черномужский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91"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Щенниковский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96"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р.п. Шаранга</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1 455,4</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539" w:hRule="atLeast"/>
        </w:trPr>
        <w:tc>
          <w:tcPr>
            <w:tcW w:w="4111" w:type="dxa"/>
            <w:tcBorders>
              <w:top w:val="single" w:sz="4" w:space="0" w:color="000000"/>
              <w:left w:val="single" w:sz="4" w:space="0" w:color="000000"/>
              <w:bottom w:val="single" w:sz="4" w:space="0" w:color="000000"/>
              <w:right w:val="single" w:sz="4" w:space="0" w:color="000000"/>
            </w:tcBorders>
            <w:vAlign w:val="center"/>
          </w:tcPr>
          <w:p>
            <w:pPr>
              <w:pStyle w:val="4"/>
              <w:spacing w:lineRule="auto" w:line="276" w:before="200" w:after="0"/>
              <w:rPr>
                <w:rFonts w:ascii="Times New Roman" w:hAnsi="Times New Roman" w:cs="Times New Roman"/>
                <w:i w:val="false"/>
                <w:i w:val="false"/>
                <w:color w:val="000000"/>
                <w:lang w:eastAsia="en-US"/>
              </w:rPr>
            </w:pPr>
            <w:r>
              <w:rPr>
                <w:rFonts w:cs="Times New Roman" w:ascii="Times New Roman" w:hAnsi="Times New Roman"/>
                <w:i w:val="false"/>
                <w:color w:val="000000"/>
                <w:lang w:eastAsia="en-US"/>
              </w:rPr>
              <w:t>Всего</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1 455,4</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r>
    </w:tbl>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t>Таблица 4.</w:t>
      </w:r>
    </w:p>
    <w:p>
      <w:pPr>
        <w:pStyle w:val="Normal"/>
        <w:ind w:right="-61" w:hanging="0"/>
        <w:jc w:val="right"/>
        <w:rPr/>
      </w:pPr>
      <w:r>
        <w:rPr/>
        <w:t xml:space="preserve"> </w:t>
      </w:r>
      <w:r>
        <w:rPr/>
        <w:t>(тыс.рублей)</w:t>
      </w:r>
    </w:p>
    <w:tbl>
      <w:tblPr>
        <w:tblW w:w="9923" w:type="dxa"/>
        <w:jc w:val="left"/>
        <w:tblInd w:w="-5" w:type="dxa"/>
        <w:tblLayout w:type="fixed"/>
        <w:tblCellMar>
          <w:top w:w="0" w:type="dxa"/>
          <w:left w:w="108" w:type="dxa"/>
          <w:bottom w:w="0" w:type="dxa"/>
          <w:right w:w="108" w:type="dxa"/>
        </w:tblCellMar>
      </w:tblPr>
      <w:tblGrid>
        <w:gridCol w:w="4111"/>
        <w:gridCol w:w="1985"/>
        <w:gridCol w:w="1984"/>
        <w:gridCol w:w="1843"/>
      </w:tblGrid>
      <w:tr>
        <w:trPr>
          <w:trHeight w:val="940" w:hRule="atLeast"/>
        </w:trPr>
        <w:tc>
          <w:tcPr>
            <w:tcW w:w="41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color w:val="000000"/>
                <w:sz w:val="24"/>
                <w:szCs w:val="24"/>
                <w:lang w:eastAsia="en-US"/>
              </w:rPr>
            </w:pPr>
            <w:r>
              <w:rPr>
                <w:bCs/>
                <w:color w:val="000000"/>
                <w:sz w:val="24"/>
                <w:szCs w:val="24"/>
                <w:lang w:eastAsia="en-US"/>
              </w:rPr>
              <w:t>Наименование</w:t>
            </w:r>
          </w:p>
          <w:p>
            <w:pPr>
              <w:pStyle w:val="Normal"/>
              <w:spacing w:lineRule="auto" w:line="276"/>
              <w:jc w:val="center"/>
              <w:rPr>
                <w:color w:val="000000"/>
                <w:sz w:val="24"/>
                <w:szCs w:val="24"/>
                <w:lang w:eastAsia="en-US"/>
              </w:rPr>
            </w:pPr>
            <w:r>
              <w:rPr>
                <w:bCs/>
                <w:color w:val="000000"/>
                <w:sz w:val="24"/>
                <w:szCs w:val="24"/>
                <w:lang w:eastAsia="en-US"/>
              </w:rPr>
              <w:t>поселения</w:t>
            </w:r>
          </w:p>
        </w:tc>
        <w:tc>
          <w:tcPr>
            <w:tcW w:w="5812"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 xml:space="preserve">Иные межбюджетные трансферты  на </w:t>
            </w:r>
            <w:r>
              <w:rPr>
                <w:sz w:val="24"/>
                <w:szCs w:val="24"/>
              </w:rPr>
              <w:t>капитальный ремонт и ремонт автомобильных дорог общего пользования местного значения</w:t>
            </w:r>
          </w:p>
        </w:tc>
      </w:tr>
      <w:tr>
        <w:trPr>
          <w:trHeight w:val="259" w:hRule="atLeast"/>
        </w:trPr>
        <w:tc>
          <w:tcPr>
            <w:tcW w:w="41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color w:val="000000"/>
                <w:sz w:val="24"/>
                <w:szCs w:val="24"/>
                <w:lang w:eastAsia="en-US"/>
              </w:rPr>
            </w:pPr>
            <w:r>
              <w:rPr>
                <w:color w:val="000000"/>
                <w:sz w:val="24"/>
                <w:szCs w:val="24"/>
                <w:lang w:eastAsia="en-US"/>
              </w:rPr>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2021 год</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2022 год</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2023 год</w:t>
            </w:r>
          </w:p>
        </w:tc>
      </w:tr>
      <w:tr>
        <w:trPr>
          <w:trHeight w:val="208"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Большеустинский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rPr>
                <w:rFonts w:ascii="Calibri" w:hAnsi="Calibri" w:eastAsia="Calibri" w:cs="Calibri"/>
                <w:sz w:val="24"/>
                <w:szCs w:val="24"/>
                <w:lang w:eastAsia="en-US"/>
              </w:rPr>
            </w:pPr>
            <w:r>
              <w:rPr>
                <w:rFonts w:eastAsia="Calibri" w:cs="Calibri" w:ascii="Calibri" w:hAnsi="Calibri"/>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ascii="Calibri" w:hAnsi="Calibri" w:eastAsia="Calibri" w:cs="Calibri"/>
                <w:color w:val="000000"/>
                <w:sz w:val="24"/>
                <w:szCs w:val="24"/>
                <w:lang w:eastAsia="en-US"/>
              </w:rPr>
            </w:pPr>
            <w:r>
              <w:rPr>
                <w:rFonts w:eastAsia="Calibri" w:cs="Calibri" w:ascii="Calibri" w:hAnsi="Calibri"/>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25"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Большерудкинский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74"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Кушнурский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21"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Роженцовский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69"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Старорудкинский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7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Черномужский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21"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Щенниковский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26"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р.п. Шаранга</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12 429,9</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539" w:hRule="atLeast"/>
        </w:trPr>
        <w:tc>
          <w:tcPr>
            <w:tcW w:w="4111" w:type="dxa"/>
            <w:tcBorders>
              <w:top w:val="single" w:sz="4" w:space="0" w:color="000000"/>
              <w:left w:val="single" w:sz="4" w:space="0" w:color="000000"/>
              <w:bottom w:val="single" w:sz="4" w:space="0" w:color="000000"/>
              <w:right w:val="single" w:sz="4" w:space="0" w:color="000000"/>
            </w:tcBorders>
            <w:vAlign w:val="center"/>
          </w:tcPr>
          <w:p>
            <w:pPr>
              <w:pStyle w:val="4"/>
              <w:spacing w:lineRule="auto" w:line="276" w:before="200" w:after="0"/>
              <w:rPr>
                <w:rFonts w:ascii="Times New Roman" w:hAnsi="Times New Roman" w:cs="Times New Roman"/>
                <w:i w:val="false"/>
                <w:i w:val="false"/>
                <w:color w:val="000000"/>
                <w:lang w:eastAsia="en-US"/>
              </w:rPr>
            </w:pPr>
            <w:r>
              <w:rPr>
                <w:rFonts w:cs="Times New Roman" w:ascii="Times New Roman" w:hAnsi="Times New Roman"/>
                <w:i w:val="false"/>
                <w:color w:val="000000"/>
                <w:lang w:eastAsia="en-US"/>
              </w:rPr>
              <w:t>Всего</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12 429,9</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r>
    </w:tbl>
    <w:p>
      <w:pPr>
        <w:pStyle w:val="Normal"/>
        <w:ind w:right="81" w:hanging="0"/>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t>Таблица 5.</w:t>
      </w:r>
    </w:p>
    <w:p>
      <w:pPr>
        <w:pStyle w:val="Normal"/>
        <w:ind w:right="-61" w:hanging="0"/>
        <w:jc w:val="right"/>
        <w:rPr/>
      </w:pPr>
      <w:r>
        <w:rPr/>
        <w:t xml:space="preserve"> </w:t>
      </w:r>
      <w:r>
        <w:rPr/>
        <w:t>(тыс.рублей)</w:t>
      </w:r>
    </w:p>
    <w:tbl>
      <w:tblPr>
        <w:tblW w:w="9923" w:type="dxa"/>
        <w:jc w:val="left"/>
        <w:tblInd w:w="-5" w:type="dxa"/>
        <w:tblLayout w:type="fixed"/>
        <w:tblCellMar>
          <w:top w:w="0" w:type="dxa"/>
          <w:left w:w="108" w:type="dxa"/>
          <w:bottom w:w="0" w:type="dxa"/>
          <w:right w:w="108" w:type="dxa"/>
        </w:tblCellMar>
      </w:tblPr>
      <w:tblGrid>
        <w:gridCol w:w="4111"/>
        <w:gridCol w:w="1985"/>
        <w:gridCol w:w="1984"/>
        <w:gridCol w:w="1843"/>
      </w:tblGrid>
      <w:tr>
        <w:trPr>
          <w:trHeight w:val="551" w:hRule="atLeast"/>
        </w:trPr>
        <w:tc>
          <w:tcPr>
            <w:tcW w:w="41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color w:val="000000"/>
                <w:sz w:val="24"/>
                <w:szCs w:val="24"/>
                <w:lang w:eastAsia="en-US"/>
              </w:rPr>
            </w:pPr>
            <w:r>
              <w:rPr>
                <w:bCs/>
                <w:color w:val="000000"/>
                <w:sz w:val="24"/>
                <w:szCs w:val="24"/>
                <w:lang w:eastAsia="en-US"/>
              </w:rPr>
              <w:t>Наименование</w:t>
            </w:r>
          </w:p>
          <w:p>
            <w:pPr>
              <w:pStyle w:val="Normal"/>
              <w:spacing w:lineRule="auto" w:line="276"/>
              <w:jc w:val="center"/>
              <w:rPr>
                <w:color w:val="000000"/>
                <w:sz w:val="24"/>
                <w:szCs w:val="24"/>
                <w:lang w:eastAsia="en-US"/>
              </w:rPr>
            </w:pPr>
            <w:r>
              <w:rPr>
                <w:bCs/>
                <w:color w:val="000000"/>
                <w:sz w:val="24"/>
                <w:szCs w:val="24"/>
                <w:lang w:eastAsia="en-US"/>
              </w:rPr>
              <w:t>поселения</w:t>
            </w:r>
          </w:p>
        </w:tc>
        <w:tc>
          <w:tcPr>
            <w:tcW w:w="5812"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 xml:space="preserve">Иные межбюджетные трансферты  на </w:t>
            </w:r>
            <w:r>
              <w:rPr>
                <w:sz w:val="24"/>
                <w:szCs w:val="24"/>
              </w:rPr>
              <w:t>снос домов, признанных аварийным жилым фондом</w:t>
            </w:r>
          </w:p>
        </w:tc>
      </w:tr>
      <w:tr>
        <w:trPr>
          <w:trHeight w:val="268" w:hRule="atLeast"/>
        </w:trPr>
        <w:tc>
          <w:tcPr>
            <w:tcW w:w="41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color w:val="000000"/>
                <w:sz w:val="24"/>
                <w:szCs w:val="24"/>
                <w:lang w:eastAsia="en-US"/>
              </w:rPr>
            </w:pPr>
            <w:r>
              <w:rPr>
                <w:color w:val="000000"/>
                <w:sz w:val="24"/>
                <w:szCs w:val="24"/>
                <w:lang w:eastAsia="en-US"/>
              </w:rPr>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2021 год</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2022 год</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2023 год</w:t>
            </w:r>
          </w:p>
        </w:tc>
      </w:tr>
      <w:tr>
        <w:trPr>
          <w:trHeight w:val="244"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Большеустинский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rPr>
                <w:rFonts w:ascii="Calibri" w:hAnsi="Calibri" w:eastAsia="Calibri" w:cs="Calibri"/>
                <w:sz w:val="24"/>
                <w:szCs w:val="24"/>
                <w:lang w:eastAsia="en-US"/>
              </w:rPr>
            </w:pPr>
            <w:r>
              <w:rPr>
                <w:rFonts w:eastAsia="Calibri" w:cs="Calibri" w:ascii="Calibri" w:hAnsi="Calibri"/>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ascii="Calibri" w:hAnsi="Calibri" w:eastAsia="Calibri" w:cs="Calibri"/>
                <w:color w:val="000000"/>
                <w:sz w:val="24"/>
                <w:szCs w:val="24"/>
                <w:lang w:eastAsia="en-US"/>
              </w:rPr>
            </w:pPr>
            <w:r>
              <w:rPr>
                <w:rFonts w:eastAsia="Calibri" w:cs="Calibri" w:ascii="Calibri" w:hAnsi="Calibri"/>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92"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Большерудкинский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9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Кушнурский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44"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Роженцовский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91"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Старорудкинский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10,0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96"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Черномужский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4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Щенниковский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05"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р.п. Шаранга</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100,0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539" w:hRule="atLeast"/>
        </w:trPr>
        <w:tc>
          <w:tcPr>
            <w:tcW w:w="4111" w:type="dxa"/>
            <w:tcBorders>
              <w:top w:val="single" w:sz="4" w:space="0" w:color="000000"/>
              <w:left w:val="single" w:sz="4" w:space="0" w:color="000000"/>
              <w:bottom w:val="single" w:sz="4" w:space="0" w:color="000000"/>
              <w:right w:val="single" w:sz="4" w:space="0" w:color="000000"/>
            </w:tcBorders>
            <w:vAlign w:val="center"/>
          </w:tcPr>
          <w:p>
            <w:pPr>
              <w:pStyle w:val="4"/>
              <w:spacing w:lineRule="auto" w:line="276" w:before="200" w:after="0"/>
              <w:rPr>
                <w:rFonts w:ascii="Times New Roman" w:hAnsi="Times New Roman" w:cs="Times New Roman"/>
                <w:i w:val="false"/>
                <w:i w:val="false"/>
                <w:color w:val="000000"/>
                <w:lang w:eastAsia="en-US"/>
              </w:rPr>
            </w:pPr>
            <w:r>
              <w:rPr>
                <w:rFonts w:cs="Times New Roman" w:ascii="Times New Roman" w:hAnsi="Times New Roman"/>
                <w:i w:val="false"/>
                <w:color w:val="000000"/>
                <w:lang w:eastAsia="en-US"/>
              </w:rPr>
              <w:t>Всего</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110,0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r>
    </w:tbl>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t>Таблица 6.</w:t>
      </w:r>
    </w:p>
    <w:p>
      <w:pPr>
        <w:pStyle w:val="Normal"/>
        <w:ind w:right="-61" w:hanging="0"/>
        <w:jc w:val="right"/>
        <w:rPr/>
      </w:pPr>
      <w:r>
        <w:rPr/>
        <w:t>(тыс.рублей)</w:t>
      </w:r>
    </w:p>
    <w:tbl>
      <w:tblPr>
        <w:tblW w:w="9923" w:type="dxa"/>
        <w:jc w:val="left"/>
        <w:tblInd w:w="-5" w:type="dxa"/>
        <w:tblLayout w:type="fixed"/>
        <w:tblCellMar>
          <w:top w:w="0" w:type="dxa"/>
          <w:left w:w="108" w:type="dxa"/>
          <w:bottom w:w="0" w:type="dxa"/>
          <w:right w:w="108" w:type="dxa"/>
        </w:tblCellMar>
      </w:tblPr>
      <w:tblGrid>
        <w:gridCol w:w="4111"/>
        <w:gridCol w:w="1985"/>
        <w:gridCol w:w="1984"/>
        <w:gridCol w:w="1843"/>
      </w:tblGrid>
      <w:tr>
        <w:trPr>
          <w:trHeight w:val="566" w:hRule="atLeast"/>
        </w:trPr>
        <w:tc>
          <w:tcPr>
            <w:tcW w:w="41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color w:val="000000"/>
                <w:sz w:val="24"/>
                <w:szCs w:val="24"/>
                <w:lang w:eastAsia="en-US"/>
              </w:rPr>
            </w:pPr>
            <w:r>
              <w:rPr>
                <w:bCs/>
                <w:color w:val="000000"/>
                <w:sz w:val="24"/>
                <w:szCs w:val="24"/>
                <w:lang w:eastAsia="en-US"/>
              </w:rPr>
              <w:t>Наименование</w:t>
            </w:r>
          </w:p>
          <w:p>
            <w:pPr>
              <w:pStyle w:val="Normal"/>
              <w:spacing w:lineRule="auto" w:line="276"/>
              <w:jc w:val="center"/>
              <w:rPr>
                <w:color w:val="000000"/>
                <w:sz w:val="24"/>
                <w:szCs w:val="24"/>
                <w:lang w:eastAsia="en-US"/>
              </w:rPr>
            </w:pPr>
            <w:r>
              <w:rPr>
                <w:bCs/>
                <w:color w:val="000000"/>
                <w:sz w:val="24"/>
                <w:szCs w:val="24"/>
                <w:lang w:eastAsia="en-US"/>
              </w:rPr>
              <w:t>поселения</w:t>
            </w:r>
          </w:p>
        </w:tc>
        <w:tc>
          <w:tcPr>
            <w:tcW w:w="5812"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 xml:space="preserve">Иные межбюджетные трансферты  на </w:t>
            </w:r>
            <w:r>
              <w:rPr>
                <w:sz w:val="24"/>
                <w:szCs w:val="24"/>
              </w:rPr>
              <w:t>ремонт тротуаров</w:t>
            </w:r>
          </w:p>
        </w:tc>
      </w:tr>
      <w:tr>
        <w:trPr>
          <w:trHeight w:val="335" w:hRule="atLeast"/>
        </w:trPr>
        <w:tc>
          <w:tcPr>
            <w:tcW w:w="41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color w:val="000000"/>
                <w:sz w:val="24"/>
                <w:szCs w:val="24"/>
                <w:lang w:eastAsia="en-US"/>
              </w:rPr>
            </w:pPr>
            <w:r>
              <w:rPr>
                <w:color w:val="000000"/>
                <w:sz w:val="24"/>
                <w:szCs w:val="24"/>
                <w:lang w:eastAsia="en-US"/>
              </w:rPr>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2021 год</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2022 год</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2023 год</w:t>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Большеустинский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rPr>
                <w:rFonts w:ascii="Calibri" w:hAnsi="Calibri" w:eastAsia="Calibri" w:cs="Calibri"/>
                <w:sz w:val="24"/>
                <w:szCs w:val="24"/>
                <w:lang w:eastAsia="en-US"/>
              </w:rPr>
            </w:pPr>
            <w:r>
              <w:rPr>
                <w:rFonts w:eastAsia="Calibri" w:cs="Calibri" w:ascii="Calibri" w:hAnsi="Calibri"/>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ascii="Calibri" w:hAnsi="Calibri" w:eastAsia="Calibri" w:cs="Calibri"/>
                <w:color w:val="000000"/>
                <w:sz w:val="24"/>
                <w:szCs w:val="24"/>
                <w:lang w:eastAsia="en-US"/>
              </w:rPr>
            </w:pPr>
            <w:r>
              <w:rPr>
                <w:rFonts w:eastAsia="Calibri" w:cs="Calibri" w:ascii="Calibri" w:hAnsi="Calibri"/>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1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Большерудкинский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79"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Кушнурский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2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Роженцовский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32"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Старорудкинский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9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Черномужский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8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Щенниковский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45"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р.п. Шаранга</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1 237,4</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539" w:hRule="atLeast"/>
        </w:trPr>
        <w:tc>
          <w:tcPr>
            <w:tcW w:w="4111" w:type="dxa"/>
            <w:tcBorders>
              <w:top w:val="single" w:sz="4" w:space="0" w:color="000000"/>
              <w:left w:val="single" w:sz="4" w:space="0" w:color="000000"/>
              <w:bottom w:val="single" w:sz="4" w:space="0" w:color="000000"/>
              <w:right w:val="single" w:sz="4" w:space="0" w:color="000000"/>
            </w:tcBorders>
            <w:vAlign w:val="center"/>
          </w:tcPr>
          <w:p>
            <w:pPr>
              <w:pStyle w:val="4"/>
              <w:spacing w:lineRule="auto" w:line="276" w:before="200" w:after="0"/>
              <w:rPr>
                <w:rFonts w:ascii="Times New Roman" w:hAnsi="Times New Roman" w:cs="Times New Roman"/>
                <w:i w:val="false"/>
                <w:i w:val="false"/>
                <w:color w:val="000000"/>
                <w:lang w:eastAsia="en-US"/>
              </w:rPr>
            </w:pPr>
            <w:r>
              <w:rPr>
                <w:rFonts w:cs="Times New Roman" w:ascii="Times New Roman" w:hAnsi="Times New Roman"/>
                <w:i w:val="false"/>
                <w:color w:val="000000"/>
                <w:lang w:eastAsia="en-US"/>
              </w:rPr>
              <w:t>Всего</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1 237,4</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r>
    </w:tbl>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t>Таблица 7.</w:t>
      </w:r>
    </w:p>
    <w:p>
      <w:pPr>
        <w:pStyle w:val="Normal"/>
        <w:ind w:right="-61" w:hanging="0"/>
        <w:jc w:val="right"/>
        <w:rPr/>
      </w:pPr>
      <w:r>
        <w:rPr/>
        <w:t>(тыс.рублей)</w:t>
      </w:r>
    </w:p>
    <w:tbl>
      <w:tblPr>
        <w:tblW w:w="9923" w:type="dxa"/>
        <w:jc w:val="left"/>
        <w:tblInd w:w="-5" w:type="dxa"/>
        <w:tblLayout w:type="fixed"/>
        <w:tblCellMar>
          <w:top w:w="0" w:type="dxa"/>
          <w:left w:w="108" w:type="dxa"/>
          <w:bottom w:w="0" w:type="dxa"/>
          <w:right w:w="108" w:type="dxa"/>
        </w:tblCellMar>
      </w:tblPr>
      <w:tblGrid>
        <w:gridCol w:w="4111"/>
        <w:gridCol w:w="1985"/>
        <w:gridCol w:w="1984"/>
        <w:gridCol w:w="1843"/>
      </w:tblGrid>
      <w:tr>
        <w:trPr>
          <w:trHeight w:val="593" w:hRule="atLeast"/>
        </w:trPr>
        <w:tc>
          <w:tcPr>
            <w:tcW w:w="41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color w:val="000000"/>
                <w:sz w:val="24"/>
                <w:szCs w:val="24"/>
                <w:lang w:eastAsia="en-US"/>
              </w:rPr>
            </w:pPr>
            <w:r>
              <w:rPr>
                <w:bCs/>
                <w:color w:val="000000"/>
                <w:sz w:val="24"/>
                <w:szCs w:val="24"/>
                <w:lang w:eastAsia="en-US"/>
              </w:rPr>
              <w:t>Наименование</w:t>
            </w:r>
          </w:p>
          <w:p>
            <w:pPr>
              <w:pStyle w:val="Normal"/>
              <w:spacing w:lineRule="auto" w:line="276"/>
              <w:jc w:val="center"/>
              <w:rPr>
                <w:color w:val="000000"/>
                <w:sz w:val="24"/>
                <w:szCs w:val="24"/>
                <w:lang w:eastAsia="en-US"/>
              </w:rPr>
            </w:pPr>
            <w:r>
              <w:rPr>
                <w:bCs/>
                <w:color w:val="000000"/>
                <w:sz w:val="24"/>
                <w:szCs w:val="24"/>
                <w:lang w:eastAsia="en-US"/>
              </w:rPr>
              <w:t>поселения</w:t>
            </w:r>
          </w:p>
        </w:tc>
        <w:tc>
          <w:tcPr>
            <w:tcW w:w="5812"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 xml:space="preserve">Иные межбюджетные трансферты  на </w:t>
            </w:r>
            <w:r>
              <w:rPr>
                <w:sz w:val="24"/>
                <w:szCs w:val="24"/>
              </w:rPr>
              <w:t>приобретение автотранспортного средства</w:t>
            </w:r>
          </w:p>
        </w:tc>
      </w:tr>
      <w:tr>
        <w:trPr>
          <w:trHeight w:val="247" w:hRule="atLeast"/>
        </w:trPr>
        <w:tc>
          <w:tcPr>
            <w:tcW w:w="41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color w:val="000000"/>
                <w:sz w:val="24"/>
                <w:szCs w:val="24"/>
                <w:lang w:eastAsia="en-US"/>
              </w:rPr>
            </w:pPr>
            <w:r>
              <w:rPr>
                <w:color w:val="000000"/>
                <w:sz w:val="24"/>
                <w:szCs w:val="24"/>
                <w:lang w:eastAsia="en-US"/>
              </w:rPr>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2021 год</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2022 год</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2023 год</w:t>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Большеустинский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rPr>
                <w:rFonts w:ascii="Calibri" w:hAnsi="Calibri" w:eastAsia="Calibri" w:cs="Calibri"/>
                <w:sz w:val="24"/>
                <w:szCs w:val="24"/>
                <w:lang w:eastAsia="en-US"/>
              </w:rPr>
            </w:pPr>
            <w:r>
              <w:rPr>
                <w:rFonts w:eastAsia="Calibri" w:cs="Calibri" w:ascii="Calibri" w:hAnsi="Calibri"/>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ascii="Calibri" w:hAnsi="Calibri" w:eastAsia="Calibri" w:cs="Calibri"/>
                <w:color w:val="000000"/>
                <w:sz w:val="24"/>
                <w:szCs w:val="24"/>
                <w:lang w:eastAsia="en-US"/>
              </w:rPr>
            </w:pPr>
            <w:r>
              <w:rPr>
                <w:rFonts w:eastAsia="Calibri" w:cs="Calibri" w:ascii="Calibri" w:hAnsi="Calibri"/>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6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Большерудкинский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9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Кушнурский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560,0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Роженцовский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15"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Старорудкинский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06"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Черномужский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81"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Щенниковский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29"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р.п. Шаранга</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539" w:hRule="atLeast"/>
        </w:trPr>
        <w:tc>
          <w:tcPr>
            <w:tcW w:w="4111" w:type="dxa"/>
            <w:tcBorders>
              <w:top w:val="single" w:sz="4" w:space="0" w:color="000000"/>
              <w:left w:val="single" w:sz="4" w:space="0" w:color="000000"/>
              <w:bottom w:val="single" w:sz="4" w:space="0" w:color="000000"/>
              <w:right w:val="single" w:sz="4" w:space="0" w:color="000000"/>
            </w:tcBorders>
            <w:vAlign w:val="center"/>
          </w:tcPr>
          <w:p>
            <w:pPr>
              <w:pStyle w:val="4"/>
              <w:spacing w:lineRule="auto" w:line="276" w:before="200" w:after="0"/>
              <w:rPr>
                <w:rFonts w:ascii="Times New Roman" w:hAnsi="Times New Roman" w:cs="Times New Roman"/>
                <w:i w:val="false"/>
                <w:i w:val="false"/>
                <w:color w:val="000000"/>
                <w:lang w:eastAsia="en-US"/>
              </w:rPr>
            </w:pPr>
            <w:r>
              <w:rPr>
                <w:rFonts w:cs="Times New Roman" w:ascii="Times New Roman" w:hAnsi="Times New Roman"/>
                <w:i w:val="false"/>
                <w:color w:val="000000"/>
                <w:lang w:eastAsia="en-US"/>
              </w:rPr>
              <w:t>Всего</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lang w:eastAsia="en-US"/>
              </w:rPr>
            </w:pPr>
            <w:r>
              <w:rPr>
                <w:b/>
                <w:color w:val="000000"/>
                <w:lang w:eastAsia="en-US"/>
              </w:rPr>
              <w:t>560,0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lang w:eastAsia="en-US"/>
              </w:rPr>
            </w:pPr>
            <w:r>
              <w:rPr>
                <w:b/>
                <w:color w:val="000000"/>
                <w:lang w:eastAsia="en-US"/>
              </w:rPr>
              <w:t>-</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lang w:eastAsia="en-US"/>
              </w:rPr>
            </w:pPr>
            <w:r>
              <w:rPr>
                <w:b/>
                <w:color w:val="000000"/>
                <w:lang w:eastAsia="en-US"/>
              </w:rPr>
              <w:t>-</w:t>
            </w:r>
          </w:p>
        </w:tc>
      </w:tr>
    </w:tbl>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t>Таблица 8.</w:t>
      </w:r>
    </w:p>
    <w:p>
      <w:pPr>
        <w:pStyle w:val="Normal"/>
        <w:ind w:right="-61" w:hanging="0"/>
        <w:jc w:val="right"/>
        <w:rPr/>
      </w:pPr>
      <w:r>
        <w:rPr/>
        <w:t>(тыс.рублей)</w:t>
      </w:r>
    </w:p>
    <w:tbl>
      <w:tblPr>
        <w:tblW w:w="9923" w:type="dxa"/>
        <w:jc w:val="left"/>
        <w:tblInd w:w="-5" w:type="dxa"/>
        <w:tblLayout w:type="fixed"/>
        <w:tblCellMar>
          <w:top w:w="0" w:type="dxa"/>
          <w:left w:w="108" w:type="dxa"/>
          <w:bottom w:w="0" w:type="dxa"/>
          <w:right w:w="108" w:type="dxa"/>
        </w:tblCellMar>
      </w:tblPr>
      <w:tblGrid>
        <w:gridCol w:w="4111"/>
        <w:gridCol w:w="1985"/>
        <w:gridCol w:w="1984"/>
        <w:gridCol w:w="1843"/>
      </w:tblGrid>
      <w:tr>
        <w:trPr>
          <w:trHeight w:val="977" w:hRule="atLeast"/>
        </w:trPr>
        <w:tc>
          <w:tcPr>
            <w:tcW w:w="41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color w:val="000000"/>
                <w:sz w:val="24"/>
                <w:szCs w:val="24"/>
                <w:lang w:eastAsia="en-US"/>
              </w:rPr>
            </w:pPr>
            <w:r>
              <w:rPr>
                <w:bCs/>
                <w:color w:val="000000"/>
                <w:sz w:val="24"/>
                <w:szCs w:val="24"/>
                <w:lang w:eastAsia="en-US"/>
              </w:rPr>
              <w:t>Наименование</w:t>
            </w:r>
          </w:p>
          <w:p>
            <w:pPr>
              <w:pStyle w:val="Normal"/>
              <w:spacing w:lineRule="auto" w:line="276"/>
              <w:jc w:val="center"/>
              <w:rPr>
                <w:color w:val="000000"/>
                <w:sz w:val="24"/>
                <w:szCs w:val="24"/>
                <w:lang w:eastAsia="en-US"/>
              </w:rPr>
            </w:pPr>
            <w:r>
              <w:rPr>
                <w:bCs/>
                <w:color w:val="000000"/>
                <w:sz w:val="24"/>
                <w:szCs w:val="24"/>
                <w:lang w:eastAsia="en-US"/>
              </w:rPr>
              <w:t>поселения</w:t>
            </w:r>
          </w:p>
        </w:tc>
        <w:tc>
          <w:tcPr>
            <w:tcW w:w="5812"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 xml:space="preserve">Иные межбюджетные трансферты  на </w:t>
            </w:r>
            <w:r>
              <w:rPr>
                <w:sz w:val="24"/>
                <w:szCs w:val="24"/>
              </w:rPr>
              <w:t xml:space="preserve">реализацию проекта инициативного бюджетирования                         «Вам решать» </w:t>
            </w:r>
          </w:p>
        </w:tc>
      </w:tr>
      <w:tr>
        <w:trPr>
          <w:trHeight w:val="268" w:hRule="atLeast"/>
        </w:trPr>
        <w:tc>
          <w:tcPr>
            <w:tcW w:w="41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color w:val="000000"/>
                <w:sz w:val="24"/>
                <w:szCs w:val="24"/>
                <w:lang w:eastAsia="en-US"/>
              </w:rPr>
            </w:pPr>
            <w:r>
              <w:rPr>
                <w:color w:val="000000"/>
                <w:sz w:val="24"/>
                <w:szCs w:val="24"/>
                <w:lang w:eastAsia="en-US"/>
              </w:rPr>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2021 год</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2022 год</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lang w:eastAsia="en-US"/>
              </w:rPr>
            </w:pPr>
            <w:r>
              <w:rPr>
                <w:color w:val="000000"/>
                <w:lang w:eastAsia="en-US"/>
              </w:rPr>
              <w:t>2023 год</w:t>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Большеустинский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rFonts w:eastAsia="Calibri"/>
                <w:sz w:val="24"/>
                <w:szCs w:val="24"/>
                <w:lang w:eastAsia="en-US"/>
              </w:rPr>
            </w:pPr>
            <w:r>
              <w:rPr>
                <w:rFonts w:eastAsia="Calibri"/>
                <w:sz w:val="24"/>
                <w:szCs w:val="24"/>
                <w:lang w:eastAsia="en-US"/>
              </w:rPr>
              <w:t>2 179,1</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eastAsia="Calibri"/>
                <w:color w:val="000000"/>
                <w:sz w:val="24"/>
                <w:szCs w:val="24"/>
                <w:lang w:eastAsia="en-US"/>
              </w:rPr>
            </w:pPr>
            <w:r>
              <w:rPr>
                <w:rFonts w:eastAsia="Calibri"/>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64"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Большерудкинский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974,3</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9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Кушнурский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200,0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Роженцовский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1 777,5</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05"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Старорудкинский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824,8</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54"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Черномужский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904,7</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15"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Щенниковский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05"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р.п. Шаранга</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2 852,2</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539" w:hRule="atLeast"/>
        </w:trPr>
        <w:tc>
          <w:tcPr>
            <w:tcW w:w="4111" w:type="dxa"/>
            <w:tcBorders>
              <w:top w:val="single" w:sz="4" w:space="0" w:color="000000"/>
              <w:left w:val="single" w:sz="4" w:space="0" w:color="000000"/>
              <w:bottom w:val="single" w:sz="4" w:space="0" w:color="000000"/>
              <w:right w:val="single" w:sz="4" w:space="0" w:color="000000"/>
            </w:tcBorders>
            <w:vAlign w:val="center"/>
          </w:tcPr>
          <w:p>
            <w:pPr>
              <w:pStyle w:val="4"/>
              <w:spacing w:lineRule="auto" w:line="276" w:before="200" w:after="0"/>
              <w:rPr>
                <w:rFonts w:ascii="Times New Roman" w:hAnsi="Times New Roman" w:cs="Times New Roman"/>
                <w:i w:val="false"/>
                <w:i w:val="false"/>
                <w:color w:val="000000"/>
                <w:lang w:eastAsia="en-US"/>
              </w:rPr>
            </w:pPr>
            <w:r>
              <w:rPr>
                <w:rFonts w:cs="Times New Roman" w:ascii="Times New Roman" w:hAnsi="Times New Roman"/>
                <w:i w:val="false"/>
                <w:color w:val="000000"/>
                <w:lang w:eastAsia="en-US"/>
              </w:rPr>
              <w:t>Всего</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9 712,6</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lang w:eastAsia="en-US"/>
              </w:rPr>
            </w:pPr>
            <w:r>
              <w:rPr>
                <w:b/>
                <w:color w:val="000000"/>
                <w:lang w:eastAsia="en-US"/>
              </w:rPr>
              <w:t>-</w:t>
            </w:r>
          </w:p>
        </w:tc>
      </w:tr>
    </w:tbl>
    <w:p>
      <w:pPr>
        <w:pStyle w:val="Normal"/>
        <w:ind w:right="81" w:hanging="0"/>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t>Таблица 9</w:t>
      </w:r>
    </w:p>
    <w:p>
      <w:pPr>
        <w:pStyle w:val="Normal"/>
        <w:ind w:right="81" w:hanging="0"/>
        <w:jc w:val="right"/>
        <w:rPr>
          <w:b/>
          <w:b/>
          <w:color w:val="000000"/>
          <w:sz w:val="24"/>
          <w:szCs w:val="24"/>
        </w:rPr>
      </w:pPr>
      <w:r>
        <w:rPr>
          <w:b/>
          <w:color w:val="000000"/>
          <w:sz w:val="24"/>
          <w:szCs w:val="24"/>
        </w:rPr>
        <w:t>(тыс.рублей)</w:t>
      </w:r>
    </w:p>
    <w:tbl>
      <w:tblPr>
        <w:tblW w:w="9923" w:type="dxa"/>
        <w:jc w:val="left"/>
        <w:tblInd w:w="-5" w:type="dxa"/>
        <w:tblLayout w:type="fixed"/>
        <w:tblCellMar>
          <w:top w:w="0" w:type="dxa"/>
          <w:left w:w="108" w:type="dxa"/>
          <w:bottom w:w="0" w:type="dxa"/>
          <w:right w:w="108" w:type="dxa"/>
        </w:tblCellMar>
      </w:tblPr>
      <w:tblGrid>
        <w:gridCol w:w="4111"/>
        <w:gridCol w:w="1985"/>
        <w:gridCol w:w="1984"/>
        <w:gridCol w:w="1843"/>
      </w:tblGrid>
      <w:tr>
        <w:trPr>
          <w:trHeight w:val="667" w:hRule="atLeast"/>
        </w:trPr>
        <w:tc>
          <w:tcPr>
            <w:tcW w:w="41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color w:val="000000"/>
                <w:sz w:val="24"/>
                <w:szCs w:val="24"/>
                <w:lang w:eastAsia="en-US"/>
              </w:rPr>
            </w:pPr>
            <w:r>
              <w:rPr>
                <w:bCs/>
                <w:color w:val="000000"/>
                <w:sz w:val="24"/>
                <w:szCs w:val="24"/>
                <w:lang w:eastAsia="en-US"/>
              </w:rPr>
              <w:t>Наименование</w:t>
            </w:r>
          </w:p>
          <w:p>
            <w:pPr>
              <w:pStyle w:val="Normal"/>
              <w:spacing w:lineRule="auto" w:line="276"/>
              <w:jc w:val="center"/>
              <w:rPr>
                <w:color w:val="000000"/>
                <w:sz w:val="24"/>
                <w:szCs w:val="24"/>
                <w:lang w:eastAsia="en-US"/>
              </w:rPr>
            </w:pPr>
            <w:r>
              <w:rPr>
                <w:bCs/>
                <w:color w:val="000000"/>
                <w:sz w:val="24"/>
                <w:szCs w:val="24"/>
                <w:lang w:eastAsia="en-US"/>
              </w:rPr>
              <w:t>поселения</w:t>
            </w:r>
          </w:p>
        </w:tc>
        <w:tc>
          <w:tcPr>
            <w:tcW w:w="5812"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 xml:space="preserve">Иные межбюджетные трансферты  на </w:t>
            </w:r>
            <w:r>
              <w:rPr>
                <w:sz w:val="24"/>
                <w:szCs w:val="24"/>
              </w:rPr>
              <w:t xml:space="preserve">ремонт пожарного автомобиля </w:t>
            </w:r>
          </w:p>
        </w:tc>
      </w:tr>
      <w:tr>
        <w:trPr>
          <w:trHeight w:val="265" w:hRule="atLeast"/>
        </w:trPr>
        <w:tc>
          <w:tcPr>
            <w:tcW w:w="41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color w:val="000000"/>
                <w:sz w:val="24"/>
                <w:szCs w:val="24"/>
                <w:lang w:eastAsia="en-US"/>
              </w:rPr>
            </w:pPr>
            <w:r>
              <w:rPr>
                <w:color w:val="000000"/>
                <w:sz w:val="24"/>
                <w:szCs w:val="24"/>
                <w:lang w:eastAsia="en-US"/>
              </w:rPr>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2021 год</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2022 год</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2023 год</w:t>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Большеустинский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eastAsia="Calibri"/>
                <w:sz w:val="24"/>
                <w:szCs w:val="24"/>
                <w:lang w:eastAsia="en-US"/>
              </w:rPr>
            </w:pPr>
            <w:r>
              <w:rPr>
                <w:rFonts w:eastAsia="Calibri"/>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eastAsia="Calibri"/>
                <w:color w:val="000000"/>
                <w:sz w:val="24"/>
                <w:szCs w:val="24"/>
                <w:lang w:eastAsia="en-US"/>
              </w:rPr>
            </w:pPr>
            <w:r>
              <w:rPr>
                <w:rFonts w:eastAsia="Calibri"/>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6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Большерудкинский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9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Кушнурский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Роженцовский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36"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Старорудкинский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8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Черномужский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32"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Щенниковский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115,0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50"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р.п. Шаранга</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539" w:hRule="atLeast"/>
        </w:trPr>
        <w:tc>
          <w:tcPr>
            <w:tcW w:w="4111" w:type="dxa"/>
            <w:tcBorders>
              <w:top w:val="single" w:sz="4" w:space="0" w:color="000000"/>
              <w:left w:val="single" w:sz="4" w:space="0" w:color="000000"/>
              <w:bottom w:val="single" w:sz="4" w:space="0" w:color="000000"/>
              <w:right w:val="single" w:sz="4" w:space="0" w:color="000000"/>
            </w:tcBorders>
            <w:vAlign w:val="center"/>
          </w:tcPr>
          <w:p>
            <w:pPr>
              <w:pStyle w:val="4"/>
              <w:spacing w:lineRule="auto" w:line="276" w:before="200" w:after="0"/>
              <w:rPr>
                <w:rFonts w:ascii="Times New Roman" w:hAnsi="Times New Roman" w:cs="Times New Roman"/>
                <w:i w:val="false"/>
                <w:i w:val="false"/>
                <w:color w:val="000000"/>
                <w:lang w:eastAsia="en-US"/>
              </w:rPr>
            </w:pPr>
            <w:r>
              <w:rPr>
                <w:rFonts w:cs="Times New Roman" w:ascii="Times New Roman" w:hAnsi="Times New Roman"/>
                <w:i w:val="false"/>
                <w:color w:val="000000"/>
                <w:lang w:eastAsia="en-US"/>
              </w:rPr>
              <w:t>Всего</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115,0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r>
    </w:tbl>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t>Таблица 10.</w:t>
      </w:r>
    </w:p>
    <w:p>
      <w:pPr>
        <w:pStyle w:val="Normal"/>
        <w:ind w:right="-61" w:hanging="0"/>
        <w:jc w:val="right"/>
        <w:rPr/>
      </w:pPr>
      <w:r>
        <w:rPr/>
        <w:t xml:space="preserve"> </w:t>
      </w:r>
      <w:r>
        <w:rPr/>
        <w:t>(тыс.рублей)</w:t>
      </w:r>
    </w:p>
    <w:tbl>
      <w:tblPr>
        <w:tblW w:w="9923" w:type="dxa"/>
        <w:jc w:val="left"/>
        <w:tblInd w:w="-5" w:type="dxa"/>
        <w:tblLayout w:type="fixed"/>
        <w:tblCellMar>
          <w:top w:w="0" w:type="dxa"/>
          <w:left w:w="108" w:type="dxa"/>
          <w:bottom w:w="0" w:type="dxa"/>
          <w:right w:w="108" w:type="dxa"/>
        </w:tblCellMar>
      </w:tblPr>
      <w:tblGrid>
        <w:gridCol w:w="4111"/>
        <w:gridCol w:w="1985"/>
        <w:gridCol w:w="1984"/>
        <w:gridCol w:w="1843"/>
      </w:tblGrid>
      <w:tr>
        <w:trPr>
          <w:trHeight w:val="481" w:hRule="atLeast"/>
        </w:trPr>
        <w:tc>
          <w:tcPr>
            <w:tcW w:w="41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color w:val="000000"/>
                <w:sz w:val="24"/>
                <w:szCs w:val="24"/>
                <w:lang w:eastAsia="en-US"/>
              </w:rPr>
            </w:pPr>
            <w:r>
              <w:rPr>
                <w:bCs/>
                <w:color w:val="000000"/>
                <w:sz w:val="24"/>
                <w:szCs w:val="24"/>
                <w:lang w:eastAsia="en-US"/>
              </w:rPr>
              <w:t>Наименование</w:t>
            </w:r>
          </w:p>
          <w:p>
            <w:pPr>
              <w:pStyle w:val="Normal"/>
              <w:spacing w:lineRule="auto" w:line="276"/>
              <w:jc w:val="center"/>
              <w:rPr>
                <w:color w:val="000000"/>
                <w:sz w:val="24"/>
                <w:szCs w:val="24"/>
                <w:lang w:eastAsia="en-US"/>
              </w:rPr>
            </w:pPr>
            <w:r>
              <w:rPr>
                <w:bCs/>
                <w:color w:val="000000"/>
                <w:sz w:val="24"/>
                <w:szCs w:val="24"/>
                <w:lang w:eastAsia="en-US"/>
              </w:rPr>
              <w:t>поселения</w:t>
            </w:r>
          </w:p>
        </w:tc>
        <w:tc>
          <w:tcPr>
            <w:tcW w:w="5812"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Иные межбюджетные трансферты  на ремонт здания</w:t>
            </w:r>
          </w:p>
        </w:tc>
      </w:tr>
      <w:tr>
        <w:trPr>
          <w:trHeight w:val="275" w:hRule="atLeast"/>
        </w:trPr>
        <w:tc>
          <w:tcPr>
            <w:tcW w:w="41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color w:val="000000"/>
                <w:sz w:val="24"/>
                <w:szCs w:val="24"/>
                <w:lang w:eastAsia="en-US"/>
              </w:rPr>
            </w:pPr>
            <w:r>
              <w:rPr>
                <w:color w:val="000000"/>
                <w:sz w:val="24"/>
                <w:szCs w:val="24"/>
                <w:lang w:eastAsia="en-US"/>
              </w:rPr>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2021 год</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2022 год</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2023 год</w:t>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Большеустинский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eastAsia="Calibri"/>
                <w:sz w:val="24"/>
                <w:szCs w:val="24"/>
                <w:lang w:eastAsia="en-US"/>
              </w:rPr>
            </w:pPr>
            <w:r>
              <w:rPr>
                <w:rFonts w:eastAsia="Calibri"/>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eastAsia="Calibri"/>
                <w:color w:val="000000"/>
                <w:sz w:val="24"/>
                <w:szCs w:val="24"/>
                <w:lang w:eastAsia="en-US"/>
              </w:rPr>
            </w:pPr>
            <w:r>
              <w:rPr>
                <w:rFonts w:eastAsia="Calibri"/>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6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Большерудкинский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9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Кушнурский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Роженцовский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79"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Старорудкинский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2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Черномужский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60,0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90"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Щенниковский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41"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р.п. Шаранга</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68" w:hRule="atLeast"/>
        </w:trPr>
        <w:tc>
          <w:tcPr>
            <w:tcW w:w="4111" w:type="dxa"/>
            <w:tcBorders>
              <w:top w:val="single" w:sz="4" w:space="0" w:color="000000"/>
              <w:left w:val="single" w:sz="4" w:space="0" w:color="000000"/>
              <w:bottom w:val="single" w:sz="4" w:space="0" w:color="000000"/>
              <w:right w:val="single" w:sz="4" w:space="0" w:color="000000"/>
            </w:tcBorders>
            <w:vAlign w:val="center"/>
          </w:tcPr>
          <w:p>
            <w:pPr>
              <w:pStyle w:val="4"/>
              <w:spacing w:lineRule="auto" w:line="276" w:before="200" w:after="0"/>
              <w:rPr>
                <w:rFonts w:ascii="Times New Roman" w:hAnsi="Times New Roman" w:cs="Times New Roman"/>
                <w:i w:val="false"/>
                <w:i w:val="false"/>
                <w:color w:val="000000"/>
                <w:lang w:eastAsia="en-US"/>
              </w:rPr>
            </w:pPr>
            <w:r>
              <w:rPr>
                <w:rFonts w:cs="Times New Roman" w:ascii="Times New Roman" w:hAnsi="Times New Roman"/>
                <w:i w:val="false"/>
                <w:color w:val="000000"/>
                <w:lang w:eastAsia="en-US"/>
              </w:rPr>
              <w:t>Всего</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60,0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r>
    </w:tbl>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t>Таблица 11.</w:t>
      </w:r>
    </w:p>
    <w:p>
      <w:pPr>
        <w:pStyle w:val="Normal"/>
        <w:ind w:right="-61" w:hanging="0"/>
        <w:jc w:val="right"/>
        <w:rPr/>
      </w:pPr>
      <w:r>
        <w:rPr/>
        <w:t>(тыс.рублей)</w:t>
      </w:r>
    </w:p>
    <w:tbl>
      <w:tblPr>
        <w:tblW w:w="9923" w:type="dxa"/>
        <w:jc w:val="left"/>
        <w:tblInd w:w="-5" w:type="dxa"/>
        <w:tblLayout w:type="fixed"/>
        <w:tblCellMar>
          <w:top w:w="0" w:type="dxa"/>
          <w:left w:w="108" w:type="dxa"/>
          <w:bottom w:w="0" w:type="dxa"/>
          <w:right w:w="108" w:type="dxa"/>
        </w:tblCellMar>
      </w:tblPr>
      <w:tblGrid>
        <w:gridCol w:w="4111"/>
        <w:gridCol w:w="1985"/>
        <w:gridCol w:w="1984"/>
        <w:gridCol w:w="1843"/>
      </w:tblGrid>
      <w:tr>
        <w:trPr>
          <w:trHeight w:val="693" w:hRule="atLeast"/>
        </w:trPr>
        <w:tc>
          <w:tcPr>
            <w:tcW w:w="41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color w:val="000000"/>
                <w:sz w:val="24"/>
                <w:szCs w:val="24"/>
                <w:lang w:eastAsia="en-US"/>
              </w:rPr>
            </w:pPr>
            <w:r>
              <w:rPr>
                <w:bCs/>
                <w:color w:val="000000"/>
                <w:sz w:val="24"/>
                <w:szCs w:val="24"/>
                <w:lang w:eastAsia="en-US"/>
              </w:rPr>
              <w:t>Наименование</w:t>
            </w:r>
          </w:p>
          <w:p>
            <w:pPr>
              <w:pStyle w:val="Normal"/>
              <w:spacing w:lineRule="auto" w:line="276"/>
              <w:jc w:val="center"/>
              <w:rPr>
                <w:color w:val="000000"/>
                <w:sz w:val="24"/>
                <w:szCs w:val="24"/>
                <w:lang w:eastAsia="en-US"/>
              </w:rPr>
            </w:pPr>
            <w:r>
              <w:rPr>
                <w:bCs/>
                <w:color w:val="000000"/>
                <w:sz w:val="24"/>
                <w:szCs w:val="24"/>
                <w:lang w:eastAsia="en-US"/>
              </w:rPr>
              <w:t>поселения</w:t>
            </w:r>
          </w:p>
        </w:tc>
        <w:tc>
          <w:tcPr>
            <w:tcW w:w="5812"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Иные межбюджетные трансферты  на приобретение контейнеров</w:t>
            </w:r>
          </w:p>
        </w:tc>
      </w:tr>
      <w:tr>
        <w:trPr>
          <w:trHeight w:val="268" w:hRule="atLeast"/>
        </w:trPr>
        <w:tc>
          <w:tcPr>
            <w:tcW w:w="41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color w:val="000000"/>
                <w:sz w:val="24"/>
                <w:szCs w:val="24"/>
                <w:lang w:eastAsia="en-US"/>
              </w:rPr>
            </w:pPr>
            <w:r>
              <w:rPr>
                <w:color w:val="000000"/>
                <w:sz w:val="24"/>
                <w:szCs w:val="24"/>
                <w:lang w:eastAsia="en-US"/>
              </w:rPr>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2021 год</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2022 год</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2023 год</w:t>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Большеустинский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rFonts w:eastAsia="Calibri"/>
                <w:sz w:val="24"/>
                <w:szCs w:val="24"/>
                <w:lang w:eastAsia="en-US"/>
              </w:rPr>
            </w:pPr>
            <w:r>
              <w:rPr>
                <w:color w:val="000000"/>
                <w:sz w:val="24"/>
                <w:szCs w:val="24"/>
                <w:lang w:eastAsia="en-US"/>
              </w:rPr>
              <w:t>24,4</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eastAsia="Calibri"/>
                <w:color w:val="000000"/>
                <w:sz w:val="24"/>
                <w:szCs w:val="24"/>
                <w:lang w:eastAsia="en-US"/>
              </w:rPr>
            </w:pPr>
            <w:r>
              <w:rPr>
                <w:rFonts w:eastAsia="Calibri"/>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6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Большерудкинский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24,4</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9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Кушнурский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24,4</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Роженцовский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24,4</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11"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Старорудкинский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24,4</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0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Черномужский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24,3</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96"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Щенниковский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24,3</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7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р.п. Шаранга</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539" w:hRule="atLeast"/>
        </w:trPr>
        <w:tc>
          <w:tcPr>
            <w:tcW w:w="4111" w:type="dxa"/>
            <w:tcBorders>
              <w:top w:val="single" w:sz="4" w:space="0" w:color="000000"/>
              <w:left w:val="single" w:sz="4" w:space="0" w:color="000000"/>
              <w:bottom w:val="single" w:sz="4" w:space="0" w:color="000000"/>
              <w:right w:val="single" w:sz="4" w:space="0" w:color="000000"/>
            </w:tcBorders>
            <w:vAlign w:val="center"/>
          </w:tcPr>
          <w:p>
            <w:pPr>
              <w:pStyle w:val="4"/>
              <w:spacing w:lineRule="auto" w:line="276" w:before="200" w:after="0"/>
              <w:rPr>
                <w:rFonts w:ascii="Times New Roman" w:hAnsi="Times New Roman" w:cs="Times New Roman"/>
                <w:i w:val="false"/>
                <w:i w:val="false"/>
                <w:color w:val="000000"/>
                <w:lang w:eastAsia="en-US"/>
              </w:rPr>
            </w:pPr>
            <w:r>
              <w:rPr>
                <w:rFonts w:cs="Times New Roman" w:ascii="Times New Roman" w:hAnsi="Times New Roman"/>
                <w:i w:val="false"/>
                <w:color w:val="000000"/>
                <w:lang w:eastAsia="en-US"/>
              </w:rPr>
              <w:t>Всего</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170,6</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r>
    </w:tbl>
    <w:p>
      <w:pPr>
        <w:pStyle w:val="Normal"/>
        <w:rPr>
          <w:sz w:val="24"/>
          <w:szCs w:val="24"/>
        </w:rPr>
      </w:pPr>
      <w:r>
        <w:rPr>
          <w:sz w:val="24"/>
          <w:szCs w:val="24"/>
        </w:rPr>
      </w:r>
    </w:p>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t>Таблица 12.</w:t>
      </w:r>
    </w:p>
    <w:p>
      <w:pPr>
        <w:pStyle w:val="Normal"/>
        <w:ind w:right="-61" w:hanging="0"/>
        <w:jc w:val="right"/>
        <w:rPr/>
      </w:pPr>
      <w:r>
        <w:rPr/>
        <w:t>(тыс.рублей)</w:t>
      </w:r>
    </w:p>
    <w:tbl>
      <w:tblPr>
        <w:tblW w:w="9923" w:type="dxa"/>
        <w:jc w:val="left"/>
        <w:tblInd w:w="-5" w:type="dxa"/>
        <w:tblLayout w:type="fixed"/>
        <w:tblCellMar>
          <w:top w:w="0" w:type="dxa"/>
          <w:left w:w="108" w:type="dxa"/>
          <w:bottom w:w="0" w:type="dxa"/>
          <w:right w:w="108" w:type="dxa"/>
        </w:tblCellMar>
      </w:tblPr>
      <w:tblGrid>
        <w:gridCol w:w="4111"/>
        <w:gridCol w:w="1985"/>
        <w:gridCol w:w="1984"/>
        <w:gridCol w:w="1843"/>
      </w:tblGrid>
      <w:tr>
        <w:trPr>
          <w:trHeight w:val="693" w:hRule="atLeast"/>
        </w:trPr>
        <w:tc>
          <w:tcPr>
            <w:tcW w:w="41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color w:val="000000"/>
                <w:sz w:val="24"/>
                <w:szCs w:val="24"/>
                <w:lang w:eastAsia="en-US"/>
              </w:rPr>
            </w:pPr>
            <w:r>
              <w:rPr>
                <w:bCs/>
                <w:color w:val="000000"/>
                <w:sz w:val="24"/>
                <w:szCs w:val="24"/>
                <w:lang w:eastAsia="en-US"/>
              </w:rPr>
              <w:t>Наименование</w:t>
            </w:r>
          </w:p>
          <w:p>
            <w:pPr>
              <w:pStyle w:val="Normal"/>
              <w:spacing w:lineRule="auto" w:line="276"/>
              <w:jc w:val="center"/>
              <w:rPr>
                <w:color w:val="000000"/>
                <w:sz w:val="24"/>
                <w:szCs w:val="24"/>
                <w:lang w:eastAsia="en-US"/>
              </w:rPr>
            </w:pPr>
            <w:r>
              <w:rPr>
                <w:bCs/>
                <w:color w:val="000000"/>
                <w:sz w:val="24"/>
                <w:szCs w:val="24"/>
                <w:lang w:eastAsia="en-US"/>
              </w:rPr>
              <w:t>поселения</w:t>
            </w:r>
          </w:p>
        </w:tc>
        <w:tc>
          <w:tcPr>
            <w:tcW w:w="5812"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Иные межбюджетные трансферты  на расходы по оплате труда отдельным категориям работников муниципальных учреждений и органов местного самоуправления</w:t>
            </w:r>
          </w:p>
        </w:tc>
      </w:tr>
      <w:tr>
        <w:trPr>
          <w:trHeight w:val="268" w:hRule="atLeast"/>
        </w:trPr>
        <w:tc>
          <w:tcPr>
            <w:tcW w:w="41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color w:val="000000"/>
                <w:sz w:val="24"/>
                <w:szCs w:val="24"/>
                <w:lang w:eastAsia="en-US"/>
              </w:rPr>
            </w:pPr>
            <w:r>
              <w:rPr>
                <w:color w:val="000000"/>
                <w:sz w:val="24"/>
                <w:szCs w:val="24"/>
                <w:lang w:eastAsia="en-US"/>
              </w:rPr>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2021 год</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2022 год</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2023 год</w:t>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Большеустинский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rFonts w:eastAsia="Calibri"/>
                <w:sz w:val="24"/>
                <w:szCs w:val="24"/>
                <w:lang w:eastAsia="en-US"/>
              </w:rPr>
            </w:pPr>
            <w:r>
              <w:rPr>
                <w:color w:val="000000"/>
                <w:sz w:val="24"/>
                <w:szCs w:val="24"/>
                <w:lang w:eastAsia="en-US"/>
              </w:rPr>
              <w:t>64,7</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eastAsia="Calibri"/>
                <w:color w:val="000000"/>
                <w:sz w:val="24"/>
                <w:szCs w:val="24"/>
                <w:lang w:eastAsia="en-US"/>
              </w:rPr>
            </w:pPr>
            <w:r>
              <w:rPr>
                <w:rFonts w:eastAsia="Calibri"/>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6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Большерудкинский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87,9</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9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Кушнурский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54,3</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Роженцовский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67,3</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11"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Старорудкинский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107,5</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0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Черномужский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15,5</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96"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Щенниковский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54,3</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7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р.п. Шаранга</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155,2</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539" w:hRule="atLeast"/>
        </w:trPr>
        <w:tc>
          <w:tcPr>
            <w:tcW w:w="4111" w:type="dxa"/>
            <w:tcBorders>
              <w:top w:val="single" w:sz="4" w:space="0" w:color="000000"/>
              <w:left w:val="single" w:sz="4" w:space="0" w:color="000000"/>
              <w:bottom w:val="single" w:sz="4" w:space="0" w:color="000000"/>
              <w:right w:val="single" w:sz="4" w:space="0" w:color="000000"/>
            </w:tcBorders>
            <w:vAlign w:val="center"/>
          </w:tcPr>
          <w:p>
            <w:pPr>
              <w:pStyle w:val="4"/>
              <w:spacing w:lineRule="auto" w:line="276" w:before="200" w:after="0"/>
              <w:rPr>
                <w:rFonts w:ascii="Times New Roman" w:hAnsi="Times New Roman" w:cs="Times New Roman"/>
                <w:i w:val="false"/>
                <w:i w:val="false"/>
                <w:color w:val="000000"/>
                <w:lang w:eastAsia="en-US"/>
              </w:rPr>
            </w:pPr>
            <w:r>
              <w:rPr>
                <w:rFonts w:cs="Times New Roman" w:ascii="Times New Roman" w:hAnsi="Times New Roman"/>
                <w:i w:val="false"/>
                <w:color w:val="000000"/>
                <w:lang w:eastAsia="en-US"/>
              </w:rPr>
              <w:t>Всего</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606,7</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r>
    </w:tbl>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t>Таблица 13.</w:t>
      </w:r>
    </w:p>
    <w:p>
      <w:pPr>
        <w:pStyle w:val="Normal"/>
        <w:ind w:right="-61" w:hanging="0"/>
        <w:jc w:val="right"/>
        <w:rPr/>
      </w:pPr>
      <w:r>
        <w:rPr/>
        <w:t>(тыс.рублей)</w:t>
      </w:r>
    </w:p>
    <w:tbl>
      <w:tblPr>
        <w:tblW w:w="9923" w:type="dxa"/>
        <w:jc w:val="left"/>
        <w:tblInd w:w="-5" w:type="dxa"/>
        <w:tblLayout w:type="fixed"/>
        <w:tblCellMar>
          <w:top w:w="0" w:type="dxa"/>
          <w:left w:w="108" w:type="dxa"/>
          <w:bottom w:w="0" w:type="dxa"/>
          <w:right w:w="108" w:type="dxa"/>
        </w:tblCellMar>
      </w:tblPr>
      <w:tblGrid>
        <w:gridCol w:w="4111"/>
        <w:gridCol w:w="1985"/>
        <w:gridCol w:w="1984"/>
        <w:gridCol w:w="1843"/>
      </w:tblGrid>
      <w:tr>
        <w:trPr>
          <w:trHeight w:val="693" w:hRule="atLeast"/>
        </w:trPr>
        <w:tc>
          <w:tcPr>
            <w:tcW w:w="41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color w:val="000000"/>
                <w:sz w:val="24"/>
                <w:szCs w:val="24"/>
                <w:lang w:eastAsia="en-US"/>
              </w:rPr>
            </w:pPr>
            <w:r>
              <w:rPr>
                <w:bCs/>
                <w:color w:val="000000"/>
                <w:sz w:val="24"/>
                <w:szCs w:val="24"/>
                <w:lang w:eastAsia="en-US"/>
              </w:rPr>
              <w:t>Наименование</w:t>
            </w:r>
          </w:p>
          <w:p>
            <w:pPr>
              <w:pStyle w:val="Normal"/>
              <w:spacing w:lineRule="auto" w:line="276"/>
              <w:jc w:val="center"/>
              <w:rPr>
                <w:color w:val="000000"/>
                <w:sz w:val="24"/>
                <w:szCs w:val="24"/>
                <w:lang w:eastAsia="en-US"/>
              </w:rPr>
            </w:pPr>
            <w:r>
              <w:rPr>
                <w:bCs/>
                <w:color w:val="000000"/>
                <w:sz w:val="24"/>
                <w:szCs w:val="24"/>
                <w:lang w:eastAsia="en-US"/>
              </w:rPr>
              <w:t>поселения</w:t>
            </w:r>
          </w:p>
        </w:tc>
        <w:tc>
          <w:tcPr>
            <w:tcW w:w="5812"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Иные межбюджетные трансферты  на ремонт муниципального жилья</w:t>
            </w:r>
          </w:p>
        </w:tc>
      </w:tr>
      <w:tr>
        <w:trPr>
          <w:trHeight w:val="268" w:hRule="atLeast"/>
        </w:trPr>
        <w:tc>
          <w:tcPr>
            <w:tcW w:w="41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color w:val="000000"/>
                <w:sz w:val="24"/>
                <w:szCs w:val="24"/>
                <w:lang w:eastAsia="en-US"/>
              </w:rPr>
            </w:pPr>
            <w:r>
              <w:rPr>
                <w:color w:val="000000"/>
                <w:sz w:val="24"/>
                <w:szCs w:val="24"/>
                <w:lang w:eastAsia="en-US"/>
              </w:rPr>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2021 год</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2022 год</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2023 год</w:t>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Большеустинский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eastAsia="Calibri"/>
                <w:sz w:val="24"/>
                <w:szCs w:val="24"/>
                <w:lang w:eastAsia="en-US"/>
              </w:rPr>
            </w:pPr>
            <w:r>
              <w:rPr>
                <w:rFonts w:eastAsia="Calibri"/>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eastAsia="Calibri"/>
                <w:color w:val="000000"/>
                <w:sz w:val="24"/>
                <w:szCs w:val="24"/>
                <w:lang w:eastAsia="en-US"/>
              </w:rPr>
            </w:pPr>
            <w:r>
              <w:rPr>
                <w:rFonts w:eastAsia="Calibri"/>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6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Большерудкинский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9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Кушнурский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Роженцовский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109,0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11"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Старорудкинский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0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Черномужский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96"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Щенниковский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7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р.п. Шаранга</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539" w:hRule="atLeast"/>
        </w:trPr>
        <w:tc>
          <w:tcPr>
            <w:tcW w:w="4111" w:type="dxa"/>
            <w:tcBorders>
              <w:top w:val="single" w:sz="4" w:space="0" w:color="000000"/>
              <w:left w:val="single" w:sz="4" w:space="0" w:color="000000"/>
              <w:bottom w:val="single" w:sz="4" w:space="0" w:color="000000"/>
              <w:right w:val="single" w:sz="4" w:space="0" w:color="000000"/>
            </w:tcBorders>
            <w:vAlign w:val="center"/>
          </w:tcPr>
          <w:p>
            <w:pPr>
              <w:pStyle w:val="4"/>
              <w:spacing w:lineRule="auto" w:line="276" w:before="200" w:after="0"/>
              <w:rPr>
                <w:rFonts w:ascii="Times New Roman" w:hAnsi="Times New Roman" w:cs="Times New Roman"/>
                <w:i w:val="false"/>
                <w:i w:val="false"/>
                <w:color w:val="000000"/>
                <w:lang w:eastAsia="en-US"/>
              </w:rPr>
            </w:pPr>
            <w:r>
              <w:rPr>
                <w:rFonts w:cs="Times New Roman" w:ascii="Times New Roman" w:hAnsi="Times New Roman"/>
                <w:i w:val="false"/>
                <w:color w:val="000000"/>
                <w:lang w:eastAsia="en-US"/>
              </w:rPr>
              <w:t>Всего</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109,0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r>
    </w:tbl>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t>Таблица 14.</w:t>
      </w:r>
    </w:p>
    <w:p>
      <w:pPr>
        <w:pStyle w:val="Normal"/>
        <w:ind w:right="-61" w:hanging="0"/>
        <w:jc w:val="right"/>
        <w:rPr/>
      </w:pPr>
      <w:r>
        <w:rPr/>
        <w:t>(тыс.рублей)</w:t>
      </w:r>
    </w:p>
    <w:tbl>
      <w:tblPr>
        <w:tblW w:w="9923" w:type="dxa"/>
        <w:jc w:val="left"/>
        <w:tblInd w:w="-5" w:type="dxa"/>
        <w:tblLayout w:type="fixed"/>
        <w:tblCellMar>
          <w:top w:w="0" w:type="dxa"/>
          <w:left w:w="108" w:type="dxa"/>
          <w:bottom w:w="0" w:type="dxa"/>
          <w:right w:w="108" w:type="dxa"/>
        </w:tblCellMar>
      </w:tblPr>
      <w:tblGrid>
        <w:gridCol w:w="4111"/>
        <w:gridCol w:w="1985"/>
        <w:gridCol w:w="1984"/>
        <w:gridCol w:w="1843"/>
      </w:tblGrid>
      <w:tr>
        <w:trPr>
          <w:trHeight w:val="693" w:hRule="atLeast"/>
        </w:trPr>
        <w:tc>
          <w:tcPr>
            <w:tcW w:w="41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color w:val="000000"/>
                <w:sz w:val="24"/>
                <w:szCs w:val="24"/>
                <w:lang w:eastAsia="en-US"/>
              </w:rPr>
            </w:pPr>
            <w:r>
              <w:rPr>
                <w:bCs/>
                <w:color w:val="000000"/>
                <w:sz w:val="24"/>
                <w:szCs w:val="24"/>
                <w:lang w:eastAsia="en-US"/>
              </w:rPr>
              <w:t>Наименование</w:t>
            </w:r>
          </w:p>
          <w:p>
            <w:pPr>
              <w:pStyle w:val="Normal"/>
              <w:spacing w:lineRule="auto" w:line="276"/>
              <w:jc w:val="center"/>
              <w:rPr>
                <w:color w:val="000000"/>
                <w:sz w:val="24"/>
                <w:szCs w:val="24"/>
                <w:lang w:eastAsia="en-US"/>
              </w:rPr>
            </w:pPr>
            <w:r>
              <w:rPr>
                <w:bCs/>
                <w:color w:val="000000"/>
                <w:sz w:val="24"/>
                <w:szCs w:val="24"/>
                <w:lang w:eastAsia="en-US"/>
              </w:rPr>
              <w:t>поселения</w:t>
            </w:r>
          </w:p>
        </w:tc>
        <w:tc>
          <w:tcPr>
            <w:tcW w:w="5812"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Иные межбюджетные трансферты  на предоставление грантов на награждение победителей смотра-конкурса на звание "Лучшее муниципальное образование Нижегородской области в сфере благоустройства и дорожной деятельности"</w:t>
            </w:r>
          </w:p>
        </w:tc>
      </w:tr>
      <w:tr>
        <w:trPr>
          <w:trHeight w:val="268" w:hRule="atLeast"/>
        </w:trPr>
        <w:tc>
          <w:tcPr>
            <w:tcW w:w="41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color w:val="000000"/>
                <w:sz w:val="24"/>
                <w:szCs w:val="24"/>
                <w:lang w:eastAsia="en-US"/>
              </w:rPr>
            </w:pPr>
            <w:r>
              <w:rPr>
                <w:color w:val="000000"/>
                <w:sz w:val="24"/>
                <w:szCs w:val="24"/>
                <w:lang w:eastAsia="en-US"/>
              </w:rPr>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2021 год</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2022 год</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2023 год</w:t>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Большеустинский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eastAsia="Calibri"/>
                <w:sz w:val="24"/>
                <w:szCs w:val="24"/>
                <w:lang w:eastAsia="en-US"/>
              </w:rPr>
            </w:pPr>
            <w:r>
              <w:rPr>
                <w:rFonts w:eastAsia="Calibri"/>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eastAsia="Calibri"/>
                <w:color w:val="000000"/>
                <w:sz w:val="24"/>
                <w:szCs w:val="24"/>
                <w:lang w:eastAsia="en-US"/>
              </w:rPr>
            </w:pPr>
            <w:r>
              <w:rPr>
                <w:rFonts w:eastAsia="Calibri"/>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6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Большерудкинский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9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Кушнурский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Роженцовский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11"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Старорудкинский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0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Черномужский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96"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Щенниковский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7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р.п. Шаранга</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600,0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539" w:hRule="atLeast"/>
        </w:trPr>
        <w:tc>
          <w:tcPr>
            <w:tcW w:w="4111" w:type="dxa"/>
            <w:tcBorders>
              <w:top w:val="single" w:sz="4" w:space="0" w:color="000000"/>
              <w:left w:val="single" w:sz="4" w:space="0" w:color="000000"/>
              <w:bottom w:val="single" w:sz="4" w:space="0" w:color="000000"/>
              <w:right w:val="single" w:sz="4" w:space="0" w:color="000000"/>
            </w:tcBorders>
            <w:vAlign w:val="center"/>
          </w:tcPr>
          <w:p>
            <w:pPr>
              <w:pStyle w:val="4"/>
              <w:spacing w:lineRule="auto" w:line="276" w:before="200" w:after="0"/>
              <w:rPr>
                <w:rFonts w:ascii="Times New Roman" w:hAnsi="Times New Roman" w:cs="Times New Roman"/>
                <w:i w:val="false"/>
                <w:i w:val="false"/>
                <w:color w:val="000000"/>
                <w:lang w:eastAsia="en-US"/>
              </w:rPr>
            </w:pPr>
            <w:r>
              <w:rPr>
                <w:rFonts w:cs="Times New Roman" w:ascii="Times New Roman" w:hAnsi="Times New Roman"/>
                <w:i w:val="false"/>
                <w:color w:val="000000"/>
                <w:lang w:eastAsia="en-US"/>
              </w:rPr>
              <w:t>Всего</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600,0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r>
    </w:tbl>
    <w:p>
      <w:pPr>
        <w:pStyle w:val="Style24"/>
        <w:tabs>
          <w:tab w:val="clear" w:pos="720"/>
          <w:tab w:val="left" w:pos="567" w:leader="none"/>
        </w:tabs>
        <w:ind w:firstLine="567"/>
        <w:jc w:val="both"/>
        <w:rPr>
          <w:rFonts w:ascii="Times New Roman" w:hAnsi="Times New Roman" w:cs="Times New Roman"/>
          <w:b w:val="false"/>
          <w:b w:val="false"/>
        </w:rPr>
      </w:pPr>
      <w:r>
        <w:rPr>
          <w:rFonts w:cs="Times New Roman" w:ascii="Times New Roman" w:hAnsi="Times New Roman"/>
          <w:b w:val="false"/>
        </w:rPr>
      </w:r>
    </w:p>
    <w:sectPr>
      <w:type w:val="nextPage"/>
      <w:pgSz w:w="11906" w:h="16838"/>
      <w:pgMar w:left="1418" w:right="851" w:gutter="0" w:header="0" w:top="851" w:footer="0" w:bottom="851"/>
      <w:pgNumType w:fmt="decimal"/>
      <w:formProt w:val="false"/>
      <w:titlePg/>
      <w:textDirection w:val="lrTb"/>
      <w:docGrid w:type="default" w:linePitch="27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Cambria">
    <w:charset w:val="cc"/>
    <w:family w:val="roman"/>
    <w:pitch w:val="variable"/>
  </w:font>
  <w:font w:name="Courier New">
    <w:charset w:val="cc"/>
    <w:family w:val="modern"/>
    <w:pitch w:val="default"/>
  </w:font>
  <w:font w:name="Wingdings">
    <w:charset w:val="02"/>
    <w:family w:val="auto"/>
    <w:pitch w:val="variable"/>
  </w:font>
  <w:font w:name="Tahoma">
    <w:charset w:val="cc"/>
    <w:family w:val="swiss"/>
    <w:pitch w:val="variable"/>
  </w:font>
  <w:font w:name="Consolas">
    <w:charset w:val="cc"/>
    <w:family w:val="modern"/>
    <w:pitch w:val="default"/>
  </w:font>
  <w:font w:name="Georgia">
    <w:charset w:val="cc"/>
    <w:family w:val="roman"/>
    <w:pitch w:val="variable"/>
  </w:font>
  <w:font w:name="Times New Roman CYR">
    <w:charset w:val="cc"/>
    <w:family w:val="roman"/>
    <w:pitch w:val="variable"/>
  </w:font>
  <w:font w:name="Calibri">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1"/>
      <w:numFmt w:val="none"/>
      <w:suff w:val="nothing"/>
      <w:lvlText w:val=""/>
      <w:lvlJc w:val="left"/>
      <w:pPr>
        <w:tabs>
          <w:tab w:val="num" w:pos="0"/>
        </w:tabs>
        <w:ind w:left="0" w:hanging="0"/>
      </w:pPr>
    </w:lvl>
    <w:lvl w:ilvl="1">
      <w:start w:val="1"/>
      <w:pStyle w:val="2"/>
      <w:numFmt w:val="none"/>
      <w:suff w:val="nothing"/>
      <w:lvlText w:val=""/>
      <w:lvlJc w:val="left"/>
      <w:pPr>
        <w:tabs>
          <w:tab w:val="num" w:pos="0"/>
        </w:tabs>
        <w:ind w:left="0" w:hanging="0"/>
      </w:pPr>
    </w:lvl>
    <w:lvl w:ilvl="2">
      <w:start w:val="1"/>
      <w:pStyle w:val="3"/>
      <w:numFmt w:val="none"/>
      <w:suff w:val="nothing"/>
      <w:lvlText w:val=""/>
      <w:lvlJc w:val="left"/>
      <w:pPr>
        <w:tabs>
          <w:tab w:val="num" w:pos="0"/>
        </w:tabs>
        <w:ind w:left="0" w:hanging="0"/>
      </w:pPr>
    </w:lvl>
    <w:lvl w:ilvl="3">
      <w:start w:val="1"/>
      <w:pStyle w:val="4"/>
      <w:numFmt w:val="none"/>
      <w:suff w:val="nothing"/>
      <w:lvlText w:val=""/>
      <w:lvlJc w:val="left"/>
      <w:pPr>
        <w:tabs>
          <w:tab w:val="num" w:pos="0"/>
        </w:tabs>
        <w:ind w:left="0" w:hanging="0"/>
      </w:pPr>
    </w:lvl>
    <w:lvl w:ilvl="4">
      <w:start w:val="1"/>
      <w:pStyle w:val="5"/>
      <w:numFmt w:val="none"/>
      <w:suff w:val="nothing"/>
      <w:lvlText w:val=""/>
      <w:lvlJc w:val="left"/>
      <w:pPr>
        <w:tabs>
          <w:tab w:val="num" w:pos="0"/>
        </w:tabs>
        <w:ind w:left="0" w:hanging="0"/>
      </w:pPr>
    </w:lvl>
    <w:lvl w:ilvl="5">
      <w:start w:val="1"/>
      <w:pStyle w:val="6"/>
      <w:numFmt w:val="none"/>
      <w:suff w:val="nothing"/>
      <w:lvlText w:val=""/>
      <w:lvlJc w:val="left"/>
      <w:pPr>
        <w:tabs>
          <w:tab w:val="num" w:pos="0"/>
        </w:tabs>
        <w:ind w:left="0" w:hanging="0"/>
      </w:pPr>
    </w:lvl>
    <w:lvl w:ilvl="6">
      <w:start w:val="1"/>
      <w:pStyle w:val="7"/>
      <w:numFmt w:val="none"/>
      <w:suff w:val="nothing"/>
      <w:lvlText w:val=""/>
      <w:lvlJc w:val="left"/>
      <w:pPr>
        <w:tabs>
          <w:tab w:val="num" w:pos="0"/>
        </w:tabs>
        <w:ind w:left="0" w:hanging="0"/>
      </w:pPr>
    </w:lvl>
    <w:lvl w:ilvl="7">
      <w:start w:val="1"/>
      <w:pStyle w:val="8"/>
      <w:numFmt w:val="none"/>
      <w:suff w:val="nothing"/>
      <w:lvlText w:val=""/>
      <w:lvlJc w:val="left"/>
      <w:pPr>
        <w:tabs>
          <w:tab w:val="num" w:pos="0"/>
        </w:tabs>
        <w:ind w:left="0" w:hanging="0"/>
      </w:pPr>
    </w:lvl>
    <w:lvl w:ilvl="8">
      <w:start w:val="1"/>
      <w:pStyle w:val="9"/>
      <w:numFmt w:val="none"/>
      <w:suff w:val="nothing"/>
      <w:lvlText w:val=""/>
      <w:lvlJc w:val="left"/>
      <w:pPr>
        <w:tabs>
          <w:tab w:val="num" w:pos="0"/>
        </w:tabs>
        <w:ind w:left="0" w:hanging="0"/>
      </w:pPr>
    </w:lvl>
  </w:abstractNum>
  <w:abstractNum w:abstractNumId="2">
    <w:lvl w:ilvl="0">
      <w:start w:val="1"/>
      <w:numFmt w:val="decimal"/>
      <w:lvlText w:val="%1.   "/>
      <w:lvlJc w:val="left"/>
      <w:pPr>
        <w:tabs>
          <w:tab w:val="num" w:pos="1571"/>
        </w:tabs>
        <w:ind w:left="0" w:firstLine="851"/>
      </w:pPr>
      <w:rPr>
        <w:rFonts w:cs="Times New Roman"/>
      </w:rPr>
    </w:lvl>
    <w:lvl w:ilvl="1">
      <w:start w:val="1"/>
      <w:numFmt w:val="decimal"/>
      <w:lvlText w:val="%1.%2 "/>
      <w:lvlJc w:val="left"/>
      <w:pPr>
        <w:tabs>
          <w:tab w:val="num" w:pos="1684"/>
        </w:tabs>
        <w:ind w:left="57" w:firstLine="907"/>
      </w:pPr>
      <w:rPr>
        <w:rFonts w:cs="Times New Roman"/>
      </w:rPr>
    </w:lvl>
    <w:lvl w:ilvl="2">
      <w:start w:val="1"/>
      <w:numFmt w:val="bullet"/>
      <w:lvlText w:val=""/>
      <w:lvlJc w:val="left"/>
      <w:pPr>
        <w:tabs>
          <w:tab w:val="num" w:pos="1531"/>
        </w:tabs>
        <w:ind w:left="1531" w:hanging="397"/>
      </w:pPr>
      <w:rPr>
        <w:rFonts w:ascii="Symbol" w:hAnsi="Symbol" w:cs="Symbol" w:hint="default"/>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3">
    <w:lvl w:ilvl="0">
      <w:start w:val="1"/>
      <w:numFmt w:val="decimal"/>
      <w:lvlText w:val="%1)"/>
      <w:lvlJc w:val="left"/>
      <w:pPr>
        <w:tabs>
          <w:tab w:val="num" w:pos="0"/>
        </w:tabs>
        <w:ind w:left="927" w:hanging="360"/>
      </w:pPr>
      <w:rPr/>
    </w:lvl>
  </w:abstractNum>
  <w:abstractNum w:abstractNumId="4">
    <w:lvl w:ilvl="0">
      <w:start w:val="2"/>
      <w:numFmt w:val="decimal"/>
      <w:lvlText w:val="%1) "/>
      <w:lvlJc w:val="left"/>
      <w:pPr>
        <w:tabs>
          <w:tab w:val="num" w:pos="283"/>
        </w:tabs>
        <w:ind w:left="1003" w:hanging="283"/>
      </w:pPr>
      <w:rPr>
        <w:dstrike w:val="false"/>
        <w:strike w:val="false"/>
        <w:sz w:val="24"/>
        <w:i w:val="false"/>
        <w:u w:val="none"/>
        <w:b w:val="false"/>
        <w:szCs w:val="24"/>
        <w:iCs w:val="false"/>
        <w:bCs w:val="false"/>
        <w:rFonts w:ascii="Times New Roman" w:hAnsi="Times New Roman" w:cs="Times New Roman"/>
      </w:r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bCs/>
      <w:kern w:val="2"/>
      <w:sz w:val="32"/>
      <w:szCs w:val="32"/>
    </w:rPr>
  </w:style>
  <w:style w:type="paragraph" w:styleId="2">
    <w:name w:val="Heading 2"/>
    <w:basedOn w:val="Normal"/>
    <w:next w:val="Normal"/>
    <w:qFormat/>
    <w:pPr>
      <w:keepNext w:val="true"/>
      <w:numPr>
        <w:ilvl w:val="1"/>
        <w:numId w:val="1"/>
      </w:numPr>
      <w:jc w:val="center"/>
      <w:outlineLvl w:val="1"/>
    </w:pPr>
    <w:rPr>
      <w:rFonts w:ascii="Arial" w:hAnsi="Arial" w:cs="Arial"/>
      <w:sz w:val="24"/>
      <w:szCs w:val="24"/>
    </w:rPr>
  </w:style>
  <w:style w:type="paragraph" w:styleId="3">
    <w:name w:val="Heading 3"/>
    <w:basedOn w:val="Normal"/>
    <w:next w:val="Normal"/>
    <w:qFormat/>
    <w:pPr>
      <w:keepNext w:val="true"/>
      <w:numPr>
        <w:ilvl w:val="2"/>
        <w:numId w:val="1"/>
      </w:numPr>
      <w:spacing w:before="40" w:after="40"/>
      <w:jc w:val="center"/>
      <w:outlineLvl w:val="2"/>
    </w:pPr>
    <w:rPr>
      <w:rFonts w:ascii="Arial" w:hAnsi="Arial" w:cs="Arial"/>
      <w:b/>
      <w:bCs/>
      <w:sz w:val="22"/>
      <w:szCs w:val="22"/>
    </w:rPr>
  </w:style>
  <w:style w:type="paragraph" w:styleId="4">
    <w:name w:val="Heading 4"/>
    <w:basedOn w:val="Normal"/>
    <w:next w:val="Normal"/>
    <w:qFormat/>
    <w:pPr>
      <w:keepNext w:val="true"/>
      <w:keepLines/>
      <w:numPr>
        <w:ilvl w:val="3"/>
        <w:numId w:val="1"/>
      </w:numPr>
      <w:spacing w:before="200" w:after="0"/>
      <w:outlineLvl w:val="3"/>
    </w:pPr>
    <w:rPr>
      <w:rFonts w:ascii="Cambria" w:hAnsi="Cambria" w:eastAsia="Times New Roman" w:cs="Times New Roman"/>
      <w:b/>
      <w:bCs/>
      <w:i/>
      <w:iCs/>
      <w:color w:val="4F81BD"/>
      <w:sz w:val="24"/>
      <w:szCs w:val="24"/>
    </w:rPr>
  </w:style>
  <w:style w:type="paragraph" w:styleId="5">
    <w:name w:val="Heading 5"/>
    <w:basedOn w:val="Normal"/>
    <w:next w:val="Normal"/>
    <w:qFormat/>
    <w:pPr>
      <w:keepNext w:val="true"/>
      <w:numPr>
        <w:ilvl w:val="4"/>
        <w:numId w:val="1"/>
      </w:numPr>
      <w:autoSpaceDE w:val="false"/>
      <w:outlineLvl w:val="4"/>
    </w:pPr>
    <w:rPr>
      <w:color w:val="000000"/>
      <w:sz w:val="28"/>
      <w:szCs w:val="28"/>
    </w:rPr>
  </w:style>
  <w:style w:type="paragraph" w:styleId="6">
    <w:name w:val="Heading 6"/>
    <w:basedOn w:val="Normal"/>
    <w:next w:val="Normal"/>
    <w:qFormat/>
    <w:pPr>
      <w:numPr>
        <w:ilvl w:val="5"/>
        <w:numId w:val="1"/>
      </w:numPr>
      <w:autoSpaceDE w:val="false"/>
      <w:spacing w:before="240" w:after="60"/>
      <w:outlineLvl w:val="5"/>
    </w:pPr>
    <w:rPr>
      <w:b/>
      <w:bCs/>
      <w:kern w:val="2"/>
      <w:sz w:val="22"/>
      <w:szCs w:val="22"/>
    </w:rPr>
  </w:style>
  <w:style w:type="paragraph" w:styleId="7">
    <w:name w:val="Heading 7"/>
    <w:basedOn w:val="Normal"/>
    <w:next w:val="Normal"/>
    <w:qFormat/>
    <w:pPr>
      <w:keepNext w:val="true"/>
      <w:numPr>
        <w:ilvl w:val="6"/>
        <w:numId w:val="1"/>
      </w:numPr>
      <w:jc w:val="center"/>
      <w:outlineLvl w:val="6"/>
    </w:pPr>
    <w:rPr>
      <w:rFonts w:ascii="Arial" w:hAnsi="Arial" w:cs="Arial"/>
      <w:b/>
      <w:bCs/>
      <w:spacing w:val="204"/>
      <w:sz w:val="72"/>
      <w:szCs w:val="72"/>
    </w:rPr>
  </w:style>
  <w:style w:type="paragraph" w:styleId="8">
    <w:name w:val="Heading 8"/>
    <w:basedOn w:val="Normal"/>
    <w:next w:val="Normal"/>
    <w:qFormat/>
    <w:pPr>
      <w:numPr>
        <w:ilvl w:val="7"/>
        <w:numId w:val="1"/>
      </w:numPr>
      <w:spacing w:before="240" w:after="60"/>
      <w:outlineLvl w:val="7"/>
    </w:pPr>
    <w:rPr>
      <w:i/>
      <w:iCs/>
      <w:sz w:val="24"/>
      <w:szCs w:val="24"/>
    </w:rPr>
  </w:style>
  <w:style w:type="paragraph" w:styleId="9">
    <w:name w:val="Heading 9"/>
    <w:basedOn w:val="Normal"/>
    <w:next w:val="Normal"/>
    <w:qFormat/>
    <w:pPr>
      <w:keepNext w:val="true"/>
      <w:numPr>
        <w:ilvl w:val="8"/>
        <w:numId w:val="1"/>
      </w:numPr>
      <w:jc w:val="right"/>
      <w:outlineLvl w:val="8"/>
    </w:pPr>
    <w:rPr>
      <w:sz w:val="28"/>
      <w:szCs w:val="24"/>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style>
  <w:style w:type="character" w:styleId="WW8Num4z3">
    <w:name w:val="WW8Num4z3"/>
    <w:qFormat/>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WW8Num5z0">
    <w:name w:val="WW8Num5z0"/>
    <w:qFormat/>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rFonts w:ascii="Times New Roman" w:hAnsi="Times New Roman" w:eastAsia="Times New Roman" w:cs="Times New Roman"/>
    </w:rPr>
  </w:style>
  <w:style w:type="character" w:styleId="WW8Num9z1">
    <w:name w:val="WW8Num9z1"/>
    <w:qFormat/>
    <w:rPr>
      <w:rFonts w:ascii="Courier New" w:hAnsi="Courier New" w:cs="Courier New"/>
    </w:rPr>
  </w:style>
  <w:style w:type="character" w:styleId="WW8Num9z2">
    <w:name w:val="WW8Num9z2"/>
    <w:qFormat/>
    <w:rPr>
      <w:rFonts w:ascii="Wingdings" w:hAnsi="Wingdings" w:cs="Wingdings"/>
    </w:rPr>
  </w:style>
  <w:style w:type="character" w:styleId="WW8Num9z3">
    <w:name w:val="WW8Num9z3"/>
    <w:qFormat/>
    <w:rPr>
      <w:rFonts w:ascii="Symbol" w:hAnsi="Symbol" w:cs="Symbol"/>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rFonts w:ascii="Symbol" w:hAnsi="Symbol" w:cs="Symbol"/>
    </w:rPr>
  </w:style>
  <w:style w:type="character" w:styleId="WW8Num12z1">
    <w:name w:val="WW8Num12z1"/>
    <w:qFormat/>
    <w:rPr>
      <w:rFonts w:ascii="Courier New" w:hAnsi="Courier New" w:cs="Courier New"/>
    </w:rPr>
  </w:style>
  <w:style w:type="character" w:styleId="WW8Num12z2">
    <w:name w:val="WW8Num12z2"/>
    <w:qFormat/>
    <w:rPr>
      <w:rFonts w:ascii="Wingdings" w:hAnsi="Wingdings" w:cs="Wingdings"/>
    </w:rPr>
  </w:style>
  <w:style w:type="character" w:styleId="WW8Num13z0">
    <w:name w:val="WW8Num13z0"/>
    <w:qFormat/>
    <w:rPr>
      <w:rFonts w:cs="Times New Roman"/>
    </w:rPr>
  </w:style>
  <w:style w:type="character" w:styleId="WW8Num13z2">
    <w:name w:val="WW8Num13z2"/>
    <w:qFormat/>
    <w:rPr>
      <w:rFonts w:ascii="Symbol" w:hAnsi="Symbol" w:cs="Symbol"/>
    </w:rPr>
  </w:style>
  <w:style w:type="character" w:styleId="WW8Num14z0">
    <w:name w:val="WW8Num14z0"/>
    <w:qFormat/>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style>
  <w:style w:type="character" w:styleId="WW8Num15z1">
    <w:name w:val="WW8Num15z1"/>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style>
  <w:style w:type="character" w:styleId="WW8Num16z1">
    <w:name w:val="WW8Num16z1"/>
    <w:qFormat/>
    <w:rPr/>
  </w:style>
  <w:style w:type="character" w:styleId="WW8Num16z2">
    <w:name w:val="WW8Num16z2"/>
    <w:qFormat/>
    <w:rPr/>
  </w:style>
  <w:style w:type="character" w:styleId="WW8Num16z3">
    <w:name w:val="WW8Num16z3"/>
    <w:qFormat/>
    <w:rPr/>
  </w:style>
  <w:style w:type="character" w:styleId="WW8Num16z4">
    <w:name w:val="WW8Num16z4"/>
    <w:qFormat/>
    <w:rPr/>
  </w:style>
  <w:style w:type="character" w:styleId="WW8Num16z5">
    <w:name w:val="WW8Num16z5"/>
    <w:qFormat/>
    <w:rPr/>
  </w:style>
  <w:style w:type="character" w:styleId="WW8Num16z6">
    <w:name w:val="WW8Num16z6"/>
    <w:qFormat/>
    <w:rPr/>
  </w:style>
  <w:style w:type="character" w:styleId="WW8Num16z7">
    <w:name w:val="WW8Num16z7"/>
    <w:qFormat/>
    <w:rPr/>
  </w:style>
  <w:style w:type="character" w:styleId="WW8Num16z8">
    <w:name w:val="WW8Num16z8"/>
    <w:qFormat/>
    <w:rPr/>
  </w:style>
  <w:style w:type="character" w:styleId="WW8Num17z0">
    <w:name w:val="WW8Num17z0"/>
    <w:qFormat/>
    <w:rPr/>
  </w:style>
  <w:style w:type="character" w:styleId="WW8Num17z1">
    <w:name w:val="WW8Num17z1"/>
    <w:qFormat/>
    <w:rPr/>
  </w:style>
  <w:style w:type="character" w:styleId="WW8Num17z2">
    <w:name w:val="WW8Num17z2"/>
    <w:qFormat/>
    <w:rPr/>
  </w:style>
  <w:style w:type="character" w:styleId="WW8Num17z3">
    <w:name w:val="WW8Num17z3"/>
    <w:qFormat/>
    <w:rPr/>
  </w:style>
  <w:style w:type="character" w:styleId="WW8Num17z4">
    <w:name w:val="WW8Num17z4"/>
    <w:qFormat/>
    <w:rPr/>
  </w:style>
  <w:style w:type="character" w:styleId="WW8Num17z5">
    <w:name w:val="WW8Num17z5"/>
    <w:qFormat/>
    <w:rPr/>
  </w:style>
  <w:style w:type="character" w:styleId="WW8Num17z6">
    <w:name w:val="WW8Num17z6"/>
    <w:qFormat/>
    <w:rPr/>
  </w:style>
  <w:style w:type="character" w:styleId="WW8Num17z7">
    <w:name w:val="WW8Num17z7"/>
    <w:qFormat/>
    <w:rPr/>
  </w:style>
  <w:style w:type="character" w:styleId="WW8Num17z8">
    <w:name w:val="WW8Num17z8"/>
    <w:qFormat/>
    <w:rPr/>
  </w:style>
  <w:style w:type="character" w:styleId="WW8Num18z0">
    <w:name w:val="WW8Num18z0"/>
    <w:qFormat/>
    <w:rPr/>
  </w:style>
  <w:style w:type="character" w:styleId="WW8Num18z1">
    <w:name w:val="WW8Num18z1"/>
    <w:qFormat/>
    <w:rPr/>
  </w:style>
  <w:style w:type="character" w:styleId="WW8Num18z2">
    <w:name w:val="WW8Num18z2"/>
    <w:qFormat/>
    <w:rPr/>
  </w:style>
  <w:style w:type="character" w:styleId="WW8Num18z3">
    <w:name w:val="WW8Num18z3"/>
    <w:qFormat/>
    <w:rPr/>
  </w:style>
  <w:style w:type="character" w:styleId="WW8Num18z4">
    <w:name w:val="WW8Num18z4"/>
    <w:qFormat/>
    <w:rPr/>
  </w:style>
  <w:style w:type="character" w:styleId="WW8Num18z5">
    <w:name w:val="WW8Num18z5"/>
    <w:qFormat/>
    <w:rPr/>
  </w:style>
  <w:style w:type="character" w:styleId="WW8Num18z6">
    <w:name w:val="WW8Num18z6"/>
    <w:qFormat/>
    <w:rPr/>
  </w:style>
  <w:style w:type="character" w:styleId="WW8Num18z7">
    <w:name w:val="WW8Num18z7"/>
    <w:qFormat/>
    <w:rPr/>
  </w:style>
  <w:style w:type="character" w:styleId="WW8Num18z8">
    <w:name w:val="WW8Num18z8"/>
    <w:qFormat/>
    <w:rPr/>
  </w:style>
  <w:style w:type="character" w:styleId="WW8Num19z0">
    <w:name w:val="WW8Num19z0"/>
    <w:qFormat/>
    <w:rPr/>
  </w:style>
  <w:style w:type="character" w:styleId="WW8Num20z0">
    <w:name w:val="WW8Num20z0"/>
    <w:qFormat/>
    <w:rPr/>
  </w:style>
  <w:style w:type="character" w:styleId="WW8Num20z1">
    <w:name w:val="WW8Num20z1"/>
    <w:qFormat/>
    <w:rPr/>
  </w:style>
  <w:style w:type="character" w:styleId="WW8Num20z2">
    <w:name w:val="WW8Num20z2"/>
    <w:qFormat/>
    <w:rPr/>
  </w:style>
  <w:style w:type="character" w:styleId="WW8Num20z3">
    <w:name w:val="WW8Num20z3"/>
    <w:qFormat/>
    <w:rPr/>
  </w:style>
  <w:style w:type="character" w:styleId="WW8Num20z4">
    <w:name w:val="WW8Num20z4"/>
    <w:qFormat/>
    <w:rPr/>
  </w:style>
  <w:style w:type="character" w:styleId="WW8Num20z5">
    <w:name w:val="WW8Num20z5"/>
    <w:qFormat/>
    <w:rPr/>
  </w:style>
  <w:style w:type="character" w:styleId="WW8Num20z6">
    <w:name w:val="WW8Num20z6"/>
    <w:qFormat/>
    <w:rPr/>
  </w:style>
  <w:style w:type="character" w:styleId="WW8Num20z7">
    <w:name w:val="WW8Num20z7"/>
    <w:qFormat/>
    <w:rPr/>
  </w:style>
  <w:style w:type="character" w:styleId="WW8Num20z8">
    <w:name w:val="WW8Num20z8"/>
    <w:qFormat/>
    <w:rPr/>
  </w:style>
  <w:style w:type="character" w:styleId="WW8Num21z0">
    <w:name w:val="WW8Num21z0"/>
    <w:qFormat/>
    <w:rPr/>
  </w:style>
  <w:style w:type="character" w:styleId="WW8Num21z1">
    <w:name w:val="WW8Num21z1"/>
    <w:qFormat/>
    <w:rPr/>
  </w:style>
  <w:style w:type="character" w:styleId="WW8Num21z2">
    <w:name w:val="WW8Num21z2"/>
    <w:qFormat/>
    <w:rPr/>
  </w:style>
  <w:style w:type="character" w:styleId="WW8Num21z3">
    <w:name w:val="WW8Num21z3"/>
    <w:qFormat/>
    <w:rPr/>
  </w:style>
  <w:style w:type="character" w:styleId="WW8Num21z4">
    <w:name w:val="WW8Num21z4"/>
    <w:qFormat/>
    <w:rPr/>
  </w:style>
  <w:style w:type="character" w:styleId="WW8Num21z5">
    <w:name w:val="WW8Num21z5"/>
    <w:qFormat/>
    <w:rPr/>
  </w:style>
  <w:style w:type="character" w:styleId="WW8Num21z6">
    <w:name w:val="WW8Num21z6"/>
    <w:qFormat/>
    <w:rPr/>
  </w:style>
  <w:style w:type="character" w:styleId="WW8Num21z7">
    <w:name w:val="WW8Num21z7"/>
    <w:qFormat/>
    <w:rPr/>
  </w:style>
  <w:style w:type="character" w:styleId="WW8Num21z8">
    <w:name w:val="WW8Num21z8"/>
    <w:qFormat/>
    <w:rPr/>
  </w:style>
  <w:style w:type="character" w:styleId="WW8Num22z0">
    <w:name w:val="WW8Num22z0"/>
    <w:qFormat/>
    <w:rPr/>
  </w:style>
  <w:style w:type="character" w:styleId="WW8Num22z1">
    <w:name w:val="WW8Num22z1"/>
    <w:qFormat/>
    <w:rPr/>
  </w:style>
  <w:style w:type="character" w:styleId="WW8Num22z2">
    <w:name w:val="WW8Num22z2"/>
    <w:qFormat/>
    <w:rPr/>
  </w:style>
  <w:style w:type="character" w:styleId="WW8Num22z3">
    <w:name w:val="WW8Num22z3"/>
    <w:qFormat/>
    <w:rPr/>
  </w:style>
  <w:style w:type="character" w:styleId="WW8Num22z4">
    <w:name w:val="WW8Num22z4"/>
    <w:qFormat/>
    <w:rPr/>
  </w:style>
  <w:style w:type="character" w:styleId="WW8Num22z5">
    <w:name w:val="WW8Num22z5"/>
    <w:qFormat/>
    <w:rPr/>
  </w:style>
  <w:style w:type="character" w:styleId="WW8Num22z6">
    <w:name w:val="WW8Num22z6"/>
    <w:qFormat/>
    <w:rPr/>
  </w:style>
  <w:style w:type="character" w:styleId="WW8Num22z7">
    <w:name w:val="WW8Num22z7"/>
    <w:qFormat/>
    <w:rPr/>
  </w:style>
  <w:style w:type="character" w:styleId="WW8Num22z8">
    <w:name w:val="WW8Num22z8"/>
    <w:qFormat/>
    <w:rPr/>
  </w:style>
  <w:style w:type="character" w:styleId="WW8Num23z0">
    <w:name w:val="WW8Num23z0"/>
    <w:qFormat/>
    <w:rPr/>
  </w:style>
  <w:style w:type="character" w:styleId="WW8Num23z2">
    <w:name w:val="WW8Num23z2"/>
    <w:qFormat/>
    <w:rPr/>
  </w:style>
  <w:style w:type="character" w:styleId="WW8Num23z3">
    <w:name w:val="WW8Num23z3"/>
    <w:qFormat/>
    <w:rPr/>
  </w:style>
  <w:style w:type="character" w:styleId="WW8Num23z4">
    <w:name w:val="WW8Num23z4"/>
    <w:qFormat/>
    <w:rPr/>
  </w:style>
  <w:style w:type="character" w:styleId="WW8Num23z5">
    <w:name w:val="WW8Num23z5"/>
    <w:qFormat/>
    <w:rPr/>
  </w:style>
  <w:style w:type="character" w:styleId="WW8Num23z6">
    <w:name w:val="WW8Num23z6"/>
    <w:qFormat/>
    <w:rPr/>
  </w:style>
  <w:style w:type="character" w:styleId="WW8Num23z7">
    <w:name w:val="WW8Num23z7"/>
    <w:qFormat/>
    <w:rPr/>
  </w:style>
  <w:style w:type="character" w:styleId="WW8Num23z8">
    <w:name w:val="WW8Num23z8"/>
    <w:qFormat/>
    <w:rPr/>
  </w:style>
  <w:style w:type="character" w:styleId="WW8Num24z0">
    <w:name w:val="WW8Num24z0"/>
    <w:qFormat/>
    <w:rPr>
      <w:rFonts w:ascii="Symbol" w:hAnsi="Symbol" w:cs="Symbol"/>
    </w:rPr>
  </w:style>
  <w:style w:type="character" w:styleId="WW8Num24z1">
    <w:name w:val="WW8Num24z1"/>
    <w:qFormat/>
    <w:rPr>
      <w:rFonts w:ascii="Courier New" w:hAnsi="Courier New" w:cs="Courier New"/>
    </w:rPr>
  </w:style>
  <w:style w:type="character" w:styleId="WW8Num24z2">
    <w:name w:val="WW8Num24z2"/>
    <w:qFormat/>
    <w:rPr>
      <w:rFonts w:ascii="Wingdings" w:hAnsi="Wingdings" w:cs="Wingdings"/>
    </w:rPr>
  </w:style>
  <w:style w:type="character" w:styleId="WW8Num25z0">
    <w:name w:val="WW8Num25z0"/>
    <w:qFormat/>
    <w:rPr/>
  </w:style>
  <w:style w:type="character" w:styleId="WW8Num25z1">
    <w:name w:val="WW8Num25z1"/>
    <w:qFormat/>
    <w:rPr/>
  </w:style>
  <w:style w:type="character" w:styleId="WW8Num25z2">
    <w:name w:val="WW8Num25z2"/>
    <w:qFormat/>
    <w:rPr/>
  </w:style>
  <w:style w:type="character" w:styleId="WW8Num25z3">
    <w:name w:val="WW8Num25z3"/>
    <w:qFormat/>
    <w:rPr/>
  </w:style>
  <w:style w:type="character" w:styleId="WW8Num25z4">
    <w:name w:val="WW8Num25z4"/>
    <w:qFormat/>
    <w:rPr/>
  </w:style>
  <w:style w:type="character" w:styleId="WW8Num25z5">
    <w:name w:val="WW8Num25z5"/>
    <w:qFormat/>
    <w:rPr/>
  </w:style>
  <w:style w:type="character" w:styleId="WW8Num25z6">
    <w:name w:val="WW8Num25z6"/>
    <w:qFormat/>
    <w:rPr/>
  </w:style>
  <w:style w:type="character" w:styleId="WW8Num25z7">
    <w:name w:val="WW8Num25z7"/>
    <w:qFormat/>
    <w:rPr/>
  </w:style>
  <w:style w:type="character" w:styleId="WW8Num25z8">
    <w:name w:val="WW8Num25z8"/>
    <w:qFormat/>
    <w:rPr/>
  </w:style>
  <w:style w:type="character" w:styleId="WW8Num26z0">
    <w:name w:val="WW8Num26z0"/>
    <w:qFormat/>
    <w:rPr/>
  </w:style>
  <w:style w:type="character" w:styleId="WW8Num26z1">
    <w:name w:val="WW8Num26z1"/>
    <w:qFormat/>
    <w:rPr/>
  </w:style>
  <w:style w:type="character" w:styleId="WW8Num26z2">
    <w:name w:val="WW8Num26z2"/>
    <w:qFormat/>
    <w:rPr/>
  </w:style>
  <w:style w:type="character" w:styleId="WW8Num26z3">
    <w:name w:val="WW8Num26z3"/>
    <w:qFormat/>
    <w:rPr/>
  </w:style>
  <w:style w:type="character" w:styleId="WW8Num26z4">
    <w:name w:val="WW8Num26z4"/>
    <w:qFormat/>
    <w:rPr/>
  </w:style>
  <w:style w:type="character" w:styleId="WW8Num26z5">
    <w:name w:val="WW8Num26z5"/>
    <w:qFormat/>
    <w:rPr/>
  </w:style>
  <w:style w:type="character" w:styleId="WW8Num26z6">
    <w:name w:val="WW8Num26z6"/>
    <w:qFormat/>
    <w:rPr/>
  </w:style>
  <w:style w:type="character" w:styleId="WW8Num26z7">
    <w:name w:val="WW8Num26z7"/>
    <w:qFormat/>
    <w:rPr/>
  </w:style>
  <w:style w:type="character" w:styleId="WW8Num26z8">
    <w:name w:val="WW8Num26z8"/>
    <w:qFormat/>
    <w:rPr/>
  </w:style>
  <w:style w:type="character" w:styleId="WW8Num27z0">
    <w:name w:val="WW8Num27z0"/>
    <w:qFormat/>
    <w:rPr/>
  </w:style>
  <w:style w:type="character" w:styleId="WW8Num27z1">
    <w:name w:val="WW8Num27z1"/>
    <w:qFormat/>
    <w:rPr/>
  </w:style>
  <w:style w:type="character" w:styleId="WW8Num27z2">
    <w:name w:val="WW8Num27z2"/>
    <w:qFormat/>
    <w:rPr/>
  </w:style>
  <w:style w:type="character" w:styleId="WW8Num27z3">
    <w:name w:val="WW8Num27z3"/>
    <w:qFormat/>
    <w:rPr/>
  </w:style>
  <w:style w:type="character" w:styleId="WW8Num27z4">
    <w:name w:val="WW8Num27z4"/>
    <w:qFormat/>
    <w:rPr/>
  </w:style>
  <w:style w:type="character" w:styleId="WW8Num27z5">
    <w:name w:val="WW8Num27z5"/>
    <w:qFormat/>
    <w:rPr/>
  </w:style>
  <w:style w:type="character" w:styleId="WW8Num27z6">
    <w:name w:val="WW8Num27z6"/>
    <w:qFormat/>
    <w:rPr/>
  </w:style>
  <w:style w:type="character" w:styleId="WW8Num27z7">
    <w:name w:val="WW8Num27z7"/>
    <w:qFormat/>
    <w:rPr/>
  </w:style>
  <w:style w:type="character" w:styleId="WW8Num27z8">
    <w:name w:val="WW8Num27z8"/>
    <w:qFormat/>
    <w:rPr/>
  </w:style>
  <w:style w:type="character" w:styleId="WW8Num28z0">
    <w:name w:val="WW8Num28z0"/>
    <w:qFormat/>
    <w:rPr/>
  </w:style>
  <w:style w:type="character" w:styleId="WW8Num28z1">
    <w:name w:val="WW8Num28z1"/>
    <w:qFormat/>
    <w:rPr/>
  </w:style>
  <w:style w:type="character" w:styleId="WW8Num28z2">
    <w:name w:val="WW8Num28z2"/>
    <w:qFormat/>
    <w:rPr/>
  </w:style>
  <w:style w:type="character" w:styleId="WW8Num28z3">
    <w:name w:val="WW8Num28z3"/>
    <w:qFormat/>
    <w:rPr/>
  </w:style>
  <w:style w:type="character" w:styleId="WW8Num28z4">
    <w:name w:val="WW8Num28z4"/>
    <w:qFormat/>
    <w:rPr/>
  </w:style>
  <w:style w:type="character" w:styleId="WW8Num28z5">
    <w:name w:val="WW8Num28z5"/>
    <w:qFormat/>
    <w:rPr/>
  </w:style>
  <w:style w:type="character" w:styleId="WW8Num28z6">
    <w:name w:val="WW8Num28z6"/>
    <w:qFormat/>
    <w:rPr/>
  </w:style>
  <w:style w:type="character" w:styleId="WW8Num28z7">
    <w:name w:val="WW8Num28z7"/>
    <w:qFormat/>
    <w:rPr/>
  </w:style>
  <w:style w:type="character" w:styleId="WW8Num28z8">
    <w:name w:val="WW8Num28z8"/>
    <w:qFormat/>
    <w:rPr/>
  </w:style>
  <w:style w:type="character" w:styleId="WW8Num29z0">
    <w:name w:val="WW8Num29z0"/>
    <w:qFormat/>
    <w:rPr>
      <w:sz w:val="28"/>
    </w:rPr>
  </w:style>
  <w:style w:type="character" w:styleId="WW8Num29z1">
    <w:name w:val="WW8Num29z1"/>
    <w:qFormat/>
    <w:rPr/>
  </w:style>
  <w:style w:type="character" w:styleId="WW8Num29z2">
    <w:name w:val="WW8Num29z2"/>
    <w:qFormat/>
    <w:rPr/>
  </w:style>
  <w:style w:type="character" w:styleId="WW8Num29z3">
    <w:name w:val="WW8Num29z3"/>
    <w:qFormat/>
    <w:rPr/>
  </w:style>
  <w:style w:type="character" w:styleId="WW8Num29z4">
    <w:name w:val="WW8Num29z4"/>
    <w:qFormat/>
    <w:rPr/>
  </w:style>
  <w:style w:type="character" w:styleId="WW8Num29z5">
    <w:name w:val="WW8Num29z5"/>
    <w:qFormat/>
    <w:rPr/>
  </w:style>
  <w:style w:type="character" w:styleId="WW8Num29z6">
    <w:name w:val="WW8Num29z6"/>
    <w:qFormat/>
    <w:rPr/>
  </w:style>
  <w:style w:type="character" w:styleId="WW8Num29z7">
    <w:name w:val="WW8Num29z7"/>
    <w:qFormat/>
    <w:rPr/>
  </w:style>
  <w:style w:type="character" w:styleId="WW8Num29z8">
    <w:name w:val="WW8Num29z8"/>
    <w:qFormat/>
    <w:rPr/>
  </w:style>
  <w:style w:type="character" w:styleId="WW8Num30z0">
    <w:name w:val="WW8Num30z0"/>
    <w:qFormat/>
    <w:rPr>
      <w:rFonts w:ascii="Times New Roman" w:hAnsi="Times New Roman" w:cs="Times New Roman"/>
      <w:b w:val="false"/>
      <w:bCs w:val="false"/>
      <w:i w:val="false"/>
      <w:iCs w:val="false"/>
      <w:strike w:val="false"/>
      <w:dstrike w:val="false"/>
      <w:sz w:val="24"/>
      <w:szCs w:val="24"/>
      <w:u w:val="none"/>
    </w:rPr>
  </w:style>
  <w:style w:type="character" w:styleId="WW8Num31z0">
    <w:name w:val="WW8Num31z0"/>
    <w:qFormat/>
    <w:rPr/>
  </w:style>
  <w:style w:type="character" w:styleId="WW8Num31z1">
    <w:name w:val="WW8Num31z1"/>
    <w:qFormat/>
    <w:rPr/>
  </w:style>
  <w:style w:type="character" w:styleId="WW8Num31z2">
    <w:name w:val="WW8Num31z2"/>
    <w:qFormat/>
    <w:rPr/>
  </w:style>
  <w:style w:type="character" w:styleId="WW8Num31z3">
    <w:name w:val="WW8Num31z3"/>
    <w:qFormat/>
    <w:rPr/>
  </w:style>
  <w:style w:type="character" w:styleId="WW8Num31z4">
    <w:name w:val="WW8Num31z4"/>
    <w:qFormat/>
    <w:rPr/>
  </w:style>
  <w:style w:type="character" w:styleId="WW8Num31z5">
    <w:name w:val="WW8Num31z5"/>
    <w:qFormat/>
    <w:rPr/>
  </w:style>
  <w:style w:type="character" w:styleId="WW8Num31z6">
    <w:name w:val="WW8Num31z6"/>
    <w:qFormat/>
    <w:rPr/>
  </w:style>
  <w:style w:type="character" w:styleId="WW8Num31z7">
    <w:name w:val="WW8Num31z7"/>
    <w:qFormat/>
    <w:rPr/>
  </w:style>
  <w:style w:type="character" w:styleId="WW8Num31z8">
    <w:name w:val="WW8Num31z8"/>
    <w:qFormat/>
    <w:rPr/>
  </w:style>
  <w:style w:type="character" w:styleId="WW8Num32z0">
    <w:name w:val="WW8Num32z0"/>
    <w:qFormat/>
    <w:rPr>
      <w:rFonts w:ascii="Times New Roman" w:hAnsi="Times New Roman" w:eastAsia="Times New Roman" w:cs="Times New Roman"/>
    </w:rPr>
  </w:style>
  <w:style w:type="character" w:styleId="WW8Num32z1">
    <w:name w:val="WW8Num32z1"/>
    <w:qFormat/>
    <w:rPr>
      <w:rFonts w:ascii="Courier New" w:hAnsi="Courier New" w:cs="Courier New"/>
    </w:rPr>
  </w:style>
  <w:style w:type="character" w:styleId="WW8Num32z2">
    <w:name w:val="WW8Num32z2"/>
    <w:qFormat/>
    <w:rPr>
      <w:rFonts w:ascii="Wingdings" w:hAnsi="Wingdings" w:cs="Wingdings"/>
    </w:rPr>
  </w:style>
  <w:style w:type="character" w:styleId="WW8Num32z3">
    <w:name w:val="WW8Num32z3"/>
    <w:qFormat/>
    <w:rPr>
      <w:rFonts w:ascii="Symbol" w:hAnsi="Symbol" w:cs="Symbol"/>
    </w:rPr>
  </w:style>
  <w:style w:type="character" w:styleId="WW8Num33z0">
    <w:name w:val="WW8Num33z0"/>
    <w:qFormat/>
    <w:rPr/>
  </w:style>
  <w:style w:type="character" w:styleId="WW8Num33z1">
    <w:name w:val="WW8Num33z1"/>
    <w:qFormat/>
    <w:rPr/>
  </w:style>
  <w:style w:type="character" w:styleId="WW8Num33z2">
    <w:name w:val="WW8Num33z2"/>
    <w:qFormat/>
    <w:rPr/>
  </w:style>
  <w:style w:type="character" w:styleId="WW8Num33z3">
    <w:name w:val="WW8Num33z3"/>
    <w:qFormat/>
    <w:rPr/>
  </w:style>
  <w:style w:type="character" w:styleId="WW8Num33z4">
    <w:name w:val="WW8Num33z4"/>
    <w:qFormat/>
    <w:rPr/>
  </w:style>
  <w:style w:type="character" w:styleId="WW8Num33z5">
    <w:name w:val="WW8Num33z5"/>
    <w:qFormat/>
    <w:rPr/>
  </w:style>
  <w:style w:type="character" w:styleId="WW8Num33z6">
    <w:name w:val="WW8Num33z6"/>
    <w:qFormat/>
    <w:rPr/>
  </w:style>
  <w:style w:type="character" w:styleId="WW8Num33z7">
    <w:name w:val="WW8Num33z7"/>
    <w:qFormat/>
    <w:rPr/>
  </w:style>
  <w:style w:type="character" w:styleId="WW8Num33z8">
    <w:name w:val="WW8Num33z8"/>
    <w:qFormat/>
    <w:rPr/>
  </w:style>
  <w:style w:type="character" w:styleId="WW8NumSt19z0">
    <w:name w:val="WW8NumSt19z0"/>
    <w:qFormat/>
    <w:rPr/>
  </w:style>
  <w:style w:type="character" w:styleId="Style5">
    <w:name w:val="Основной шрифт абзаца"/>
    <w:qFormat/>
    <w:rPr/>
  </w:style>
  <w:style w:type="character" w:styleId="11">
    <w:name w:val="Заголовок 1 Знак"/>
    <w:basedOn w:val="Style5"/>
    <w:qFormat/>
    <w:rPr>
      <w:rFonts w:ascii="Cambria" w:hAnsi="Cambria" w:cs="Cambria"/>
      <w:b/>
      <w:bCs/>
      <w:kern w:val="2"/>
      <w:sz w:val="32"/>
      <w:szCs w:val="32"/>
    </w:rPr>
  </w:style>
  <w:style w:type="character" w:styleId="21">
    <w:name w:val="Заголовок 2 Знак"/>
    <w:basedOn w:val="Style5"/>
    <w:qFormat/>
    <w:rPr>
      <w:rFonts w:ascii="Cambria" w:hAnsi="Cambria" w:cs="Cambria"/>
      <w:b/>
      <w:bCs/>
      <w:i/>
      <w:iCs/>
      <w:sz w:val="28"/>
      <w:szCs w:val="28"/>
    </w:rPr>
  </w:style>
  <w:style w:type="character" w:styleId="31">
    <w:name w:val="Заголовок 3 Знак"/>
    <w:basedOn w:val="Style5"/>
    <w:qFormat/>
    <w:rPr>
      <w:rFonts w:ascii="Cambria" w:hAnsi="Cambria" w:cs="Cambria"/>
      <w:b/>
      <w:bCs/>
      <w:sz w:val="26"/>
      <w:szCs w:val="26"/>
    </w:rPr>
  </w:style>
  <w:style w:type="character" w:styleId="Style6">
    <w:name w:val="Основной текст Знак"/>
    <w:basedOn w:val="Style5"/>
    <w:qFormat/>
    <w:rPr>
      <w:sz w:val="20"/>
      <w:szCs w:val="20"/>
    </w:rPr>
  </w:style>
  <w:style w:type="character" w:styleId="Style7">
    <w:name w:val="Основной текст с отступом Знак"/>
    <w:basedOn w:val="Style5"/>
    <w:qFormat/>
    <w:rPr>
      <w:sz w:val="20"/>
      <w:szCs w:val="20"/>
    </w:rPr>
  </w:style>
  <w:style w:type="character" w:styleId="22">
    <w:name w:val="Основной текст с отступом 2 Знак"/>
    <w:basedOn w:val="Style5"/>
    <w:qFormat/>
    <w:rPr>
      <w:sz w:val="20"/>
      <w:szCs w:val="20"/>
    </w:rPr>
  </w:style>
  <w:style w:type="character" w:styleId="Style8">
    <w:name w:val="Верхний колонтитул Знак"/>
    <w:basedOn w:val="Style5"/>
    <w:qFormat/>
    <w:rPr>
      <w:sz w:val="20"/>
      <w:szCs w:val="20"/>
    </w:rPr>
  </w:style>
  <w:style w:type="character" w:styleId="Style9">
    <w:name w:val="Номер страницы"/>
    <w:basedOn w:val="Style5"/>
    <w:rPr/>
  </w:style>
  <w:style w:type="character" w:styleId="23">
    <w:name w:val="Основной текст 2 Знак"/>
    <w:basedOn w:val="Style5"/>
    <w:qFormat/>
    <w:rPr>
      <w:sz w:val="20"/>
      <w:szCs w:val="20"/>
    </w:rPr>
  </w:style>
  <w:style w:type="character" w:styleId="32">
    <w:name w:val="Основной текст 3 Знак"/>
    <w:basedOn w:val="Style5"/>
    <w:qFormat/>
    <w:rPr>
      <w:sz w:val="16"/>
      <w:szCs w:val="16"/>
    </w:rPr>
  </w:style>
  <w:style w:type="character" w:styleId="Style10">
    <w:name w:val="Текст Знак"/>
    <w:basedOn w:val="Style5"/>
    <w:qFormat/>
    <w:rPr>
      <w:rFonts w:ascii="Courier New" w:hAnsi="Courier New" w:cs="Courier New"/>
      <w:sz w:val="20"/>
      <w:szCs w:val="20"/>
    </w:rPr>
  </w:style>
  <w:style w:type="character" w:styleId="33">
    <w:name w:val="Основной текст с отступом 3 Знак"/>
    <w:basedOn w:val="Style5"/>
    <w:qFormat/>
    <w:rPr>
      <w:sz w:val="16"/>
      <w:szCs w:val="16"/>
    </w:rPr>
  </w:style>
  <w:style w:type="character" w:styleId="Style11">
    <w:name w:val="Нижний колонтитул Знак"/>
    <w:basedOn w:val="Style5"/>
    <w:qFormat/>
    <w:rPr>
      <w:sz w:val="20"/>
      <w:szCs w:val="20"/>
    </w:rPr>
  </w:style>
  <w:style w:type="character" w:styleId="41">
    <w:name w:val="Заголовок 4 Знак"/>
    <w:basedOn w:val="Style5"/>
    <w:qFormat/>
    <w:rPr>
      <w:rFonts w:ascii="Cambria" w:hAnsi="Cambria" w:eastAsia="Times New Roman" w:cs="Times New Roman"/>
      <w:b/>
      <w:bCs/>
      <w:i/>
      <w:iCs/>
      <w:color w:val="4F81BD"/>
      <w:sz w:val="24"/>
      <w:szCs w:val="24"/>
    </w:rPr>
  </w:style>
  <w:style w:type="character" w:styleId="51">
    <w:name w:val="Заголовок 5 Знак"/>
    <w:basedOn w:val="Style5"/>
    <w:qFormat/>
    <w:rPr>
      <w:color w:val="000000"/>
      <w:sz w:val="28"/>
      <w:szCs w:val="28"/>
    </w:rPr>
  </w:style>
  <w:style w:type="character" w:styleId="61">
    <w:name w:val="Заголовок 6 Знак"/>
    <w:basedOn w:val="Style5"/>
    <w:qFormat/>
    <w:rPr>
      <w:b/>
      <w:bCs/>
      <w:kern w:val="2"/>
      <w:sz w:val="22"/>
      <w:szCs w:val="22"/>
    </w:rPr>
  </w:style>
  <w:style w:type="character" w:styleId="71">
    <w:name w:val="Заголовок 7 Знак"/>
    <w:basedOn w:val="Style5"/>
    <w:qFormat/>
    <w:rPr>
      <w:rFonts w:ascii="Arial" w:hAnsi="Arial" w:cs="Arial"/>
      <w:b/>
      <w:bCs/>
      <w:spacing w:val="204"/>
      <w:sz w:val="72"/>
      <w:szCs w:val="72"/>
    </w:rPr>
  </w:style>
  <w:style w:type="character" w:styleId="81">
    <w:name w:val="Заголовок 8 Знак"/>
    <w:basedOn w:val="Style5"/>
    <w:qFormat/>
    <w:rPr>
      <w:i/>
      <w:iCs/>
      <w:sz w:val="24"/>
      <w:szCs w:val="24"/>
    </w:rPr>
  </w:style>
  <w:style w:type="character" w:styleId="91">
    <w:name w:val="Заголовок 9 Знак"/>
    <w:basedOn w:val="Style5"/>
    <w:qFormat/>
    <w:rPr>
      <w:sz w:val="28"/>
      <w:szCs w:val="24"/>
    </w:rPr>
  </w:style>
  <w:style w:type="character" w:styleId="Style12">
    <w:name w:val="Текст выноски Знак"/>
    <w:basedOn w:val="Style5"/>
    <w:qFormat/>
    <w:rPr>
      <w:rFonts w:ascii="Tahoma" w:hAnsi="Tahoma" w:cs="Tahoma"/>
      <w:sz w:val="16"/>
      <w:szCs w:val="16"/>
    </w:rPr>
  </w:style>
  <w:style w:type="character" w:styleId="Style13">
    <w:name w:val="Интернет-ссылка"/>
    <w:basedOn w:val="Style5"/>
    <w:rPr>
      <w:rFonts w:ascii="Times New Roman" w:hAnsi="Times New Roman" w:cs="Times New Roman"/>
      <w:color w:val="0000FF"/>
      <w:u w:val="single"/>
    </w:rPr>
  </w:style>
  <w:style w:type="character" w:styleId="Style14">
    <w:name w:val="Текст сноски Знак"/>
    <w:basedOn w:val="Style5"/>
    <w:qFormat/>
    <w:rPr>
      <w:szCs w:val="24"/>
    </w:rPr>
  </w:style>
  <w:style w:type="character" w:styleId="Style15">
    <w:name w:val="Текст примечания Знак"/>
    <w:basedOn w:val="Style5"/>
    <w:qFormat/>
    <w:rPr/>
  </w:style>
  <w:style w:type="character" w:styleId="12">
    <w:name w:val="Текст примечания Знак1"/>
    <w:basedOn w:val="Style5"/>
    <w:qFormat/>
    <w:rPr/>
  </w:style>
  <w:style w:type="character" w:styleId="Style16">
    <w:name w:val="Название Знак"/>
    <w:basedOn w:val="Style5"/>
    <w:qFormat/>
    <w:rPr>
      <w:rFonts w:ascii="Cambria" w:hAnsi="Cambria" w:cs="Cambria"/>
      <w:b/>
      <w:bCs/>
      <w:kern w:val="2"/>
      <w:sz w:val="32"/>
      <w:szCs w:val="32"/>
    </w:rPr>
  </w:style>
  <w:style w:type="character" w:styleId="13">
    <w:name w:val="Основной текст с отступом Знак1"/>
    <w:basedOn w:val="Style5"/>
    <w:qFormat/>
    <w:rPr>
      <w:rFonts w:ascii="Times New Roman" w:hAnsi="Times New Roman" w:eastAsia="Times New Roman" w:cs="Times New Roman"/>
      <w:sz w:val="24"/>
      <w:szCs w:val="24"/>
    </w:rPr>
  </w:style>
  <w:style w:type="character" w:styleId="Style17">
    <w:name w:val="Приветствие Знак"/>
    <w:basedOn w:val="Style5"/>
    <w:qFormat/>
    <w:rPr>
      <w:kern w:val="2"/>
      <w:sz w:val="24"/>
      <w:szCs w:val="24"/>
    </w:rPr>
  </w:style>
  <w:style w:type="character" w:styleId="14">
    <w:name w:val="Приветствие Знак1"/>
    <w:basedOn w:val="Style5"/>
    <w:qFormat/>
    <w:rPr/>
  </w:style>
  <w:style w:type="character" w:styleId="Style18">
    <w:name w:val="Дата Знак"/>
    <w:basedOn w:val="Style5"/>
    <w:qFormat/>
    <w:rPr>
      <w:rFonts w:ascii="Courier New" w:hAnsi="Courier New" w:cs="Courier New"/>
      <w:sz w:val="24"/>
      <w:szCs w:val="24"/>
    </w:rPr>
  </w:style>
  <w:style w:type="character" w:styleId="15">
    <w:name w:val="Дата Знак1"/>
    <w:basedOn w:val="Style5"/>
    <w:qFormat/>
    <w:rPr/>
  </w:style>
  <w:style w:type="character" w:styleId="211">
    <w:name w:val="Основной текст 2 Знак1"/>
    <w:basedOn w:val="Style5"/>
    <w:qFormat/>
    <w:rPr>
      <w:rFonts w:ascii="Times New Roman" w:hAnsi="Times New Roman" w:eastAsia="Times New Roman" w:cs="Times New Roman"/>
      <w:sz w:val="24"/>
      <w:szCs w:val="24"/>
    </w:rPr>
  </w:style>
  <w:style w:type="character" w:styleId="311">
    <w:name w:val="Основной текст 3 Знак1"/>
    <w:basedOn w:val="Style5"/>
    <w:qFormat/>
    <w:rPr>
      <w:rFonts w:ascii="Times New Roman" w:hAnsi="Times New Roman" w:eastAsia="Times New Roman" w:cs="Times New Roman"/>
      <w:sz w:val="16"/>
      <w:szCs w:val="16"/>
    </w:rPr>
  </w:style>
  <w:style w:type="character" w:styleId="212">
    <w:name w:val="Основной текст с отступом 2 Знак1"/>
    <w:basedOn w:val="Style5"/>
    <w:qFormat/>
    <w:rPr>
      <w:rFonts w:ascii="Times New Roman" w:hAnsi="Times New Roman" w:eastAsia="Times New Roman" w:cs="Times New Roman"/>
      <w:sz w:val="24"/>
      <w:szCs w:val="24"/>
    </w:rPr>
  </w:style>
  <w:style w:type="character" w:styleId="312">
    <w:name w:val="Основной текст с отступом 3 Знак1"/>
    <w:basedOn w:val="Style5"/>
    <w:qFormat/>
    <w:rPr>
      <w:rFonts w:ascii="Times New Roman" w:hAnsi="Times New Roman" w:eastAsia="Times New Roman" w:cs="Times New Roman"/>
      <w:sz w:val="16"/>
      <w:szCs w:val="16"/>
    </w:rPr>
  </w:style>
  <w:style w:type="character" w:styleId="Style19">
    <w:name w:val="Схема документа Знак"/>
    <w:basedOn w:val="Style5"/>
    <w:qFormat/>
    <w:rPr>
      <w:rFonts w:ascii="Tahoma" w:hAnsi="Tahoma" w:cs="Tahoma"/>
      <w:kern w:val="2"/>
      <w:sz w:val="24"/>
      <w:szCs w:val="24"/>
      <w:shd w:fill="000080" w:val="clear"/>
    </w:rPr>
  </w:style>
  <w:style w:type="character" w:styleId="16">
    <w:name w:val="Схема документа Знак1"/>
    <w:basedOn w:val="Style5"/>
    <w:qFormat/>
    <w:rPr>
      <w:rFonts w:ascii="Tahoma" w:hAnsi="Tahoma" w:cs="Tahoma"/>
      <w:sz w:val="16"/>
      <w:szCs w:val="16"/>
    </w:rPr>
  </w:style>
  <w:style w:type="character" w:styleId="17">
    <w:name w:val="Текст Знак1"/>
    <w:basedOn w:val="Style5"/>
    <w:qFormat/>
    <w:rPr>
      <w:rFonts w:ascii="Consolas" w:hAnsi="Consolas" w:eastAsia="Times New Roman" w:cs="Times New Roman"/>
      <w:sz w:val="21"/>
      <w:szCs w:val="21"/>
    </w:rPr>
  </w:style>
  <w:style w:type="character" w:styleId="Style20">
    <w:name w:val="Тема примечания Знак"/>
    <w:basedOn w:val="Style15"/>
    <w:qFormat/>
    <w:rPr>
      <w:b/>
      <w:bCs/>
      <w:lang w:val="en-US"/>
    </w:rPr>
  </w:style>
  <w:style w:type="character" w:styleId="18">
    <w:name w:val="Тема примечания Знак1"/>
    <w:basedOn w:val="12"/>
    <w:qFormat/>
    <w:rPr>
      <w:b/>
      <w:bCs/>
    </w:rPr>
  </w:style>
  <w:style w:type="character" w:styleId="ProGramma">
    <w:name w:val="Pro-Gramma Знак"/>
    <w:qFormat/>
    <w:rPr>
      <w:rFonts w:ascii="Georgia" w:hAnsi="Georgia" w:cs="Georgia"/>
      <w:sz w:val="24"/>
      <w:szCs w:val="24"/>
    </w:rPr>
  </w:style>
  <w:style w:type="character" w:styleId="19">
    <w:name w:val="Верхний колонтитул Знак1"/>
    <w:basedOn w:val="Style5"/>
    <w:qFormat/>
    <w:rPr>
      <w:rFonts w:ascii="Times New Roman" w:hAnsi="Times New Roman" w:eastAsia="Times New Roman" w:cs="Times New Roman"/>
      <w:sz w:val="24"/>
      <w:szCs w:val="24"/>
    </w:rPr>
  </w:style>
  <w:style w:type="character" w:styleId="110">
    <w:name w:val="Нижний колонтитул Знак1"/>
    <w:basedOn w:val="Style5"/>
    <w:qFormat/>
    <w:rPr>
      <w:rFonts w:ascii="Times New Roman" w:hAnsi="Times New Roman" w:eastAsia="Times New Roman" w:cs="Times New Roman"/>
      <w:sz w:val="24"/>
      <w:szCs w:val="24"/>
    </w:rPr>
  </w:style>
  <w:style w:type="character" w:styleId="111">
    <w:name w:val="Текст выноски Знак1"/>
    <w:basedOn w:val="Style5"/>
    <w:qFormat/>
    <w:rPr>
      <w:rFonts w:ascii="Tahoma" w:hAnsi="Tahoma" w:eastAsia="Times New Roman" w:cs="Tahoma"/>
      <w:sz w:val="16"/>
      <w:szCs w:val="16"/>
    </w:rPr>
  </w:style>
  <w:style w:type="character" w:styleId="112">
    <w:name w:val="Заголовок 1 Знак1"/>
    <w:qFormat/>
    <w:rPr>
      <w:kern w:val="2"/>
      <w:sz w:val="28"/>
      <w:lang w:val="ru-RU"/>
    </w:rPr>
  </w:style>
  <w:style w:type="character" w:styleId="121">
    <w:name w:val="Знак12"/>
    <w:qFormat/>
    <w:rPr>
      <w:kern w:val="2"/>
      <w:sz w:val="24"/>
      <w:lang w:val="ru-RU"/>
    </w:rPr>
  </w:style>
  <w:style w:type="character" w:styleId="24">
    <w:name w:val="Дата Знак2"/>
    <w:qFormat/>
    <w:rPr>
      <w:kern w:val="2"/>
      <w:sz w:val="24"/>
    </w:rPr>
  </w:style>
  <w:style w:type="character" w:styleId="122">
    <w:name w:val="Заголовок 1 Знак2"/>
    <w:qFormat/>
    <w:rPr>
      <w:rFonts w:ascii="Cambria" w:hAnsi="Cambria" w:cs="Cambria"/>
      <w:b/>
      <w:bCs w:val="false"/>
      <w:kern w:val="2"/>
      <w:sz w:val="32"/>
    </w:rPr>
  </w:style>
  <w:style w:type="character" w:styleId="25">
    <w:name w:val="Приветствие Знак2"/>
    <w:qFormat/>
    <w:rPr>
      <w:kern w:val="2"/>
      <w:sz w:val="24"/>
    </w:rPr>
  </w:style>
  <w:style w:type="character" w:styleId="26">
    <w:name w:val="Верхний колонтитул Знак2"/>
    <w:qFormat/>
    <w:rPr>
      <w:kern w:val="2"/>
      <w:sz w:val="24"/>
    </w:rPr>
  </w:style>
  <w:style w:type="character" w:styleId="27">
    <w:name w:val="Нижний колонтитул Знак2"/>
    <w:qFormat/>
    <w:rPr>
      <w:kern w:val="2"/>
      <w:sz w:val="24"/>
    </w:rPr>
  </w:style>
  <w:style w:type="character" w:styleId="20">
    <w:name w:val="Знак20"/>
    <w:qFormat/>
    <w:rPr>
      <w:kern w:val="2"/>
      <w:sz w:val="28"/>
      <w:lang w:val="ru-RU"/>
    </w:rPr>
  </w:style>
  <w:style w:type="character" w:styleId="213">
    <w:name w:val="Заголовок 2 Знак1"/>
    <w:qFormat/>
    <w:rPr>
      <w:rFonts w:ascii="Arial" w:hAnsi="Arial" w:cs="Arial"/>
      <w:b/>
      <w:bCs w:val="false"/>
      <w:i/>
      <w:iCs w:val="false"/>
      <w:kern w:val="2"/>
      <w:sz w:val="28"/>
    </w:rPr>
  </w:style>
  <w:style w:type="character" w:styleId="313">
    <w:name w:val="Заголовок 3 Знак1"/>
    <w:qFormat/>
    <w:rPr>
      <w:rFonts w:ascii="Arial" w:hAnsi="Arial" w:cs="Arial"/>
      <w:b/>
      <w:bCs w:val="false"/>
      <w:kern w:val="2"/>
      <w:sz w:val="26"/>
    </w:rPr>
  </w:style>
  <w:style w:type="character" w:styleId="411">
    <w:name w:val="Заголовок 4 Знак1"/>
    <w:qFormat/>
    <w:rPr>
      <w:rFonts w:ascii="Times New Roman" w:hAnsi="Times New Roman" w:cs="Times New Roman"/>
      <w:b/>
      <w:bCs w:val="false"/>
      <w:kern w:val="2"/>
      <w:sz w:val="28"/>
    </w:rPr>
  </w:style>
  <w:style w:type="character" w:styleId="511">
    <w:name w:val="Заголовок 5 Знак1"/>
    <w:qFormat/>
    <w:rPr>
      <w:rFonts w:ascii="Times New Roman" w:hAnsi="Times New Roman" w:cs="Times New Roman"/>
      <w:color w:val="000000"/>
      <w:sz w:val="28"/>
    </w:rPr>
  </w:style>
  <w:style w:type="character" w:styleId="611">
    <w:name w:val="Заголовок 6 Знак1"/>
    <w:qFormat/>
    <w:rPr>
      <w:rFonts w:ascii="Times New Roman" w:hAnsi="Times New Roman" w:cs="Times New Roman"/>
      <w:b/>
      <w:bCs w:val="false"/>
      <w:kern w:val="2"/>
      <w:sz w:val="22"/>
    </w:rPr>
  </w:style>
  <w:style w:type="character" w:styleId="113">
    <w:name w:val="Основной текст Знак1"/>
    <w:qFormat/>
    <w:rPr>
      <w:rFonts w:ascii="Times New Roman" w:hAnsi="Times New Roman" w:cs="Times New Roman"/>
      <w:kern w:val="2"/>
      <w:sz w:val="24"/>
    </w:rPr>
  </w:style>
  <w:style w:type="character" w:styleId="131">
    <w:name w:val="Знак13"/>
    <w:qFormat/>
    <w:rPr>
      <w:kern w:val="2"/>
      <w:sz w:val="24"/>
      <w:lang w:val="ru-RU"/>
    </w:rPr>
  </w:style>
  <w:style w:type="character" w:styleId="114">
    <w:name w:val="Основной шрифт абзаца1"/>
    <w:qFormat/>
    <w:rPr/>
  </w:style>
  <w:style w:type="character" w:styleId="Style21">
    <w:name w:val="Символ нумерации"/>
    <w:qFormat/>
    <w:rPr/>
  </w:style>
  <w:style w:type="character" w:styleId="115">
    <w:name w:val="Текст сноски Знак1"/>
    <w:basedOn w:val="Style5"/>
    <w:qFormat/>
    <w:rPr>
      <w:sz w:val="20"/>
      <w:szCs w:val="20"/>
    </w:rPr>
  </w:style>
  <w:style w:type="character" w:styleId="28">
    <w:name w:val="Основной текст с отступом Знак2"/>
    <w:basedOn w:val="Style5"/>
    <w:qFormat/>
    <w:rPr>
      <w:rFonts w:ascii="Times New Roman" w:hAnsi="Times New Roman" w:eastAsia="Times New Roman" w:cs="Times New Roman"/>
      <w:sz w:val="24"/>
      <w:szCs w:val="24"/>
    </w:rPr>
  </w:style>
  <w:style w:type="character" w:styleId="Style22">
    <w:name w:val="Посещённая гиперссылка"/>
    <w:basedOn w:val="Style5"/>
    <w:rPr>
      <w:color w:val="800080"/>
      <w:u w:val="single"/>
    </w:rPr>
  </w:style>
  <w:style w:type="paragraph" w:styleId="Style23">
    <w:name w:val="Заголовок"/>
    <w:basedOn w:val="Normal"/>
    <w:next w:val="Normal"/>
    <w:qFormat/>
    <w:pPr>
      <w:overflowPunct w:val="false"/>
      <w:autoSpaceDE w:val="false"/>
      <w:spacing w:before="240" w:after="60"/>
      <w:jc w:val="center"/>
      <w:outlineLvl w:val="0"/>
    </w:pPr>
    <w:rPr>
      <w:rFonts w:ascii="Cambria" w:hAnsi="Cambria" w:cs="Cambria"/>
      <w:b/>
      <w:bCs/>
      <w:kern w:val="2"/>
      <w:sz w:val="32"/>
      <w:szCs w:val="32"/>
    </w:rPr>
  </w:style>
  <w:style w:type="paragraph" w:styleId="Style24">
    <w:name w:val="Body Text"/>
    <w:basedOn w:val="Normal"/>
    <w:pPr>
      <w:spacing w:lineRule="auto" w:line="360"/>
      <w:jc w:val="center"/>
    </w:pPr>
    <w:rPr>
      <w:rFonts w:ascii="Arial" w:hAnsi="Arial" w:cs="Arial"/>
      <w:b/>
      <w:bCs/>
      <w:sz w:val="28"/>
      <w:szCs w:val="28"/>
    </w:rPr>
  </w:style>
  <w:style w:type="paragraph" w:styleId="Style25">
    <w:name w:val="List"/>
    <w:basedOn w:val="Style24"/>
    <w:pPr/>
    <w:rPr>
      <w:rFonts w:cs="Mangal"/>
    </w:rPr>
  </w:style>
  <w:style w:type="paragraph" w:styleId="Style26">
    <w:name w:val="Caption"/>
    <w:basedOn w:val="Normal"/>
    <w:qFormat/>
    <w:pPr>
      <w:suppressLineNumbers/>
      <w:spacing w:before="120" w:after="120"/>
    </w:pPr>
    <w:rPr>
      <w:rFonts w:cs="Mangal"/>
      <w:i/>
      <w:iCs/>
      <w:sz w:val="24"/>
      <w:szCs w:val="24"/>
    </w:rPr>
  </w:style>
  <w:style w:type="paragraph" w:styleId="Style27">
    <w:name w:val="Указатель"/>
    <w:basedOn w:val="Normal"/>
    <w:qFormat/>
    <w:pPr>
      <w:suppressLineNumbers/>
    </w:pPr>
    <w:rPr>
      <w:rFonts w:cs="Mangal"/>
      <w:lang w:val="zxx" w:eastAsia="zxx" w:bidi="zxx"/>
    </w:rPr>
  </w:style>
  <w:style w:type="paragraph" w:styleId="141">
    <w:name w:val="Загл.14"/>
    <w:basedOn w:val="Normal"/>
    <w:qFormat/>
    <w:pPr>
      <w:jc w:val="center"/>
    </w:pPr>
    <w:rPr>
      <w:b/>
      <w:bCs/>
      <w:sz w:val="28"/>
      <w:szCs w:val="28"/>
    </w:rPr>
  </w:style>
  <w:style w:type="paragraph" w:styleId="Style28">
    <w:name w:val="Body Text Indent"/>
    <w:basedOn w:val="Normal"/>
    <w:pPr>
      <w:spacing w:before="60" w:after="0"/>
      <w:ind w:firstLine="708"/>
      <w:jc w:val="both"/>
    </w:pPr>
    <w:rPr>
      <w:rFonts w:ascii="Arial" w:hAnsi="Arial" w:cs="Arial"/>
      <w:sz w:val="26"/>
      <w:szCs w:val="26"/>
    </w:rPr>
  </w:style>
  <w:style w:type="paragraph" w:styleId="29">
    <w:name w:val="Основной текст с отступом 2"/>
    <w:basedOn w:val="Normal"/>
    <w:qFormat/>
    <w:pPr>
      <w:spacing w:lineRule="auto" w:line="288"/>
      <w:ind w:firstLine="709"/>
      <w:jc w:val="both"/>
    </w:pPr>
    <w:rPr>
      <w:rFonts w:ascii="Arial" w:hAnsi="Arial" w:cs="Arial"/>
      <w:sz w:val="26"/>
      <w:szCs w:val="26"/>
    </w:rPr>
  </w:style>
  <w:style w:type="paragraph" w:styleId="Style29">
    <w:name w:val="Колонтитул"/>
    <w:basedOn w:val="Normal"/>
    <w:qFormat/>
    <w:pPr>
      <w:suppressLineNumbers/>
      <w:tabs>
        <w:tab w:val="clear" w:pos="720"/>
        <w:tab w:val="center" w:pos="4819" w:leader="none"/>
        <w:tab w:val="right" w:pos="9638" w:leader="none"/>
      </w:tabs>
    </w:pPr>
    <w:rPr/>
  </w:style>
  <w:style w:type="paragraph" w:styleId="Style30">
    <w:name w:val="Header"/>
    <w:basedOn w:val="Normal"/>
    <w:pPr>
      <w:tabs>
        <w:tab w:val="clear" w:pos="720"/>
        <w:tab w:val="center" w:pos="4677" w:leader="none"/>
        <w:tab w:val="right" w:pos="9355" w:leader="none"/>
      </w:tabs>
    </w:pPr>
    <w:rPr/>
  </w:style>
  <w:style w:type="paragraph" w:styleId="210">
    <w:name w:val="Основной текст 2"/>
    <w:basedOn w:val="Normal"/>
    <w:qFormat/>
    <w:pPr>
      <w:jc w:val="center"/>
    </w:pPr>
    <w:rPr>
      <w:rFonts w:ascii="Arial" w:hAnsi="Arial" w:cs="Arial"/>
      <w:sz w:val="24"/>
      <w:szCs w:val="24"/>
    </w:rPr>
  </w:style>
  <w:style w:type="paragraph" w:styleId="34">
    <w:name w:val="Основной текст 3"/>
    <w:basedOn w:val="Normal"/>
    <w:qFormat/>
    <w:pPr>
      <w:jc w:val="center"/>
    </w:pPr>
    <w:rPr>
      <w:rFonts w:ascii="Arial" w:hAnsi="Arial" w:cs="Arial"/>
      <w:b/>
      <w:bCs/>
      <w:sz w:val="26"/>
      <w:szCs w:val="26"/>
    </w:rPr>
  </w:style>
  <w:style w:type="paragraph" w:styleId="Style31">
    <w:name w:val="Текст"/>
    <w:basedOn w:val="Normal"/>
    <w:qFormat/>
    <w:pPr/>
    <w:rPr>
      <w:rFonts w:ascii="Courier New" w:hAnsi="Courier New" w:cs="Courier New"/>
    </w:rPr>
  </w:style>
  <w:style w:type="paragraph" w:styleId="35">
    <w:name w:val="Основной текст с отступом 3"/>
    <w:basedOn w:val="Normal"/>
    <w:qFormat/>
    <w:pPr>
      <w:spacing w:before="40" w:after="0"/>
      <w:ind w:firstLine="708"/>
      <w:jc w:val="both"/>
    </w:pPr>
    <w:rPr>
      <w:rFonts w:ascii="Arial" w:hAnsi="Arial" w:eastAsia="MS Mincho;ＭＳ 明朝" w:cs="Arial"/>
      <w:sz w:val="24"/>
      <w:szCs w:val="24"/>
    </w:rPr>
  </w:style>
  <w:style w:type="paragraph" w:styleId="1415">
    <w:name w:val="14-15"/>
    <w:basedOn w:val="Normal"/>
    <w:qFormat/>
    <w:pPr>
      <w:spacing w:lineRule="auto" w:line="360"/>
      <w:ind w:firstLine="720"/>
      <w:jc w:val="both"/>
    </w:pPr>
    <w:rPr>
      <w:rFonts w:ascii="Times New Roman CYR" w:hAnsi="Times New Roman CYR" w:cs="Times New Roman CYR"/>
      <w:spacing w:val="4"/>
      <w:sz w:val="28"/>
      <w:szCs w:val="28"/>
    </w:rPr>
  </w:style>
  <w:style w:type="paragraph" w:styleId="Style32">
    <w:name w:val="Footer"/>
    <w:basedOn w:val="Normal"/>
    <w:pPr>
      <w:tabs>
        <w:tab w:val="clear" w:pos="720"/>
        <w:tab w:val="center" w:pos="4677" w:leader="none"/>
        <w:tab w:val="right" w:pos="9355" w:leader="none"/>
      </w:tabs>
    </w:pPr>
    <w:rPr/>
  </w:style>
  <w:style w:type="paragraph" w:styleId="1411">
    <w:name w:val="Текст14-1"/>
    <w:basedOn w:val="Normal"/>
    <w:qFormat/>
    <w:pPr>
      <w:spacing w:lineRule="auto" w:line="360"/>
      <w:ind w:firstLine="720"/>
      <w:jc w:val="both"/>
    </w:pPr>
    <w:rPr>
      <w:sz w:val="28"/>
      <w:szCs w:val="28"/>
    </w:rPr>
  </w:style>
  <w:style w:type="paragraph" w:styleId="116">
    <w:name w:val="Без интервала1"/>
    <w:qFormat/>
    <w:pPr>
      <w:widowControl/>
      <w:bidi w:val="0"/>
    </w:pPr>
    <w:rPr>
      <w:rFonts w:ascii="Times New Roman" w:hAnsi="Times New Roman" w:eastAsia="Times New Roman" w:cs="Times New Roman"/>
      <w:color w:val="auto"/>
      <w:sz w:val="20"/>
      <w:szCs w:val="20"/>
      <w:lang w:val="ru-RU" w:bidi="ar-SA" w:eastAsia="zh-CN"/>
    </w:rPr>
  </w:style>
  <w:style w:type="paragraph" w:styleId="Style33">
    <w:name w:val="Абзац списка"/>
    <w:basedOn w:val="Normal"/>
    <w:qFormat/>
    <w:pPr>
      <w:spacing w:lineRule="auto" w:line="276" w:before="0" w:after="200"/>
      <w:ind w:left="720" w:hanging="0"/>
      <w:contextualSpacing/>
    </w:pPr>
    <w:rPr>
      <w:rFonts w:ascii="Calibri" w:hAnsi="Calibri" w:eastAsia="Calibri" w:cs="Calibri"/>
      <w:sz w:val="22"/>
      <w:szCs w:val="22"/>
    </w:rPr>
  </w:style>
  <w:style w:type="paragraph" w:styleId="ConsPlusNormal">
    <w:name w:val="ConsPlusNormal"/>
    <w:qFormat/>
    <w:pPr>
      <w:widowControl w:val="false"/>
      <w:autoSpaceDE w:val="false"/>
      <w:bidi w:val="0"/>
    </w:pPr>
    <w:rPr>
      <w:rFonts w:ascii="Calibri" w:hAnsi="Calibri" w:eastAsia="Times New Roman" w:cs="Calibri"/>
      <w:color w:val="auto"/>
      <w:sz w:val="22"/>
      <w:szCs w:val="20"/>
      <w:lang w:val="ru-RU" w:bidi="ar-SA" w:eastAsia="zh-CN"/>
    </w:rPr>
  </w:style>
  <w:style w:type="paragraph" w:styleId="Times12">
    <w:name w:val="Times12"/>
    <w:basedOn w:val="Normal"/>
    <w:qFormat/>
    <w:pPr>
      <w:overflowPunct w:val="false"/>
      <w:autoSpaceDE w:val="false"/>
      <w:ind w:firstLine="709"/>
      <w:jc w:val="both"/>
    </w:pPr>
    <w:rPr>
      <w:sz w:val="24"/>
    </w:rPr>
  </w:style>
  <w:style w:type="paragraph" w:styleId="ConsNormal">
    <w:name w:val="ConsNormal"/>
    <w:qFormat/>
    <w:pPr>
      <w:widowControl/>
      <w:autoSpaceDE w:val="false"/>
      <w:bidi w:val="0"/>
      <w:ind w:firstLine="720"/>
    </w:pPr>
    <w:rPr>
      <w:rFonts w:ascii="Arial" w:hAnsi="Arial" w:eastAsia="Times New Roman" w:cs="Arial"/>
      <w:color w:val="auto"/>
      <w:sz w:val="20"/>
      <w:szCs w:val="20"/>
      <w:lang w:val="ru-RU" w:bidi="ar-SA" w:eastAsia="zh-CN"/>
    </w:rPr>
  </w:style>
  <w:style w:type="paragraph" w:styleId="ConsPlusTitle">
    <w:name w:val="ConsPlusTitle"/>
    <w:qFormat/>
    <w:pPr>
      <w:widowControl w:val="false"/>
      <w:autoSpaceDE w:val="false"/>
      <w:bidi w:val="0"/>
    </w:pPr>
    <w:rPr>
      <w:rFonts w:ascii="Arial" w:hAnsi="Arial" w:eastAsia="Times New Roman" w:cs="Arial"/>
      <w:b/>
      <w:bCs/>
      <w:color w:val="auto"/>
      <w:sz w:val="20"/>
      <w:szCs w:val="20"/>
      <w:lang w:val="ru-RU" w:bidi="ar-SA" w:eastAsia="zh-CN"/>
    </w:rPr>
  </w:style>
  <w:style w:type="paragraph" w:styleId="Style34">
    <w:name w:val="Текст выноски"/>
    <w:basedOn w:val="Normal"/>
    <w:qFormat/>
    <w:pPr/>
    <w:rPr>
      <w:rFonts w:ascii="Tahoma" w:hAnsi="Tahoma" w:cs="Tahoma"/>
      <w:sz w:val="16"/>
      <w:szCs w:val="16"/>
    </w:rPr>
  </w:style>
  <w:style w:type="paragraph" w:styleId="ConsPlusNonformat">
    <w:name w:val="ConsPlusNonformat"/>
    <w:qFormat/>
    <w:pPr>
      <w:widowControl w:val="false"/>
      <w:autoSpaceDE w:val="false"/>
      <w:bidi w:val="0"/>
    </w:pPr>
    <w:rPr>
      <w:rFonts w:ascii="Courier New" w:hAnsi="Courier New" w:eastAsia="Times New Roman" w:cs="Courier New"/>
      <w:color w:val="auto"/>
      <w:sz w:val="20"/>
      <w:szCs w:val="20"/>
      <w:lang w:val="ru-RU" w:bidi="ar-SA" w:eastAsia="zh-CN"/>
    </w:rPr>
  </w:style>
  <w:style w:type="paragraph" w:styleId="ConsNonformat">
    <w:name w:val="ConsNonformat"/>
    <w:qFormat/>
    <w:pPr>
      <w:widowControl/>
      <w:autoSpaceDE w:val="false"/>
      <w:bidi w:val="0"/>
    </w:pPr>
    <w:rPr>
      <w:rFonts w:ascii="Courier New" w:hAnsi="Courier New" w:eastAsia="Times New Roman" w:cs="Courier New"/>
      <w:color w:val="auto"/>
      <w:sz w:val="20"/>
      <w:szCs w:val="20"/>
      <w:lang w:val="ru-RU" w:bidi="ar-SA" w:eastAsia="zh-CN"/>
    </w:rPr>
  </w:style>
  <w:style w:type="paragraph" w:styleId="117">
    <w:name w:val="Основной текст с отступом1"/>
    <w:basedOn w:val="Normal"/>
    <w:qFormat/>
    <w:pPr>
      <w:autoSpaceDE w:val="false"/>
      <w:ind w:firstLine="567"/>
      <w:jc w:val="both"/>
    </w:pPr>
    <w:rPr>
      <w:sz w:val="24"/>
      <w:szCs w:val="24"/>
    </w:rPr>
  </w:style>
  <w:style w:type="paragraph" w:styleId="Style35">
    <w:name w:val="Footnote Text"/>
    <w:basedOn w:val="Normal"/>
    <w:pPr/>
    <w:rPr>
      <w:szCs w:val="24"/>
    </w:rPr>
  </w:style>
  <w:style w:type="paragraph" w:styleId="Style36">
    <w:name w:val="Текст примечания"/>
    <w:basedOn w:val="Normal"/>
    <w:qFormat/>
    <w:pPr/>
    <w:rPr/>
  </w:style>
  <w:style w:type="paragraph" w:styleId="Style37">
    <w:name w:val="Envelope Address"/>
    <w:basedOn w:val="Normal"/>
    <w:pPr>
      <w:overflowPunct w:val="false"/>
      <w:autoSpaceDE w:val="false"/>
      <w:spacing w:before="0" w:after="120"/>
      <w:ind w:left="2880" w:hanging="0"/>
    </w:pPr>
    <w:rPr>
      <w:rFonts w:ascii="Arial" w:hAnsi="Arial" w:cs="Arial"/>
      <w:kern w:val="2"/>
      <w:sz w:val="24"/>
      <w:szCs w:val="24"/>
    </w:rPr>
  </w:style>
  <w:style w:type="paragraph" w:styleId="Style38">
    <w:name w:val="Приветствие"/>
    <w:basedOn w:val="Normal"/>
    <w:next w:val="Normal"/>
    <w:qFormat/>
    <w:pPr>
      <w:overflowPunct w:val="false"/>
      <w:autoSpaceDE w:val="false"/>
      <w:spacing w:before="0" w:after="120"/>
    </w:pPr>
    <w:rPr>
      <w:kern w:val="2"/>
      <w:sz w:val="24"/>
      <w:szCs w:val="24"/>
    </w:rPr>
  </w:style>
  <w:style w:type="paragraph" w:styleId="Style39">
    <w:name w:val="Дата"/>
    <w:basedOn w:val="Normal"/>
    <w:next w:val="Normal"/>
    <w:qFormat/>
    <w:pPr>
      <w:overflowPunct w:val="false"/>
      <w:autoSpaceDE w:val="false"/>
      <w:spacing w:before="0" w:after="720"/>
      <w:ind w:left="4680" w:hanging="0"/>
    </w:pPr>
    <w:rPr>
      <w:rFonts w:ascii="Courier New" w:hAnsi="Courier New" w:cs="Courier New"/>
      <w:sz w:val="24"/>
      <w:szCs w:val="24"/>
    </w:rPr>
  </w:style>
  <w:style w:type="paragraph" w:styleId="Style40">
    <w:name w:val="Схема документа"/>
    <w:basedOn w:val="Normal"/>
    <w:qFormat/>
    <w:pPr>
      <w:shd w:fill="000080" w:val="clear"/>
      <w:overflowPunct w:val="false"/>
      <w:autoSpaceDE w:val="false"/>
      <w:spacing w:before="0" w:after="120"/>
    </w:pPr>
    <w:rPr>
      <w:rFonts w:ascii="Tahoma" w:hAnsi="Tahoma" w:cs="Tahoma"/>
      <w:kern w:val="2"/>
      <w:sz w:val="24"/>
      <w:szCs w:val="24"/>
    </w:rPr>
  </w:style>
  <w:style w:type="paragraph" w:styleId="Style41">
    <w:name w:val="Тема примечания"/>
    <w:basedOn w:val="Style36"/>
    <w:next w:val="Style36"/>
    <w:qFormat/>
    <w:pPr/>
    <w:rPr>
      <w:b/>
      <w:bCs/>
      <w:lang w:val="en-US"/>
    </w:rPr>
  </w:style>
  <w:style w:type="paragraph" w:styleId="Style42">
    <w:name w:val="Без интервала"/>
    <w:qFormat/>
    <w:pPr>
      <w:widowControl/>
      <w:bidi w:val="0"/>
    </w:pPr>
    <w:rPr>
      <w:rFonts w:ascii="Calibri" w:hAnsi="Calibri" w:eastAsia="Calibri" w:cs="Calibri"/>
      <w:color w:val="auto"/>
      <w:sz w:val="22"/>
      <w:szCs w:val="22"/>
      <w:lang w:val="ru-RU" w:bidi="ar-SA" w:eastAsia="zh-CN"/>
    </w:rPr>
  </w:style>
  <w:style w:type="paragraph" w:styleId="ConsPlusCell">
    <w:name w:val="ConsPlusCell"/>
    <w:qFormat/>
    <w:pPr>
      <w:widowControl/>
      <w:autoSpaceDE w:val="false"/>
      <w:bidi w:val="0"/>
    </w:pPr>
    <w:rPr>
      <w:rFonts w:ascii="Times New Roman" w:hAnsi="Times New Roman" w:eastAsia="Times New Roman" w:cs="Times New Roman"/>
      <w:color w:val="auto"/>
      <w:sz w:val="24"/>
      <w:szCs w:val="24"/>
      <w:lang w:val="ru-RU" w:bidi="ar-SA" w:eastAsia="zh-CN"/>
    </w:rPr>
  </w:style>
  <w:style w:type="paragraph" w:styleId="Eiiey">
    <w:name w:val="Eiiey"/>
    <w:basedOn w:val="Normal"/>
    <w:qFormat/>
    <w:pPr>
      <w:overflowPunct w:val="false"/>
      <w:autoSpaceDE w:val="false"/>
      <w:spacing w:before="240" w:after="0"/>
      <w:ind w:left="547" w:hanging="547"/>
    </w:pPr>
    <w:rPr>
      <w:rFonts w:ascii="Courier New" w:hAnsi="Courier New" w:cs="Courier New"/>
      <w:sz w:val="24"/>
      <w:szCs w:val="24"/>
    </w:rPr>
  </w:style>
  <w:style w:type="paragraph" w:styleId="Iaaoiueaaan">
    <w:name w:val="Ia?aoiue aa?an"/>
    <w:basedOn w:val="Style37"/>
    <w:next w:val="Style39"/>
    <w:qFormat/>
    <w:pPr>
      <w:keepLines/>
      <w:spacing w:before="0" w:after="0"/>
      <w:ind w:left="4680" w:hanging="0"/>
    </w:pPr>
    <w:rPr>
      <w:rFonts w:ascii="Courier New" w:hAnsi="Courier New" w:cs="Courier New"/>
      <w:kern w:val="0"/>
    </w:rPr>
  </w:style>
  <w:style w:type="paragraph" w:styleId="NoieaAieiaiea">
    <w:name w:val="No?iea Aieiaiea"/>
    <w:basedOn w:val="Normal"/>
    <w:next w:val="Style38"/>
    <w:qFormat/>
    <w:pPr>
      <w:overflowPunct w:val="false"/>
      <w:autoSpaceDE w:val="false"/>
      <w:spacing w:before="240" w:after="0"/>
      <w:jc w:val="center"/>
    </w:pPr>
    <w:rPr>
      <w:rFonts w:ascii="Courier New" w:hAnsi="Courier New" w:cs="Courier New"/>
      <w:sz w:val="24"/>
      <w:szCs w:val="24"/>
    </w:rPr>
  </w:style>
  <w:style w:type="paragraph" w:styleId="118">
    <w:name w:val="Знак1 Знак Знак"/>
    <w:basedOn w:val="Normal"/>
    <w:qFormat/>
    <w:pPr>
      <w:spacing w:before="100" w:after="100"/>
    </w:pPr>
    <w:rPr>
      <w:rFonts w:ascii="Tahoma" w:hAnsi="Tahoma" w:cs="Tahoma"/>
      <w:lang w:val="en-US"/>
    </w:rPr>
  </w:style>
  <w:style w:type="paragraph" w:styleId="Times14">
    <w:name w:val="Times14"/>
    <w:basedOn w:val="Normal"/>
    <w:qFormat/>
    <w:pPr>
      <w:autoSpaceDE w:val="false"/>
      <w:ind w:firstLine="851"/>
      <w:jc w:val="both"/>
    </w:pPr>
    <w:rPr>
      <w:sz w:val="28"/>
      <w:szCs w:val="28"/>
    </w:rPr>
  </w:style>
  <w:style w:type="paragraph" w:styleId="ConsCell">
    <w:name w:val="ConsCell"/>
    <w:qFormat/>
    <w:pPr>
      <w:widowControl/>
      <w:autoSpaceDE w:val="false"/>
      <w:bidi w:val="0"/>
    </w:pPr>
    <w:rPr>
      <w:rFonts w:ascii="Arial" w:hAnsi="Arial" w:eastAsia="Times New Roman" w:cs="Arial"/>
      <w:color w:val="auto"/>
      <w:sz w:val="20"/>
      <w:szCs w:val="20"/>
      <w:lang w:val="ru-RU" w:bidi="ar-SA" w:eastAsia="zh-CN"/>
    </w:rPr>
  </w:style>
  <w:style w:type="paragraph" w:styleId="Courier14">
    <w:name w:val="Courier14"/>
    <w:basedOn w:val="Normal"/>
    <w:qFormat/>
    <w:pPr>
      <w:autoSpaceDE w:val="false"/>
      <w:ind w:firstLine="851"/>
      <w:jc w:val="both"/>
    </w:pPr>
    <w:rPr>
      <w:rFonts w:ascii="Courier New" w:hAnsi="Courier New" w:cs="Courier New"/>
      <w:sz w:val="28"/>
      <w:szCs w:val="28"/>
    </w:rPr>
  </w:style>
  <w:style w:type="paragraph" w:styleId="Style43">
    <w:name w:val="МОН"/>
    <w:basedOn w:val="Normal"/>
    <w:qFormat/>
    <w:pPr>
      <w:autoSpaceDE w:val="false"/>
      <w:spacing w:lineRule="auto" w:line="360"/>
      <w:ind w:firstLine="709"/>
      <w:jc w:val="both"/>
    </w:pPr>
    <w:rPr>
      <w:sz w:val="28"/>
      <w:szCs w:val="28"/>
    </w:rPr>
  </w:style>
  <w:style w:type="paragraph" w:styleId="ConsPlusDocList">
    <w:name w:val="ConsPlusDocList"/>
    <w:qFormat/>
    <w:pPr>
      <w:widowControl w:val="false"/>
      <w:autoSpaceDE w:val="false"/>
      <w:bidi w:val="0"/>
    </w:pPr>
    <w:rPr>
      <w:rFonts w:ascii="Courier New" w:hAnsi="Courier New" w:eastAsia="Times New Roman" w:cs="Courier New"/>
      <w:color w:val="auto"/>
      <w:sz w:val="20"/>
      <w:szCs w:val="20"/>
      <w:lang w:val="ru-RU" w:bidi="ar-SA" w:eastAsia="zh-CN"/>
    </w:rPr>
  </w:style>
  <w:style w:type="paragraph" w:styleId="Heading">
    <w:name w:val="Heading"/>
    <w:qFormat/>
    <w:pPr>
      <w:widowControl w:val="false"/>
      <w:autoSpaceDE w:val="false"/>
      <w:bidi w:val="0"/>
    </w:pPr>
    <w:rPr>
      <w:rFonts w:ascii="Times New Roman" w:hAnsi="Times New Roman" w:eastAsia="Times New Roman" w:cs="Times New Roman"/>
      <w:b/>
      <w:bCs/>
      <w:color w:val="auto"/>
      <w:sz w:val="28"/>
      <w:szCs w:val="28"/>
      <w:lang w:val="ru-RU" w:bidi="ar-SA" w:eastAsia="zh-CN"/>
    </w:rPr>
  </w:style>
  <w:style w:type="paragraph" w:styleId="Oaenoaieoiaioa">
    <w:name w:val="Oaeno aieoiaioa"/>
    <w:basedOn w:val="Normal"/>
    <w:qFormat/>
    <w:pPr>
      <w:suppressAutoHyphens w:val="true"/>
      <w:ind w:firstLine="709"/>
      <w:jc w:val="both"/>
    </w:pPr>
    <w:rPr>
      <w:rFonts w:ascii="Times New Roman CYR" w:hAnsi="Times New Roman CYR" w:cs="Times New Roman CYR"/>
      <w:sz w:val="28"/>
      <w:szCs w:val="28"/>
    </w:rPr>
  </w:style>
  <w:style w:type="paragraph" w:styleId="ConsTitle">
    <w:name w:val="ConsTitle"/>
    <w:qFormat/>
    <w:pPr>
      <w:widowControl/>
      <w:bidi w:val="0"/>
    </w:pPr>
    <w:rPr>
      <w:rFonts w:ascii="Arial" w:hAnsi="Arial" w:eastAsia="Times New Roman" w:cs="Arial"/>
      <w:b/>
      <w:bCs/>
      <w:color w:val="auto"/>
      <w:sz w:val="16"/>
      <w:szCs w:val="16"/>
      <w:lang w:val="ru-RU" w:bidi="ar-SA" w:eastAsia="zh-CN"/>
    </w:rPr>
  </w:style>
  <w:style w:type="paragraph" w:styleId="14pt">
    <w:name w:val="Стиль 14 pt по центру"/>
    <w:basedOn w:val="Normal"/>
    <w:qFormat/>
    <w:pPr>
      <w:overflowPunct w:val="false"/>
      <w:autoSpaceDE w:val="false"/>
      <w:spacing w:before="0" w:after="120"/>
      <w:jc w:val="center"/>
    </w:pPr>
    <w:rPr>
      <w:rFonts w:ascii="Times New Roman CYR" w:hAnsi="Times New Roman CYR" w:cs="Times New Roman CYR"/>
      <w:kern w:val="2"/>
      <w:sz w:val="28"/>
      <w:szCs w:val="28"/>
    </w:rPr>
  </w:style>
  <w:style w:type="paragraph" w:styleId="151">
    <w:name w:val="Знак1 Знак Знак5"/>
    <w:basedOn w:val="Normal"/>
    <w:qFormat/>
    <w:pPr>
      <w:spacing w:before="100" w:after="100"/>
    </w:pPr>
    <w:rPr>
      <w:rFonts w:ascii="Tahoma" w:hAnsi="Tahoma" w:cs="Tahoma"/>
      <w:lang w:val="en-US"/>
    </w:rPr>
  </w:style>
  <w:style w:type="paragraph" w:styleId="Style44">
    <w:name w:val="Знак Знак Знак Знак Знак Знак Знак Знак Знак"/>
    <w:basedOn w:val="Normal"/>
    <w:qFormat/>
    <w:pPr>
      <w:spacing w:before="100" w:after="100"/>
    </w:pPr>
    <w:rPr>
      <w:rFonts w:ascii="Tahoma" w:hAnsi="Tahoma" w:cs="Tahoma"/>
      <w:lang w:val="en-US"/>
    </w:rPr>
  </w:style>
  <w:style w:type="paragraph" w:styleId="Style45">
    <w:name w:val="Знак Знак"/>
    <w:basedOn w:val="Normal"/>
    <w:qFormat/>
    <w:pPr>
      <w:spacing w:before="100" w:after="100"/>
    </w:pPr>
    <w:rPr>
      <w:rFonts w:ascii="Tahoma" w:hAnsi="Tahoma" w:cs="Tahoma"/>
      <w:lang w:val="en-US"/>
    </w:rPr>
  </w:style>
  <w:style w:type="paragraph" w:styleId="123">
    <w:name w:val="Знак1 Знак Знак2"/>
    <w:basedOn w:val="Normal"/>
    <w:qFormat/>
    <w:pPr>
      <w:spacing w:before="100" w:after="100"/>
    </w:pPr>
    <w:rPr>
      <w:rFonts w:ascii="Tahoma" w:hAnsi="Tahoma" w:cs="Tahoma"/>
      <w:lang w:val="en-US"/>
    </w:rPr>
  </w:style>
  <w:style w:type="paragraph" w:styleId="42">
    <w:name w:val="Знак Знак Знак Знак Знак Знак Знак Знак Знак4"/>
    <w:basedOn w:val="Normal"/>
    <w:qFormat/>
    <w:pPr>
      <w:spacing w:before="100" w:after="100"/>
    </w:pPr>
    <w:rPr>
      <w:rFonts w:ascii="Tahoma" w:hAnsi="Tahoma" w:cs="Tahoma"/>
      <w:lang w:val="en-US"/>
    </w:rPr>
  </w:style>
  <w:style w:type="paragraph" w:styleId="119">
    <w:name w:val="Стиль1"/>
    <w:basedOn w:val="Normal"/>
    <w:qFormat/>
    <w:pPr>
      <w:jc w:val="center"/>
    </w:pPr>
    <w:rPr>
      <w:b/>
      <w:bCs/>
      <w:sz w:val="28"/>
      <w:szCs w:val="28"/>
    </w:rPr>
  </w:style>
  <w:style w:type="paragraph" w:styleId="214">
    <w:name w:val="Стиль2"/>
    <w:basedOn w:val="Times14"/>
    <w:qFormat/>
    <w:pPr>
      <w:autoSpaceDE w:val="true"/>
      <w:spacing w:before="100" w:after="100"/>
    </w:pPr>
    <w:rPr/>
  </w:style>
  <w:style w:type="paragraph" w:styleId="1110">
    <w:name w:val="Знак1 Знак Знак1"/>
    <w:basedOn w:val="Normal"/>
    <w:qFormat/>
    <w:pPr>
      <w:spacing w:before="100" w:after="100"/>
    </w:pPr>
    <w:rPr>
      <w:rFonts w:ascii="Tahoma" w:hAnsi="Tahoma" w:cs="Tahoma"/>
      <w:lang w:val="en-US"/>
    </w:rPr>
  </w:style>
  <w:style w:type="paragraph" w:styleId="120">
    <w:name w:val="Знак Знак Знак Знак Знак Знак Знак Знак Знак1"/>
    <w:basedOn w:val="Normal"/>
    <w:qFormat/>
    <w:pPr>
      <w:spacing w:before="100" w:after="100"/>
    </w:pPr>
    <w:rPr>
      <w:rFonts w:ascii="Tahoma" w:hAnsi="Tahoma" w:cs="Tahoma"/>
      <w:lang w:val="en-US"/>
    </w:rPr>
  </w:style>
  <w:style w:type="paragraph" w:styleId="132">
    <w:name w:val="Знак1 Знак Знак3"/>
    <w:basedOn w:val="Normal"/>
    <w:qFormat/>
    <w:pPr>
      <w:spacing w:before="100" w:after="100"/>
    </w:pPr>
    <w:rPr>
      <w:rFonts w:ascii="Tahoma" w:hAnsi="Tahoma" w:cs="Tahoma"/>
      <w:lang w:val="en-US"/>
    </w:rPr>
  </w:style>
  <w:style w:type="paragraph" w:styleId="43">
    <w:name w:val="Знак Знак4"/>
    <w:basedOn w:val="Normal"/>
    <w:qFormat/>
    <w:pPr>
      <w:spacing w:before="100" w:after="100"/>
    </w:pPr>
    <w:rPr>
      <w:rFonts w:ascii="Tahoma" w:hAnsi="Tahoma" w:cs="Tahoma"/>
      <w:lang w:val="en-US"/>
    </w:rPr>
  </w:style>
  <w:style w:type="paragraph" w:styleId="215">
    <w:name w:val="Знак Знак Знак Знак Знак Знак Знак Знак Знак2"/>
    <w:basedOn w:val="Normal"/>
    <w:qFormat/>
    <w:pPr>
      <w:spacing w:before="100" w:after="100"/>
    </w:pPr>
    <w:rPr>
      <w:rFonts w:ascii="Tahoma" w:hAnsi="Tahoma" w:cs="Tahoma"/>
      <w:lang w:val="en-US"/>
    </w:rPr>
  </w:style>
  <w:style w:type="paragraph" w:styleId="36">
    <w:name w:val="Знак Знак3"/>
    <w:basedOn w:val="Normal"/>
    <w:qFormat/>
    <w:pPr>
      <w:spacing w:before="100" w:after="100"/>
    </w:pPr>
    <w:rPr>
      <w:rFonts w:ascii="Tahoma" w:hAnsi="Tahoma" w:cs="Tahoma"/>
      <w:lang w:val="en-US"/>
    </w:rPr>
  </w:style>
  <w:style w:type="paragraph" w:styleId="142">
    <w:name w:val="Знак1 Знак Знак4"/>
    <w:basedOn w:val="Normal"/>
    <w:qFormat/>
    <w:pPr>
      <w:spacing w:before="100" w:after="100"/>
    </w:pPr>
    <w:rPr>
      <w:rFonts w:ascii="Tahoma" w:hAnsi="Tahoma" w:cs="Tahoma"/>
      <w:lang w:val="en-US"/>
    </w:rPr>
  </w:style>
  <w:style w:type="paragraph" w:styleId="37">
    <w:name w:val="Знак Знак Знак Знак Знак Знак Знак Знак Знак3"/>
    <w:basedOn w:val="Normal"/>
    <w:qFormat/>
    <w:pPr>
      <w:spacing w:before="100" w:after="100"/>
    </w:pPr>
    <w:rPr>
      <w:rFonts w:ascii="Tahoma" w:hAnsi="Tahoma" w:cs="Tahoma"/>
      <w:lang w:val="en-US"/>
    </w:rPr>
  </w:style>
  <w:style w:type="paragraph" w:styleId="216">
    <w:name w:val="Знак Знак2"/>
    <w:basedOn w:val="Normal"/>
    <w:qFormat/>
    <w:pPr>
      <w:spacing w:before="100" w:after="100"/>
    </w:pPr>
    <w:rPr>
      <w:rFonts w:ascii="Tahoma" w:hAnsi="Tahoma" w:cs="Tahoma"/>
      <w:lang w:val="en-US"/>
    </w:rPr>
  </w:style>
  <w:style w:type="paragraph" w:styleId="161">
    <w:name w:val="Знак1 Знак Знак6"/>
    <w:basedOn w:val="Normal"/>
    <w:qFormat/>
    <w:pPr>
      <w:spacing w:before="100" w:after="100"/>
    </w:pPr>
    <w:rPr>
      <w:rFonts w:ascii="Tahoma" w:hAnsi="Tahoma" w:cs="Tahoma"/>
      <w:lang w:val="en-US"/>
    </w:rPr>
  </w:style>
  <w:style w:type="paragraph" w:styleId="52">
    <w:name w:val="Знак Знак Знак Знак Знак Знак Знак Знак Знак5"/>
    <w:basedOn w:val="Normal"/>
    <w:qFormat/>
    <w:pPr>
      <w:spacing w:before="100" w:after="100"/>
    </w:pPr>
    <w:rPr>
      <w:rFonts w:ascii="Tahoma" w:hAnsi="Tahoma" w:cs="Tahoma"/>
      <w:lang w:val="en-US"/>
    </w:rPr>
  </w:style>
  <w:style w:type="paragraph" w:styleId="53">
    <w:name w:val="Знак Знак5"/>
    <w:basedOn w:val="Normal"/>
    <w:qFormat/>
    <w:pPr>
      <w:spacing w:before="100" w:after="100"/>
    </w:pPr>
    <w:rPr>
      <w:rFonts w:ascii="Tahoma" w:hAnsi="Tahoma" w:cs="Tahoma"/>
      <w:lang w:val="en-US"/>
    </w:rPr>
  </w:style>
  <w:style w:type="paragraph" w:styleId="62">
    <w:name w:val="Знак Знак Знак Знак Знак Знак Знак Знак Знак6"/>
    <w:basedOn w:val="Normal"/>
    <w:qFormat/>
    <w:pPr>
      <w:spacing w:before="100" w:after="100"/>
    </w:pPr>
    <w:rPr>
      <w:rFonts w:ascii="Tahoma" w:hAnsi="Tahoma" w:cs="Tahoma"/>
      <w:lang w:val="en-US"/>
    </w:rPr>
  </w:style>
  <w:style w:type="paragraph" w:styleId="63">
    <w:name w:val="Знак Знак6"/>
    <w:basedOn w:val="Normal"/>
    <w:qFormat/>
    <w:pPr>
      <w:spacing w:before="100" w:after="100"/>
    </w:pPr>
    <w:rPr>
      <w:rFonts w:ascii="Tahoma" w:hAnsi="Tahoma" w:cs="Tahoma"/>
      <w:lang w:val="en-US"/>
    </w:rPr>
  </w:style>
  <w:style w:type="paragraph" w:styleId="72">
    <w:name w:val="Знак Знак Знак Знак Знак Знак Знак Знак Знак7"/>
    <w:basedOn w:val="Normal"/>
    <w:qFormat/>
    <w:pPr>
      <w:spacing w:before="100" w:after="100"/>
    </w:pPr>
    <w:rPr>
      <w:rFonts w:ascii="Tahoma" w:hAnsi="Tahoma" w:cs="Tahoma"/>
      <w:lang w:val="en-US"/>
    </w:rPr>
  </w:style>
  <w:style w:type="paragraph" w:styleId="171">
    <w:name w:val="Знак1 Знак Знак7"/>
    <w:basedOn w:val="Normal"/>
    <w:qFormat/>
    <w:pPr>
      <w:spacing w:before="100" w:after="100"/>
    </w:pPr>
    <w:rPr>
      <w:rFonts w:ascii="Tahoma" w:hAnsi="Tahoma" w:cs="Tahoma"/>
      <w:lang w:val="en-US"/>
    </w:rPr>
  </w:style>
  <w:style w:type="paragraph" w:styleId="82">
    <w:name w:val="Знак Знак Знак Знак Знак Знак Знак Знак Знак8"/>
    <w:basedOn w:val="Normal"/>
    <w:qFormat/>
    <w:pPr>
      <w:spacing w:before="100" w:after="100"/>
    </w:pPr>
    <w:rPr>
      <w:rFonts w:ascii="Tahoma" w:hAnsi="Tahoma" w:cs="Tahoma"/>
      <w:lang w:val="en-US"/>
    </w:rPr>
  </w:style>
  <w:style w:type="paragraph" w:styleId="Xl65">
    <w:name w:val="xl65"/>
    <w:basedOn w:val="Normal"/>
    <w:qFormat/>
    <w:pPr>
      <w:pBdr>
        <w:top w:val="single" w:sz="4" w:space="0" w:color="000000"/>
        <w:left w:val="single" w:sz="4" w:space="0" w:color="000000"/>
        <w:bottom w:val="single" w:sz="4" w:space="0" w:color="000000"/>
        <w:right w:val="single" w:sz="4" w:space="0" w:color="000000"/>
      </w:pBdr>
      <w:spacing w:before="100" w:after="100"/>
      <w:jc w:val="center"/>
    </w:pPr>
    <w:rPr>
      <w:rFonts w:ascii="Arial" w:hAnsi="Arial" w:cs="Arial"/>
      <w:sz w:val="24"/>
      <w:szCs w:val="24"/>
    </w:rPr>
  </w:style>
  <w:style w:type="paragraph" w:styleId="Xl66">
    <w:name w:val="xl66"/>
    <w:basedOn w:val="Normal"/>
    <w:qFormat/>
    <w:pPr>
      <w:pBdr>
        <w:top w:val="single" w:sz="4" w:space="0" w:color="000000"/>
        <w:left w:val="single" w:sz="4" w:space="0" w:color="000000"/>
        <w:bottom w:val="single" w:sz="4" w:space="0" w:color="000000"/>
        <w:right w:val="single" w:sz="4" w:space="0" w:color="000000"/>
      </w:pBdr>
      <w:spacing w:before="100" w:after="100"/>
      <w:jc w:val="center"/>
    </w:pPr>
    <w:rPr>
      <w:rFonts w:ascii="Arial" w:hAnsi="Arial" w:cs="Arial"/>
      <w:b/>
      <w:bCs/>
      <w:sz w:val="24"/>
      <w:szCs w:val="24"/>
    </w:rPr>
  </w:style>
  <w:style w:type="paragraph" w:styleId="Xl67">
    <w:name w:val="xl67"/>
    <w:basedOn w:val="Normal"/>
    <w:qFormat/>
    <w:pPr>
      <w:pBdr>
        <w:top w:val="single" w:sz="4" w:space="0" w:color="000000"/>
        <w:left w:val="single" w:sz="4" w:space="0" w:color="000000"/>
        <w:bottom w:val="single" w:sz="4" w:space="0" w:color="000000"/>
        <w:right w:val="single" w:sz="4" w:space="0" w:color="000000"/>
      </w:pBdr>
      <w:spacing w:before="100" w:after="100"/>
    </w:pPr>
    <w:rPr>
      <w:rFonts w:ascii="Arial" w:hAnsi="Arial" w:cs="Arial"/>
      <w:sz w:val="24"/>
      <w:szCs w:val="24"/>
    </w:rPr>
  </w:style>
  <w:style w:type="paragraph" w:styleId="Xl68">
    <w:name w:val="xl68"/>
    <w:basedOn w:val="Normal"/>
    <w:qFormat/>
    <w:pPr>
      <w:pBdr>
        <w:top w:val="single" w:sz="4" w:space="0" w:color="000000"/>
        <w:left w:val="single" w:sz="4" w:space="0" w:color="000000"/>
        <w:bottom w:val="single" w:sz="4" w:space="0" w:color="000000"/>
        <w:right w:val="single" w:sz="4" w:space="0" w:color="000000"/>
      </w:pBdr>
      <w:spacing w:before="100" w:after="100"/>
      <w:jc w:val="center"/>
    </w:pPr>
    <w:rPr>
      <w:rFonts w:ascii="Arial" w:hAnsi="Arial" w:cs="Arial"/>
      <w:sz w:val="24"/>
      <w:szCs w:val="24"/>
    </w:rPr>
  </w:style>
  <w:style w:type="paragraph" w:styleId="Xl69">
    <w:name w:val="xl69"/>
    <w:basedOn w:val="Normal"/>
    <w:qFormat/>
    <w:pPr>
      <w:pBdr>
        <w:top w:val="single" w:sz="4" w:space="0" w:color="000000"/>
        <w:left w:val="single" w:sz="4" w:space="0" w:color="000000"/>
        <w:bottom w:val="single" w:sz="4" w:space="0" w:color="000000"/>
        <w:right w:val="single" w:sz="4" w:space="0" w:color="000000"/>
      </w:pBdr>
      <w:spacing w:before="100" w:after="100"/>
    </w:pPr>
    <w:rPr>
      <w:rFonts w:ascii="Arial" w:hAnsi="Arial" w:cs="Arial"/>
      <w:b/>
      <w:bCs/>
      <w:sz w:val="24"/>
      <w:szCs w:val="24"/>
    </w:rPr>
  </w:style>
  <w:style w:type="paragraph" w:styleId="Xl70">
    <w:name w:val="xl70"/>
    <w:basedOn w:val="Normal"/>
    <w:qFormat/>
    <w:pPr>
      <w:pBdr>
        <w:top w:val="single" w:sz="4" w:space="0" w:color="000000"/>
        <w:left w:val="single" w:sz="4" w:space="0" w:color="000000"/>
        <w:bottom w:val="single" w:sz="4" w:space="0" w:color="000000"/>
        <w:right w:val="single" w:sz="4" w:space="0" w:color="000000"/>
      </w:pBdr>
      <w:spacing w:before="100" w:after="100"/>
    </w:pPr>
    <w:rPr>
      <w:sz w:val="24"/>
      <w:szCs w:val="24"/>
    </w:rPr>
  </w:style>
  <w:style w:type="paragraph" w:styleId="Xl71">
    <w:name w:val="xl71"/>
    <w:basedOn w:val="Normal"/>
    <w:qFormat/>
    <w:pPr>
      <w:pBdr>
        <w:top w:val="single" w:sz="4" w:space="0" w:color="000000"/>
        <w:left w:val="single" w:sz="4" w:space="0" w:color="000000"/>
        <w:bottom w:val="single" w:sz="4" w:space="0" w:color="000000"/>
        <w:right w:val="single" w:sz="4" w:space="0" w:color="000000"/>
      </w:pBdr>
      <w:spacing w:before="100" w:after="100"/>
      <w:jc w:val="center"/>
    </w:pPr>
    <w:rPr>
      <w:sz w:val="24"/>
      <w:szCs w:val="24"/>
    </w:rPr>
  </w:style>
  <w:style w:type="paragraph" w:styleId="Xl72">
    <w:name w:val="xl72"/>
    <w:basedOn w:val="Normal"/>
    <w:qFormat/>
    <w:pPr>
      <w:pBdr>
        <w:top w:val="single" w:sz="4" w:space="0" w:color="000000"/>
        <w:left w:val="single" w:sz="4" w:space="0" w:color="000000"/>
        <w:bottom w:val="single" w:sz="4" w:space="0" w:color="000000"/>
        <w:right w:val="single" w:sz="4" w:space="0" w:color="000000"/>
      </w:pBdr>
      <w:spacing w:before="100" w:after="100"/>
    </w:pPr>
    <w:rPr>
      <w:b/>
      <w:bCs/>
      <w:sz w:val="24"/>
      <w:szCs w:val="24"/>
    </w:rPr>
  </w:style>
  <w:style w:type="paragraph" w:styleId="Xl73">
    <w:name w:val="xl73"/>
    <w:basedOn w:val="Normal"/>
    <w:qFormat/>
    <w:pPr>
      <w:pBdr>
        <w:top w:val="single" w:sz="4" w:space="0" w:color="000000"/>
        <w:left w:val="single" w:sz="4" w:space="0" w:color="000000"/>
        <w:bottom w:val="single" w:sz="4" w:space="0" w:color="000000"/>
        <w:right w:val="single" w:sz="4" w:space="0" w:color="000000"/>
      </w:pBdr>
      <w:spacing w:before="100" w:after="100"/>
      <w:jc w:val="center"/>
    </w:pPr>
    <w:rPr>
      <w:b/>
      <w:bCs/>
      <w:sz w:val="24"/>
      <w:szCs w:val="24"/>
    </w:rPr>
  </w:style>
  <w:style w:type="paragraph" w:styleId="Xl74">
    <w:name w:val="xl74"/>
    <w:basedOn w:val="Normal"/>
    <w:qFormat/>
    <w:pPr>
      <w:pBdr>
        <w:top w:val="single" w:sz="4" w:space="0" w:color="000000"/>
        <w:left w:val="single" w:sz="4" w:space="0" w:color="000000"/>
        <w:bottom w:val="single" w:sz="4" w:space="0" w:color="000000"/>
        <w:right w:val="single" w:sz="4" w:space="0" w:color="000000"/>
      </w:pBdr>
      <w:spacing w:before="100" w:after="100"/>
      <w:jc w:val="center"/>
    </w:pPr>
    <w:rPr>
      <w:sz w:val="24"/>
      <w:szCs w:val="24"/>
    </w:rPr>
  </w:style>
  <w:style w:type="paragraph" w:styleId="Xl75">
    <w:name w:val="xl75"/>
    <w:basedOn w:val="Normal"/>
    <w:qFormat/>
    <w:pPr>
      <w:pBdr>
        <w:top w:val="single" w:sz="4" w:space="0" w:color="000000"/>
        <w:left w:val="single" w:sz="4" w:space="0" w:color="000000"/>
        <w:bottom w:val="single" w:sz="4" w:space="0" w:color="000000"/>
        <w:right w:val="single" w:sz="4" w:space="0" w:color="000000"/>
      </w:pBdr>
      <w:spacing w:before="100" w:after="100"/>
    </w:pPr>
    <w:rPr>
      <w:sz w:val="24"/>
      <w:szCs w:val="24"/>
    </w:rPr>
  </w:style>
  <w:style w:type="paragraph" w:styleId="Xl76">
    <w:name w:val="xl76"/>
    <w:basedOn w:val="Normal"/>
    <w:qFormat/>
    <w:pPr>
      <w:pBdr>
        <w:left w:val="single" w:sz="4" w:space="0" w:color="000000"/>
        <w:bottom w:val="single" w:sz="4" w:space="0" w:color="000000"/>
        <w:right w:val="single" w:sz="4" w:space="0" w:color="000000"/>
      </w:pBdr>
      <w:spacing w:before="100" w:after="100"/>
      <w:jc w:val="center"/>
    </w:pPr>
    <w:rPr>
      <w:b/>
      <w:bCs/>
      <w:sz w:val="24"/>
      <w:szCs w:val="24"/>
    </w:rPr>
  </w:style>
  <w:style w:type="paragraph" w:styleId="Xl77">
    <w:name w:val="xl77"/>
    <w:basedOn w:val="Normal"/>
    <w:qFormat/>
    <w:pPr>
      <w:spacing w:before="100" w:after="100"/>
    </w:pPr>
    <w:rPr>
      <w:b/>
      <w:bCs/>
      <w:sz w:val="24"/>
      <w:szCs w:val="24"/>
    </w:rPr>
  </w:style>
  <w:style w:type="paragraph" w:styleId="Xl78">
    <w:name w:val="xl78"/>
    <w:basedOn w:val="Normal"/>
    <w:qFormat/>
    <w:pPr>
      <w:pBdr>
        <w:left w:val="single" w:sz="4" w:space="0" w:color="000000"/>
        <w:bottom w:val="single" w:sz="4" w:space="0" w:color="000000"/>
        <w:right w:val="single" w:sz="4" w:space="0" w:color="000000"/>
      </w:pBdr>
      <w:spacing w:before="100" w:after="100"/>
      <w:jc w:val="center"/>
    </w:pPr>
    <w:rPr>
      <w:rFonts w:ascii="Arial" w:hAnsi="Arial" w:cs="Arial"/>
      <w:sz w:val="24"/>
      <w:szCs w:val="24"/>
    </w:rPr>
  </w:style>
  <w:style w:type="paragraph" w:styleId="Xl79">
    <w:name w:val="xl79"/>
    <w:basedOn w:val="Normal"/>
    <w:qFormat/>
    <w:pPr>
      <w:pBdr>
        <w:left w:val="single" w:sz="4" w:space="0" w:color="000000"/>
        <w:bottom w:val="single" w:sz="4" w:space="0" w:color="000000"/>
        <w:right w:val="single" w:sz="4" w:space="0" w:color="000000"/>
      </w:pBdr>
      <w:spacing w:before="100" w:after="100"/>
    </w:pPr>
    <w:rPr>
      <w:b/>
      <w:bCs/>
      <w:sz w:val="24"/>
      <w:szCs w:val="24"/>
    </w:rPr>
  </w:style>
  <w:style w:type="paragraph" w:styleId="Xl80">
    <w:name w:val="xl80"/>
    <w:basedOn w:val="Normal"/>
    <w:qFormat/>
    <w:pPr>
      <w:pBdr>
        <w:top w:val="single" w:sz="4" w:space="0" w:color="000000"/>
        <w:left w:val="single" w:sz="4" w:space="0" w:color="000000"/>
        <w:bottom w:val="single" w:sz="4" w:space="0" w:color="000000"/>
        <w:right w:val="single" w:sz="4" w:space="0" w:color="000000"/>
      </w:pBdr>
      <w:spacing w:before="100" w:after="100"/>
    </w:pPr>
    <w:rPr>
      <w:sz w:val="24"/>
      <w:szCs w:val="24"/>
    </w:rPr>
  </w:style>
  <w:style w:type="paragraph" w:styleId="Xl81">
    <w:name w:val="xl81"/>
    <w:basedOn w:val="Normal"/>
    <w:qFormat/>
    <w:pPr>
      <w:pBdr>
        <w:top w:val="single" w:sz="4" w:space="0" w:color="000000"/>
        <w:left w:val="single" w:sz="4" w:space="0" w:color="000000"/>
        <w:bottom w:val="single" w:sz="4" w:space="0" w:color="000000"/>
        <w:right w:val="single" w:sz="4" w:space="0" w:color="000000"/>
      </w:pBdr>
      <w:spacing w:before="100" w:after="100"/>
    </w:pPr>
    <w:rPr>
      <w:b/>
      <w:bCs/>
      <w:sz w:val="24"/>
      <w:szCs w:val="24"/>
    </w:rPr>
  </w:style>
  <w:style w:type="paragraph" w:styleId="Xl82">
    <w:name w:val="xl82"/>
    <w:basedOn w:val="Normal"/>
    <w:qFormat/>
    <w:pPr>
      <w:pBdr>
        <w:top w:val="single" w:sz="4" w:space="0" w:color="000000"/>
        <w:left w:val="single" w:sz="4" w:space="0" w:color="000000"/>
        <w:bottom w:val="single" w:sz="4" w:space="0" w:color="000000"/>
        <w:right w:val="single" w:sz="4" w:space="0" w:color="000000"/>
      </w:pBdr>
      <w:spacing w:before="100" w:after="100"/>
    </w:pPr>
    <w:rPr>
      <w:rFonts w:ascii="Arial" w:hAnsi="Arial" w:cs="Arial"/>
      <w:sz w:val="24"/>
      <w:szCs w:val="24"/>
    </w:rPr>
  </w:style>
  <w:style w:type="paragraph" w:styleId="Xl83">
    <w:name w:val="xl83"/>
    <w:basedOn w:val="Normal"/>
    <w:qFormat/>
    <w:pPr>
      <w:spacing w:before="100" w:after="100"/>
    </w:pPr>
    <w:rPr>
      <w:rFonts w:ascii="Arial" w:hAnsi="Arial" w:cs="Arial"/>
      <w:sz w:val="24"/>
      <w:szCs w:val="24"/>
    </w:rPr>
  </w:style>
  <w:style w:type="paragraph" w:styleId="Xl84">
    <w:name w:val="xl84"/>
    <w:basedOn w:val="Normal"/>
    <w:qFormat/>
    <w:pPr>
      <w:spacing w:before="100" w:after="100"/>
    </w:pPr>
    <w:rPr>
      <w:rFonts w:ascii="Arial" w:hAnsi="Arial" w:cs="Arial"/>
      <w:b/>
      <w:bCs/>
      <w:sz w:val="24"/>
      <w:szCs w:val="24"/>
    </w:rPr>
  </w:style>
  <w:style w:type="paragraph" w:styleId="Xl85">
    <w:name w:val="xl85"/>
    <w:basedOn w:val="Normal"/>
    <w:qFormat/>
    <w:pPr>
      <w:pBdr>
        <w:left w:val="single" w:sz="4" w:space="0" w:color="000000"/>
        <w:bottom w:val="single" w:sz="4" w:space="0" w:color="000000"/>
        <w:right w:val="single" w:sz="4" w:space="0" w:color="000000"/>
      </w:pBdr>
      <w:spacing w:before="100" w:after="100"/>
    </w:pPr>
    <w:rPr>
      <w:sz w:val="24"/>
      <w:szCs w:val="24"/>
    </w:rPr>
  </w:style>
  <w:style w:type="paragraph" w:styleId="Xl86">
    <w:name w:val="xl86"/>
    <w:basedOn w:val="Normal"/>
    <w:qFormat/>
    <w:pPr>
      <w:pBdr>
        <w:top w:val="single" w:sz="4" w:space="0" w:color="000000"/>
        <w:left w:val="single" w:sz="4" w:space="0" w:color="000000"/>
        <w:bottom w:val="single" w:sz="4" w:space="0" w:color="000000"/>
        <w:right w:val="single" w:sz="4" w:space="0" w:color="000000"/>
      </w:pBdr>
      <w:spacing w:before="100" w:after="100"/>
      <w:jc w:val="center"/>
    </w:pPr>
    <w:rPr>
      <w:sz w:val="24"/>
      <w:szCs w:val="24"/>
    </w:rPr>
  </w:style>
  <w:style w:type="paragraph" w:styleId="Xl87">
    <w:name w:val="xl87"/>
    <w:basedOn w:val="Normal"/>
    <w:qFormat/>
    <w:pPr>
      <w:pBdr>
        <w:top w:val="single" w:sz="4" w:space="0" w:color="000000"/>
        <w:left w:val="single" w:sz="4" w:space="0" w:color="000000"/>
        <w:bottom w:val="single" w:sz="4" w:space="0" w:color="000000"/>
        <w:right w:val="single" w:sz="4" w:space="0" w:color="000000"/>
      </w:pBdr>
      <w:spacing w:before="100" w:after="100"/>
    </w:pPr>
    <w:rPr>
      <w:rFonts w:ascii="Arial" w:hAnsi="Arial" w:cs="Arial"/>
      <w:sz w:val="24"/>
      <w:szCs w:val="24"/>
    </w:rPr>
  </w:style>
  <w:style w:type="paragraph" w:styleId="Xl88">
    <w:name w:val="xl88"/>
    <w:basedOn w:val="Normal"/>
    <w:qFormat/>
    <w:pPr>
      <w:pBdr>
        <w:top w:val="single" w:sz="4" w:space="0" w:color="000000"/>
        <w:left w:val="single" w:sz="4" w:space="0" w:color="000000"/>
        <w:bottom w:val="single" w:sz="4" w:space="0" w:color="000000"/>
        <w:right w:val="single" w:sz="4" w:space="0" w:color="000000"/>
      </w:pBdr>
      <w:spacing w:before="100" w:after="100"/>
      <w:jc w:val="center"/>
    </w:pPr>
    <w:rPr>
      <w:rFonts w:ascii="Arial" w:hAnsi="Arial" w:cs="Arial"/>
      <w:sz w:val="24"/>
      <w:szCs w:val="24"/>
    </w:rPr>
  </w:style>
  <w:style w:type="paragraph" w:styleId="Xl89">
    <w:name w:val="xl89"/>
    <w:basedOn w:val="Normal"/>
    <w:qFormat/>
    <w:pPr>
      <w:pBdr>
        <w:top w:val="single" w:sz="4" w:space="0" w:color="000000"/>
        <w:bottom w:val="single" w:sz="4" w:space="0" w:color="000000"/>
        <w:right w:val="single" w:sz="4" w:space="0" w:color="000000"/>
      </w:pBdr>
      <w:spacing w:before="100" w:after="100"/>
    </w:pPr>
    <w:rPr>
      <w:sz w:val="24"/>
      <w:szCs w:val="24"/>
    </w:rPr>
  </w:style>
  <w:style w:type="paragraph" w:styleId="Xl90">
    <w:name w:val="xl90"/>
    <w:basedOn w:val="Normal"/>
    <w:qFormat/>
    <w:pPr>
      <w:pBdr>
        <w:top w:val="single" w:sz="4" w:space="0" w:color="000000"/>
        <w:left w:val="single" w:sz="4" w:space="0" w:color="000000"/>
        <w:bottom w:val="single" w:sz="4" w:space="0" w:color="000000"/>
        <w:right w:val="single" w:sz="4" w:space="0" w:color="000000"/>
      </w:pBdr>
      <w:spacing w:before="100" w:after="100"/>
      <w:jc w:val="right"/>
    </w:pPr>
    <w:rPr>
      <w:b/>
      <w:bCs/>
      <w:sz w:val="24"/>
      <w:szCs w:val="24"/>
    </w:rPr>
  </w:style>
  <w:style w:type="paragraph" w:styleId="Xl91">
    <w:name w:val="xl91"/>
    <w:basedOn w:val="Normal"/>
    <w:qFormat/>
    <w:pPr>
      <w:pBdr>
        <w:top w:val="single" w:sz="4" w:space="0" w:color="000000"/>
        <w:left w:val="single" w:sz="4" w:space="0" w:color="000000"/>
        <w:bottom w:val="single" w:sz="4" w:space="0" w:color="000000"/>
        <w:right w:val="single" w:sz="4" w:space="0" w:color="000000"/>
      </w:pBdr>
      <w:spacing w:before="100" w:after="100"/>
      <w:jc w:val="right"/>
    </w:pPr>
    <w:rPr>
      <w:sz w:val="24"/>
      <w:szCs w:val="24"/>
    </w:rPr>
  </w:style>
  <w:style w:type="paragraph" w:styleId="Xl92">
    <w:name w:val="xl92"/>
    <w:basedOn w:val="Normal"/>
    <w:qFormat/>
    <w:pPr>
      <w:pBdr>
        <w:left w:val="single" w:sz="4" w:space="0" w:color="000000"/>
        <w:bottom w:val="single" w:sz="4" w:space="0" w:color="000000"/>
        <w:right w:val="single" w:sz="4" w:space="0" w:color="000000"/>
      </w:pBdr>
      <w:spacing w:before="100" w:after="100"/>
      <w:jc w:val="right"/>
    </w:pPr>
    <w:rPr>
      <w:sz w:val="24"/>
      <w:szCs w:val="24"/>
    </w:rPr>
  </w:style>
  <w:style w:type="paragraph" w:styleId="Xl93">
    <w:name w:val="xl93"/>
    <w:basedOn w:val="Normal"/>
    <w:qFormat/>
    <w:pPr>
      <w:pBdr>
        <w:top w:val="single" w:sz="4" w:space="0" w:color="000000"/>
        <w:left w:val="single" w:sz="4" w:space="0" w:color="000000"/>
        <w:bottom w:val="single" w:sz="4" w:space="0" w:color="000000"/>
        <w:right w:val="single" w:sz="4" w:space="0" w:color="000000"/>
      </w:pBdr>
      <w:spacing w:before="100" w:after="100"/>
      <w:jc w:val="right"/>
    </w:pPr>
    <w:rPr>
      <w:rFonts w:ascii="Arial" w:hAnsi="Arial" w:cs="Arial"/>
      <w:sz w:val="24"/>
      <w:szCs w:val="24"/>
    </w:rPr>
  </w:style>
  <w:style w:type="paragraph" w:styleId="Xl94">
    <w:name w:val="xl94"/>
    <w:basedOn w:val="Normal"/>
    <w:qFormat/>
    <w:pPr>
      <w:spacing w:before="100" w:after="100"/>
    </w:pPr>
    <w:rPr>
      <w:rFonts w:ascii="Arial" w:hAnsi="Arial" w:cs="Arial"/>
      <w:color w:val="FF0000"/>
      <w:sz w:val="24"/>
      <w:szCs w:val="24"/>
    </w:rPr>
  </w:style>
  <w:style w:type="paragraph" w:styleId="Xl95">
    <w:name w:val="xl95"/>
    <w:basedOn w:val="Normal"/>
    <w:qFormat/>
    <w:pPr>
      <w:pBdr>
        <w:top w:val="single" w:sz="4" w:space="0" w:color="000000"/>
        <w:bottom w:val="single" w:sz="4" w:space="0" w:color="000000"/>
        <w:right w:val="single" w:sz="4" w:space="0" w:color="000000"/>
      </w:pBdr>
      <w:spacing w:before="100" w:after="100"/>
      <w:jc w:val="right"/>
    </w:pPr>
    <w:rPr>
      <w:sz w:val="24"/>
      <w:szCs w:val="24"/>
    </w:rPr>
  </w:style>
  <w:style w:type="paragraph" w:styleId="Xl96">
    <w:name w:val="xl96"/>
    <w:basedOn w:val="Normal"/>
    <w:qFormat/>
    <w:pPr>
      <w:spacing w:before="100" w:after="100"/>
    </w:pPr>
    <w:rPr>
      <w:color w:val="0000FF"/>
      <w:sz w:val="24"/>
      <w:szCs w:val="24"/>
    </w:rPr>
  </w:style>
  <w:style w:type="paragraph" w:styleId="Xl97">
    <w:name w:val="xl97"/>
    <w:basedOn w:val="Normal"/>
    <w:qFormat/>
    <w:pPr>
      <w:spacing w:before="100" w:after="100"/>
    </w:pPr>
    <w:rPr>
      <w:rFonts w:ascii="Arial" w:hAnsi="Arial" w:cs="Arial"/>
      <w:color w:val="0000FF"/>
      <w:sz w:val="24"/>
      <w:szCs w:val="24"/>
    </w:rPr>
  </w:style>
  <w:style w:type="paragraph" w:styleId="Xl98">
    <w:name w:val="xl98"/>
    <w:basedOn w:val="Normal"/>
    <w:qFormat/>
    <w:pPr>
      <w:spacing w:before="100" w:after="100"/>
    </w:pPr>
    <w:rPr>
      <w:b/>
      <w:bCs/>
      <w:color w:val="0000FF"/>
      <w:sz w:val="24"/>
      <w:szCs w:val="24"/>
    </w:rPr>
  </w:style>
  <w:style w:type="paragraph" w:styleId="Xl99">
    <w:name w:val="xl99"/>
    <w:basedOn w:val="Normal"/>
    <w:qFormat/>
    <w:pPr>
      <w:spacing w:before="100" w:after="100"/>
    </w:pPr>
    <w:rPr>
      <w:rFonts w:ascii="Arial" w:hAnsi="Arial" w:cs="Arial"/>
      <w:b/>
      <w:bCs/>
      <w:color w:val="0000FF"/>
      <w:sz w:val="24"/>
      <w:szCs w:val="24"/>
    </w:rPr>
  </w:style>
  <w:style w:type="paragraph" w:styleId="Xl100">
    <w:name w:val="xl100"/>
    <w:basedOn w:val="Normal"/>
    <w:qFormat/>
    <w:pPr>
      <w:spacing w:before="100" w:after="100"/>
    </w:pPr>
    <w:rPr>
      <w:b/>
      <w:bCs/>
      <w:color w:val="FF0000"/>
      <w:sz w:val="24"/>
      <w:szCs w:val="24"/>
    </w:rPr>
  </w:style>
  <w:style w:type="paragraph" w:styleId="Xl101">
    <w:name w:val="xl101"/>
    <w:basedOn w:val="Normal"/>
    <w:qFormat/>
    <w:pPr>
      <w:spacing w:before="100" w:after="100"/>
    </w:pPr>
    <w:rPr>
      <w:color w:val="FF0000"/>
      <w:sz w:val="24"/>
      <w:szCs w:val="24"/>
    </w:rPr>
  </w:style>
  <w:style w:type="paragraph" w:styleId="Xl102">
    <w:name w:val="xl102"/>
    <w:basedOn w:val="Normal"/>
    <w:qFormat/>
    <w:pPr>
      <w:spacing w:before="100" w:after="100"/>
    </w:pPr>
    <w:rPr>
      <w:color w:val="800000"/>
      <w:sz w:val="24"/>
      <w:szCs w:val="24"/>
    </w:rPr>
  </w:style>
  <w:style w:type="paragraph" w:styleId="Xl103">
    <w:name w:val="xl103"/>
    <w:basedOn w:val="Normal"/>
    <w:qFormat/>
    <w:pPr>
      <w:pBdr>
        <w:left w:val="single" w:sz="4" w:space="0" w:color="000000"/>
        <w:bottom w:val="single" w:sz="4" w:space="0" w:color="000000"/>
        <w:right w:val="single" w:sz="4" w:space="0" w:color="000000"/>
      </w:pBdr>
      <w:spacing w:before="100" w:after="100"/>
    </w:pPr>
    <w:rPr>
      <w:rFonts w:ascii="Arial" w:hAnsi="Arial" w:cs="Arial"/>
      <w:b/>
      <w:bCs/>
      <w:sz w:val="24"/>
      <w:szCs w:val="24"/>
    </w:rPr>
  </w:style>
  <w:style w:type="paragraph" w:styleId="Xl104">
    <w:name w:val="xl104"/>
    <w:basedOn w:val="Normal"/>
    <w:qFormat/>
    <w:pPr>
      <w:pBdr>
        <w:left w:val="single" w:sz="4" w:space="0" w:color="000000"/>
        <w:bottom w:val="single" w:sz="4" w:space="0" w:color="000000"/>
        <w:right w:val="single" w:sz="4" w:space="0" w:color="000000"/>
      </w:pBdr>
      <w:spacing w:before="100" w:after="100"/>
      <w:jc w:val="center"/>
    </w:pPr>
    <w:rPr>
      <w:rFonts w:ascii="Arial" w:hAnsi="Arial" w:cs="Arial"/>
      <w:b/>
      <w:bCs/>
      <w:sz w:val="24"/>
      <w:szCs w:val="24"/>
    </w:rPr>
  </w:style>
  <w:style w:type="paragraph" w:styleId="Xl105">
    <w:name w:val="xl105"/>
    <w:basedOn w:val="Normal"/>
    <w:qFormat/>
    <w:pPr>
      <w:pBdr>
        <w:top w:val="single" w:sz="4" w:space="0" w:color="000000"/>
        <w:left w:val="single" w:sz="4" w:space="0" w:color="000000"/>
        <w:bottom w:val="single" w:sz="4" w:space="0" w:color="000000"/>
        <w:right w:val="single" w:sz="4" w:space="0" w:color="000000"/>
      </w:pBdr>
      <w:spacing w:before="100" w:after="100"/>
    </w:pPr>
    <w:rPr>
      <w:b/>
      <w:bCs/>
      <w:sz w:val="24"/>
      <w:szCs w:val="24"/>
    </w:rPr>
  </w:style>
  <w:style w:type="paragraph" w:styleId="Xl106">
    <w:name w:val="xl106"/>
    <w:basedOn w:val="Normal"/>
    <w:qFormat/>
    <w:pPr>
      <w:pBdr>
        <w:left w:val="single" w:sz="4" w:space="0" w:color="000000"/>
        <w:bottom w:val="single" w:sz="4" w:space="0" w:color="000000"/>
        <w:right w:val="single" w:sz="4" w:space="0" w:color="000000"/>
      </w:pBdr>
      <w:spacing w:before="100" w:after="100"/>
      <w:jc w:val="right"/>
    </w:pPr>
    <w:rPr>
      <w:b/>
      <w:bCs/>
      <w:sz w:val="24"/>
      <w:szCs w:val="24"/>
    </w:rPr>
  </w:style>
  <w:style w:type="paragraph" w:styleId="Xl107">
    <w:name w:val="xl107"/>
    <w:basedOn w:val="Normal"/>
    <w:qFormat/>
    <w:pPr>
      <w:pBdr>
        <w:top w:val="single" w:sz="4" w:space="0" w:color="000000"/>
        <w:left w:val="single" w:sz="4" w:space="0" w:color="000000"/>
        <w:bottom w:val="single" w:sz="4" w:space="0" w:color="000000"/>
        <w:right w:val="single" w:sz="4" w:space="0" w:color="000000"/>
      </w:pBdr>
      <w:spacing w:before="100" w:after="100"/>
    </w:pPr>
    <w:rPr>
      <w:sz w:val="24"/>
      <w:szCs w:val="24"/>
    </w:rPr>
  </w:style>
  <w:style w:type="paragraph" w:styleId="Xl108">
    <w:name w:val="xl108"/>
    <w:basedOn w:val="Normal"/>
    <w:qFormat/>
    <w:pPr>
      <w:pBdr>
        <w:top w:val="single" w:sz="4" w:space="0" w:color="000000"/>
        <w:left w:val="single" w:sz="4" w:space="0" w:color="000000"/>
        <w:bottom w:val="single" w:sz="4" w:space="0" w:color="000000"/>
        <w:right w:val="single" w:sz="4" w:space="0" w:color="000000"/>
      </w:pBdr>
      <w:spacing w:before="100" w:after="100"/>
      <w:jc w:val="center"/>
    </w:pPr>
    <w:rPr>
      <w:rFonts w:ascii="Arial" w:hAnsi="Arial" w:cs="Arial"/>
      <w:b/>
      <w:bCs/>
      <w:sz w:val="22"/>
      <w:szCs w:val="22"/>
    </w:rPr>
  </w:style>
  <w:style w:type="paragraph" w:styleId="Xl109">
    <w:name w:val="xl109"/>
    <w:basedOn w:val="Normal"/>
    <w:qFormat/>
    <w:pPr>
      <w:pBdr>
        <w:top w:val="single" w:sz="4" w:space="0" w:color="000000"/>
        <w:left w:val="single" w:sz="4" w:space="0" w:color="000000"/>
        <w:bottom w:val="single" w:sz="4" w:space="0" w:color="000000"/>
        <w:right w:val="single" w:sz="4" w:space="0" w:color="000000"/>
      </w:pBdr>
      <w:spacing w:before="100" w:after="100"/>
      <w:jc w:val="center"/>
    </w:pPr>
    <w:rPr>
      <w:rFonts w:ascii="Arial" w:hAnsi="Arial" w:cs="Arial"/>
      <w:b/>
      <w:bCs/>
      <w:sz w:val="24"/>
      <w:szCs w:val="24"/>
    </w:rPr>
  </w:style>
  <w:style w:type="paragraph" w:styleId="Xl110">
    <w:name w:val="xl110"/>
    <w:basedOn w:val="Normal"/>
    <w:qFormat/>
    <w:pPr>
      <w:pBdr>
        <w:top w:val="single" w:sz="4" w:space="0" w:color="000000"/>
        <w:left w:val="single" w:sz="4" w:space="0" w:color="000000"/>
        <w:bottom w:val="single" w:sz="4" w:space="0" w:color="000000"/>
        <w:right w:val="single" w:sz="4" w:space="0" w:color="000000"/>
      </w:pBdr>
      <w:spacing w:before="100" w:after="100"/>
      <w:jc w:val="center"/>
    </w:pPr>
    <w:rPr>
      <w:rFonts w:ascii="Times New Roman CYR" w:hAnsi="Times New Roman CYR" w:cs="Times New Roman CYR"/>
      <w:b/>
      <w:bCs/>
      <w:sz w:val="28"/>
      <w:szCs w:val="28"/>
    </w:rPr>
  </w:style>
  <w:style w:type="paragraph" w:styleId="Xl111">
    <w:name w:val="xl111"/>
    <w:basedOn w:val="Normal"/>
    <w:qFormat/>
    <w:pPr>
      <w:pBdr>
        <w:top w:val="single" w:sz="4" w:space="0" w:color="000000"/>
        <w:left w:val="single" w:sz="4" w:space="0" w:color="000000"/>
        <w:right w:val="single" w:sz="4" w:space="0" w:color="000000"/>
      </w:pBdr>
      <w:spacing w:before="100" w:after="100"/>
      <w:jc w:val="center"/>
    </w:pPr>
    <w:rPr>
      <w:b/>
      <w:bCs/>
      <w:sz w:val="24"/>
      <w:szCs w:val="24"/>
    </w:rPr>
  </w:style>
  <w:style w:type="paragraph" w:styleId="Xl112">
    <w:name w:val="xl112"/>
    <w:basedOn w:val="Normal"/>
    <w:qFormat/>
    <w:pPr>
      <w:pBdr>
        <w:left w:val="single" w:sz="4" w:space="0" w:color="000000"/>
        <w:right w:val="single" w:sz="4" w:space="0" w:color="000000"/>
      </w:pBdr>
      <w:spacing w:before="100" w:after="100"/>
      <w:jc w:val="center"/>
    </w:pPr>
    <w:rPr>
      <w:b/>
      <w:bCs/>
      <w:sz w:val="24"/>
      <w:szCs w:val="24"/>
    </w:rPr>
  </w:style>
  <w:style w:type="paragraph" w:styleId="Xl113">
    <w:name w:val="xl113"/>
    <w:basedOn w:val="Normal"/>
    <w:qFormat/>
    <w:pPr>
      <w:pBdr>
        <w:left w:val="single" w:sz="4" w:space="0" w:color="000000"/>
        <w:bottom w:val="single" w:sz="4" w:space="0" w:color="000000"/>
        <w:right w:val="single" w:sz="4" w:space="0" w:color="000000"/>
      </w:pBdr>
      <w:spacing w:before="100" w:after="100"/>
      <w:jc w:val="center"/>
    </w:pPr>
    <w:rPr>
      <w:b/>
      <w:bCs/>
      <w:sz w:val="24"/>
      <w:szCs w:val="24"/>
    </w:rPr>
  </w:style>
  <w:style w:type="paragraph" w:styleId="92">
    <w:name w:val="Знак Знак Знак Знак Знак Знак Знак Знак Знак9"/>
    <w:basedOn w:val="Normal"/>
    <w:qFormat/>
    <w:pPr>
      <w:spacing w:before="100" w:after="100"/>
    </w:pPr>
    <w:rPr>
      <w:rFonts w:ascii="Tahoma" w:hAnsi="Tahoma" w:cs="Tahoma"/>
      <w:lang w:val="en-US"/>
    </w:rPr>
  </w:style>
  <w:style w:type="paragraph" w:styleId="Style46">
    <w:name w:val="Знак Знак Знак Знак Знак"/>
    <w:basedOn w:val="Normal"/>
    <w:qFormat/>
    <w:pPr>
      <w:spacing w:before="100" w:after="100"/>
    </w:pPr>
    <w:rPr>
      <w:rFonts w:ascii="Tahoma" w:hAnsi="Tahoma" w:cs="Tahoma"/>
      <w:lang w:val="en-US"/>
    </w:rPr>
  </w:style>
  <w:style w:type="paragraph" w:styleId="Courier12">
    <w:name w:val="Courier12"/>
    <w:basedOn w:val="Normal"/>
    <w:qFormat/>
    <w:pPr>
      <w:numPr>
        <w:ilvl w:val="0"/>
        <w:numId w:val="2"/>
      </w:numPr>
      <w:jc w:val="both"/>
    </w:pPr>
    <w:rPr>
      <w:rFonts w:ascii="Courier New" w:hAnsi="Courier New" w:cs="Courier New"/>
      <w:sz w:val="24"/>
      <w:szCs w:val="24"/>
    </w:rPr>
  </w:style>
  <w:style w:type="paragraph" w:styleId="ProGramma1">
    <w:name w:val="Pro-Gramma"/>
    <w:basedOn w:val="Normal"/>
    <w:qFormat/>
    <w:pPr>
      <w:spacing w:lineRule="auto" w:line="288" w:before="120" w:after="0"/>
      <w:ind w:left="1134" w:hanging="0"/>
      <w:jc w:val="both"/>
    </w:pPr>
    <w:rPr>
      <w:rFonts w:ascii="Georgia" w:hAnsi="Georgia" w:cs="Georgia"/>
      <w:sz w:val="24"/>
      <w:szCs w:val="24"/>
      <w:lang w:val="ru-RU"/>
    </w:rPr>
  </w:style>
  <w:style w:type="paragraph" w:styleId="217">
    <w:name w:val="Знак Знак21"/>
    <w:basedOn w:val="Normal"/>
    <w:qFormat/>
    <w:pPr>
      <w:spacing w:before="100" w:after="100"/>
    </w:pPr>
    <w:rPr>
      <w:rFonts w:ascii="Tahoma" w:hAnsi="Tahoma" w:cs="Tahoma"/>
      <w:lang w:val="en-US"/>
    </w:rPr>
  </w:style>
  <w:style w:type="paragraph" w:styleId="Arial14">
    <w:name w:val="Arial14"/>
    <w:basedOn w:val="Normal"/>
    <w:qFormat/>
    <w:pPr>
      <w:ind w:firstLine="851"/>
      <w:jc w:val="both"/>
    </w:pPr>
    <w:rPr>
      <w:rFonts w:ascii="Arial" w:hAnsi="Arial" w:cs="Arial"/>
      <w:sz w:val="28"/>
      <w:szCs w:val="28"/>
    </w:rPr>
  </w:style>
  <w:style w:type="paragraph" w:styleId="Arial12">
    <w:name w:val="Arial12"/>
    <w:basedOn w:val="Normal"/>
    <w:qFormat/>
    <w:pPr>
      <w:ind w:firstLine="851"/>
      <w:jc w:val="both"/>
    </w:pPr>
    <w:rPr>
      <w:rFonts w:ascii="Arial" w:hAnsi="Arial" w:cs="Arial"/>
      <w:sz w:val="24"/>
      <w:szCs w:val="24"/>
    </w:rPr>
  </w:style>
  <w:style w:type="paragraph" w:styleId="Style47">
    <w:name w:val="Знак Знак Знак"/>
    <w:basedOn w:val="Normal"/>
    <w:qFormat/>
    <w:pPr>
      <w:spacing w:lineRule="exact" w:line="240" w:before="0" w:after="160"/>
    </w:pPr>
    <w:rPr>
      <w:rFonts w:eastAsia="SimSun;宋体"/>
      <w:b/>
      <w:bCs/>
      <w:sz w:val="28"/>
      <w:szCs w:val="28"/>
      <w:lang w:val="en-US"/>
    </w:rPr>
  </w:style>
  <w:style w:type="paragraph" w:styleId="124">
    <w:name w:val="Знак Знак Знак1"/>
    <w:basedOn w:val="Normal"/>
    <w:qFormat/>
    <w:pPr>
      <w:spacing w:lineRule="exact" w:line="240" w:before="0" w:after="160"/>
    </w:pPr>
    <w:rPr>
      <w:rFonts w:eastAsia="SimSun;宋体"/>
      <w:b/>
      <w:bCs/>
      <w:sz w:val="28"/>
      <w:szCs w:val="28"/>
      <w:lang w:val="en-US"/>
    </w:rPr>
  </w:style>
  <w:style w:type="paragraph" w:styleId="125">
    <w:name w:val="Знак1 Знак Знак Знак"/>
    <w:basedOn w:val="Normal"/>
    <w:qFormat/>
    <w:pPr>
      <w:widowControl w:val="false"/>
      <w:spacing w:lineRule="exact" w:line="240" w:before="0" w:after="160"/>
      <w:jc w:val="right"/>
    </w:pPr>
    <w:rPr>
      <w:lang w:val="en-GB"/>
    </w:rPr>
  </w:style>
  <w:style w:type="paragraph" w:styleId="218">
    <w:name w:val="Знак Знак Знак2"/>
    <w:basedOn w:val="Normal"/>
    <w:qFormat/>
    <w:pPr>
      <w:spacing w:lineRule="exact" w:line="240" w:before="0" w:after="160"/>
    </w:pPr>
    <w:rPr>
      <w:rFonts w:eastAsia="SimSun;宋体"/>
      <w:b/>
      <w:bCs/>
      <w:sz w:val="28"/>
      <w:szCs w:val="28"/>
      <w:lang w:val="en-US"/>
    </w:rPr>
  </w:style>
  <w:style w:type="paragraph" w:styleId="38">
    <w:name w:val="Знак Знак Знак3"/>
    <w:basedOn w:val="Normal"/>
    <w:qFormat/>
    <w:pPr>
      <w:spacing w:lineRule="exact" w:line="240" w:before="0" w:after="160"/>
    </w:pPr>
    <w:rPr>
      <w:rFonts w:eastAsia="SimSun;宋体"/>
      <w:b/>
      <w:bCs/>
      <w:sz w:val="28"/>
      <w:szCs w:val="28"/>
      <w:lang w:val="en-US"/>
    </w:rPr>
  </w:style>
  <w:style w:type="paragraph" w:styleId="Style48">
    <w:name w:val="Нумерованный абзац"/>
    <w:qFormat/>
    <w:pPr>
      <w:widowControl/>
      <w:numPr>
        <w:ilvl w:val="0"/>
        <w:numId w:val="4"/>
      </w:numPr>
      <w:tabs>
        <w:tab w:val="clear" w:pos="720"/>
        <w:tab w:val="left" w:pos="1134" w:leader="none"/>
      </w:tabs>
      <w:suppressAutoHyphens w:val="true"/>
      <w:bidi w:val="0"/>
      <w:spacing w:before="240" w:after="0"/>
      <w:jc w:val="both"/>
    </w:pPr>
    <w:rPr>
      <w:rFonts w:ascii="Times New Roman" w:hAnsi="Times New Roman" w:eastAsia="Times New Roman" w:cs="Times New Roman"/>
      <w:color w:val="auto"/>
      <w:sz w:val="28"/>
      <w:szCs w:val="20"/>
      <w:lang w:val="ru-RU" w:eastAsia="ru-RU" w:bidi="ar-SA"/>
    </w:rPr>
  </w:style>
  <w:style w:type="paragraph" w:styleId="Style49">
    <w:name w:val="Заголовок текста"/>
    <w:qFormat/>
    <w:pPr>
      <w:widowControl/>
      <w:bidi w:val="0"/>
      <w:spacing w:before="0" w:after="240"/>
      <w:jc w:val="center"/>
    </w:pPr>
    <w:rPr>
      <w:rFonts w:ascii="Times New Roman" w:hAnsi="Times New Roman" w:eastAsia="Times New Roman" w:cs="Times New Roman"/>
      <w:b/>
      <w:color w:val="auto"/>
      <w:sz w:val="28"/>
      <w:szCs w:val="20"/>
      <w:lang w:val="ru-RU" w:eastAsia="ru-RU" w:bidi="ar-SA"/>
    </w:rPr>
  </w:style>
  <w:style w:type="paragraph" w:styleId="Style50">
    <w:name w:val="Текст постановления"/>
    <w:qFormat/>
    <w:pPr>
      <w:widowControl/>
      <w:suppressAutoHyphens w:val="true"/>
      <w:bidi w:val="0"/>
      <w:spacing w:lineRule="auto" w:line="288"/>
      <w:ind w:firstLine="720"/>
      <w:jc w:val="both"/>
    </w:pPr>
    <w:rPr>
      <w:rFonts w:ascii="Times New Roman" w:hAnsi="Times New Roman" w:eastAsia="Times New Roman" w:cs="Times New Roman"/>
      <w:color w:val="auto"/>
      <w:sz w:val="28"/>
      <w:szCs w:val="20"/>
      <w:lang w:val="en-US" w:eastAsia="ru-RU" w:bidi="ar-SA"/>
    </w:rPr>
  </w:style>
  <w:style w:type="paragraph" w:styleId="10">
    <w:name w:val="Знак Знак Знак Знак Знак Знак Знак Знак Знак10"/>
    <w:basedOn w:val="Normal"/>
    <w:qFormat/>
    <w:pPr>
      <w:spacing w:before="100" w:after="100"/>
    </w:pPr>
    <w:rPr>
      <w:rFonts w:ascii="Tahoma" w:hAnsi="Tahoma" w:cs="Tahoma"/>
      <w:lang w:val="en-US"/>
    </w:rPr>
  </w:style>
  <w:style w:type="paragraph" w:styleId="126">
    <w:name w:val="Знак Знак Знак Знак Знак1"/>
    <w:basedOn w:val="Normal"/>
    <w:qFormat/>
    <w:pPr>
      <w:spacing w:before="100" w:after="100"/>
    </w:pPr>
    <w:rPr>
      <w:rFonts w:ascii="Tahoma" w:hAnsi="Tahoma" w:cs="Tahoma"/>
      <w:lang w:val="en-US"/>
    </w:rPr>
  </w:style>
  <w:style w:type="paragraph" w:styleId="181">
    <w:name w:val="Знак1 Знак Знак8"/>
    <w:basedOn w:val="Normal"/>
    <w:qFormat/>
    <w:pPr>
      <w:spacing w:before="100" w:after="100"/>
    </w:pPr>
    <w:rPr>
      <w:rFonts w:ascii="Tahoma" w:hAnsi="Tahoma" w:cs="Tahoma"/>
      <w:lang w:val="en-US"/>
    </w:rPr>
  </w:style>
  <w:style w:type="paragraph" w:styleId="73">
    <w:name w:val="Знак Знак7"/>
    <w:basedOn w:val="Normal"/>
    <w:qFormat/>
    <w:pPr>
      <w:spacing w:before="100" w:after="100"/>
    </w:pPr>
    <w:rPr>
      <w:rFonts w:ascii="Tahoma" w:hAnsi="Tahoma" w:cs="Tahoma"/>
      <w:lang w:val="en-US"/>
    </w:rPr>
  </w:style>
  <w:style w:type="paragraph" w:styleId="Entrymetaentrymetaspaced">
    <w:name w:val="entry-meta entry-meta-spaced"/>
    <w:basedOn w:val="Normal"/>
    <w:qFormat/>
    <w:pPr>
      <w:spacing w:before="100" w:after="100"/>
    </w:pPr>
    <w:rPr>
      <w:sz w:val="24"/>
      <w:szCs w:val="24"/>
    </w:rPr>
  </w:style>
  <w:style w:type="paragraph" w:styleId="314">
    <w:name w:val="Знак Знак31"/>
    <w:basedOn w:val="Normal"/>
    <w:qFormat/>
    <w:pPr>
      <w:spacing w:before="100" w:after="100"/>
    </w:pPr>
    <w:rPr>
      <w:rFonts w:ascii="Tahoma" w:hAnsi="Tahoma" w:cs="Tahoma"/>
      <w:lang w:val="en-US"/>
    </w:rPr>
  </w:style>
  <w:style w:type="paragraph" w:styleId="Xl117">
    <w:name w:val="xl117"/>
    <w:basedOn w:val="Normal"/>
    <w:qFormat/>
    <w:pPr>
      <w:pBdr>
        <w:top w:val="single" w:sz="4" w:space="0" w:color="000000"/>
        <w:left w:val="single" w:sz="4" w:space="0" w:color="000000"/>
        <w:bottom w:val="single" w:sz="4" w:space="0" w:color="000000"/>
        <w:right w:val="single" w:sz="4" w:space="0" w:color="000000"/>
      </w:pBdr>
      <w:spacing w:before="100" w:after="100"/>
      <w:jc w:val="center"/>
    </w:pPr>
    <w:rPr>
      <w:sz w:val="24"/>
      <w:szCs w:val="24"/>
    </w:rPr>
  </w:style>
  <w:style w:type="paragraph" w:styleId="127">
    <w:name w:val="1"/>
    <w:basedOn w:val="Normal"/>
    <w:qFormat/>
    <w:pPr>
      <w:spacing w:before="100" w:after="100"/>
    </w:pPr>
    <w:rPr>
      <w:rFonts w:ascii="Tahoma" w:hAnsi="Tahoma" w:cs="Tahoma"/>
      <w:lang w:val="en-US"/>
    </w:rPr>
  </w:style>
  <w:style w:type="paragraph" w:styleId="54">
    <w:name w:val="Знак Знак5 Знак Знак"/>
    <w:basedOn w:val="Normal"/>
    <w:qFormat/>
    <w:pPr>
      <w:spacing w:before="100" w:after="100"/>
    </w:pPr>
    <w:rPr>
      <w:rFonts w:ascii="Tahoma" w:hAnsi="Tahoma" w:cs="Tahoma"/>
      <w:lang w:val="en-US"/>
    </w:rPr>
  </w:style>
  <w:style w:type="paragraph" w:styleId="Style51">
    <w:name w:val="Знак"/>
    <w:basedOn w:val="Normal"/>
    <w:qFormat/>
    <w:pPr>
      <w:spacing w:before="100" w:after="100"/>
    </w:pPr>
    <w:rPr>
      <w:rFonts w:ascii="Tahoma" w:hAnsi="Tahoma" w:cs="Tahoma"/>
      <w:lang w:val="en-US"/>
    </w:rPr>
  </w:style>
  <w:style w:type="paragraph" w:styleId="83">
    <w:name w:val="Знак Знак8"/>
    <w:basedOn w:val="Normal"/>
    <w:qFormat/>
    <w:pPr>
      <w:spacing w:before="100" w:after="100"/>
    </w:pPr>
    <w:rPr>
      <w:rFonts w:ascii="Tahoma" w:hAnsi="Tahoma" w:cs="Tahoma"/>
      <w:lang w:val="en-US"/>
    </w:rPr>
  </w:style>
  <w:style w:type="paragraph" w:styleId="1111">
    <w:name w:val="Знак Знак Знак Знак Знак Знак Знак Знак Знак11"/>
    <w:basedOn w:val="Normal"/>
    <w:qFormat/>
    <w:pPr>
      <w:spacing w:before="100" w:after="100"/>
    </w:pPr>
    <w:rPr>
      <w:rFonts w:ascii="Tahoma" w:hAnsi="Tahoma" w:cs="Tahoma"/>
      <w:lang w:val="en-US"/>
    </w:rPr>
  </w:style>
  <w:style w:type="paragraph" w:styleId="93">
    <w:name w:val="Знак Знак9"/>
    <w:basedOn w:val="Normal"/>
    <w:qFormat/>
    <w:pPr>
      <w:spacing w:before="100" w:after="100"/>
    </w:pPr>
    <w:rPr>
      <w:rFonts w:ascii="Tahoma" w:hAnsi="Tahoma" w:cs="Tahoma"/>
      <w:lang w:val="en-US"/>
    </w:rPr>
  </w:style>
  <w:style w:type="paragraph" w:styleId="128">
    <w:name w:val="Знак Знак Знак Знак Знак Знак Знак Знак Знак12"/>
    <w:basedOn w:val="Normal"/>
    <w:qFormat/>
    <w:pPr>
      <w:spacing w:before="100" w:after="100"/>
    </w:pPr>
    <w:rPr>
      <w:rFonts w:ascii="Tahoma" w:hAnsi="Tahoma" w:cs="Tahoma"/>
      <w:lang w:val="en-US"/>
    </w:rPr>
  </w:style>
  <w:style w:type="paragraph" w:styleId="39">
    <w:name w:val="Знак3"/>
    <w:basedOn w:val="Normal"/>
    <w:qFormat/>
    <w:pPr>
      <w:spacing w:before="100" w:after="100"/>
    </w:pPr>
    <w:rPr>
      <w:rFonts w:ascii="Tahoma" w:hAnsi="Tahoma" w:cs="Tahoma"/>
      <w:lang w:val="en-US"/>
    </w:rPr>
  </w:style>
  <w:style w:type="paragraph" w:styleId="191">
    <w:name w:val="Знак1 Знак Знак9"/>
    <w:basedOn w:val="Normal"/>
    <w:qFormat/>
    <w:pPr>
      <w:spacing w:before="100" w:after="100"/>
    </w:pPr>
    <w:rPr>
      <w:rFonts w:ascii="Tahoma" w:hAnsi="Tahoma" w:cs="Tahoma"/>
      <w:lang w:val="en-US"/>
    </w:rPr>
  </w:style>
  <w:style w:type="paragraph" w:styleId="Xl22">
    <w:name w:val="xl22"/>
    <w:basedOn w:val="Normal"/>
    <w:qFormat/>
    <w:pPr>
      <w:spacing w:before="100" w:after="100"/>
    </w:pPr>
    <w:rPr>
      <w:rFonts w:eastAsia="Arial Unicode MS"/>
      <w:sz w:val="24"/>
      <w:szCs w:val="24"/>
    </w:rPr>
  </w:style>
  <w:style w:type="paragraph" w:styleId="219">
    <w:name w:val="Основной текст с отступом2"/>
    <w:basedOn w:val="Normal"/>
    <w:qFormat/>
    <w:pPr>
      <w:autoSpaceDE w:val="false"/>
      <w:ind w:firstLine="567"/>
      <w:jc w:val="both"/>
    </w:pPr>
    <w:rPr>
      <w:sz w:val="24"/>
      <w:szCs w:val="24"/>
    </w:rPr>
  </w:style>
  <w:style w:type="paragraph" w:styleId="143">
    <w:name w:val="Знак14"/>
    <w:basedOn w:val="Normal"/>
    <w:qFormat/>
    <w:pPr>
      <w:spacing w:before="100" w:after="100"/>
    </w:pPr>
    <w:rPr>
      <w:rFonts w:ascii="Tahoma" w:hAnsi="Tahoma" w:cs="Tahoma"/>
      <w:lang w:val="en-US"/>
    </w:rPr>
  </w:style>
  <w:style w:type="paragraph" w:styleId="129">
    <w:name w:val="Название1"/>
    <w:basedOn w:val="Normal"/>
    <w:qFormat/>
    <w:pPr>
      <w:suppressLineNumbers/>
      <w:suppressAutoHyphens w:val="true"/>
      <w:spacing w:before="120" w:after="120"/>
    </w:pPr>
    <w:rPr>
      <w:rFonts w:cs="Tahoma"/>
      <w:i/>
      <w:iCs/>
    </w:rPr>
  </w:style>
  <w:style w:type="paragraph" w:styleId="130">
    <w:name w:val="Указатель1"/>
    <w:basedOn w:val="Normal"/>
    <w:qFormat/>
    <w:pPr>
      <w:suppressLineNumbers/>
      <w:suppressAutoHyphens w:val="true"/>
    </w:pPr>
    <w:rPr>
      <w:rFonts w:cs="Tahoma"/>
    </w:rPr>
  </w:style>
  <w:style w:type="paragraph" w:styleId="WW">
    <w:name w:val="WW-Заголовок"/>
    <w:basedOn w:val="Normal"/>
    <w:next w:val="Style24"/>
    <w:qFormat/>
    <w:pPr>
      <w:keepNext w:val="true"/>
      <w:suppressAutoHyphens w:val="true"/>
      <w:spacing w:before="240" w:after="120"/>
    </w:pPr>
    <w:rPr>
      <w:rFonts w:ascii="Arial" w:hAnsi="Arial" w:eastAsia="Arial Unicode MS" w:cs="Tahoma"/>
      <w:sz w:val="28"/>
      <w:szCs w:val="28"/>
    </w:rPr>
  </w:style>
  <w:style w:type="paragraph" w:styleId="Style52">
    <w:name w:val="Содержимое врезки"/>
    <w:basedOn w:val="Style24"/>
    <w:qFormat/>
    <w:pPr>
      <w:suppressAutoHyphens w:val="true"/>
    </w:pPr>
    <w:rPr>
      <w:rFonts w:cs="Times New Roman"/>
      <w:bCs w:val="false"/>
      <w:szCs w:val="20"/>
    </w:rPr>
  </w:style>
  <w:style w:type="paragraph" w:styleId="133">
    <w:name w:val="Заголовок1"/>
    <w:basedOn w:val="Normal"/>
    <w:next w:val="Style24"/>
    <w:qFormat/>
    <w:pPr>
      <w:keepNext w:val="true"/>
      <w:suppressAutoHyphens w:val="true"/>
      <w:spacing w:before="240" w:after="120"/>
    </w:pPr>
    <w:rPr>
      <w:rFonts w:ascii="Arial" w:hAnsi="Arial" w:eastAsia="Arial Unicode MS" w:cs="Tahoma"/>
      <w:sz w:val="28"/>
      <w:szCs w:val="28"/>
    </w:rPr>
  </w:style>
  <w:style w:type="paragraph" w:styleId="Font5">
    <w:name w:val="font5"/>
    <w:basedOn w:val="Normal"/>
    <w:qFormat/>
    <w:pPr>
      <w:spacing w:before="100" w:after="100"/>
    </w:pPr>
    <w:rPr>
      <w:color w:val="000000"/>
      <w:sz w:val="24"/>
      <w:szCs w:val="24"/>
    </w:rPr>
  </w:style>
  <w:style w:type="paragraph" w:styleId="Font6">
    <w:name w:val="font6"/>
    <w:basedOn w:val="Normal"/>
    <w:qFormat/>
    <w:pPr>
      <w:spacing w:before="100" w:after="100"/>
    </w:pPr>
    <w:rPr>
      <w:sz w:val="24"/>
      <w:szCs w:val="24"/>
    </w:rPr>
  </w:style>
  <w:style w:type="paragraph" w:styleId="Xl63">
    <w:name w:val="xl63"/>
    <w:basedOn w:val="Normal"/>
    <w:qFormat/>
    <w:pPr>
      <w:pBdr>
        <w:top w:val="single" w:sz="4" w:space="0" w:color="000000"/>
        <w:left w:val="single" w:sz="4" w:space="0" w:color="000000"/>
        <w:bottom w:val="single" w:sz="4" w:space="0" w:color="000000"/>
        <w:right w:val="single" w:sz="4" w:space="0" w:color="000000"/>
      </w:pBdr>
      <w:spacing w:before="100" w:after="100"/>
      <w:jc w:val="center"/>
      <w:textAlignment w:val="center"/>
    </w:pPr>
    <w:rPr>
      <w:sz w:val="24"/>
      <w:szCs w:val="24"/>
    </w:rPr>
  </w:style>
  <w:style w:type="paragraph" w:styleId="Xl64">
    <w:name w:val="xl64"/>
    <w:basedOn w:val="Normal"/>
    <w:qFormat/>
    <w:pPr>
      <w:pBdr>
        <w:top w:val="single" w:sz="4" w:space="0" w:color="000000"/>
        <w:left w:val="single" w:sz="4" w:space="0" w:color="000000"/>
        <w:bottom w:val="single" w:sz="4" w:space="0" w:color="000000"/>
        <w:right w:val="single" w:sz="4" w:space="0" w:color="000000"/>
      </w:pBdr>
      <w:spacing w:before="100" w:after="100"/>
      <w:jc w:val="center"/>
      <w:textAlignment w:val="center"/>
    </w:pPr>
    <w:rPr>
      <w:b/>
      <w:bCs/>
      <w:color w:val="000000"/>
      <w:sz w:val="24"/>
      <w:szCs w:val="24"/>
    </w:rPr>
  </w:style>
  <w:style w:type="paragraph" w:styleId="Style53">
    <w:name w:val="Содержимое таблицы"/>
    <w:basedOn w:val="Normal"/>
    <w:qFormat/>
    <w:pPr>
      <w:widowControl w:val="false"/>
      <w:suppressLineNumbers/>
    </w:pPr>
    <w:rPr/>
  </w:style>
  <w:style w:type="paragraph" w:styleId="Style54">
    <w:name w:val="Заголовок таблицы"/>
    <w:basedOn w:val="Style53"/>
    <w:qFormat/>
    <w:pPr>
      <w:suppressLineNumbers/>
      <w:jc w:val="center"/>
    </w:pPr>
    <w:rPr>
      <w:b/>
      <w:bCs/>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 w:type="numbering" w:styleId="WW8Num27">
    <w:name w:val="WW8Num27"/>
    <w:qFormat/>
  </w:style>
  <w:style w:type="numbering" w:styleId="WW8Num28">
    <w:name w:val="WW8Num28"/>
    <w:qFormat/>
  </w:style>
  <w:style w:type="numbering" w:styleId="WW8Num29">
    <w:name w:val="WW8Num29"/>
    <w:qFormat/>
  </w:style>
  <w:style w:type="numbering" w:styleId="WW8Num30">
    <w:name w:val="WW8Num30"/>
    <w:qFormat/>
  </w:style>
  <w:style w:type="numbering" w:styleId="WW8Num31">
    <w:name w:val="WW8Num31"/>
    <w:qFormat/>
  </w:style>
  <w:style w:type="numbering" w:styleId="WW8Num32">
    <w:name w:val="WW8Num32"/>
    <w:qFormat/>
  </w:style>
  <w:style w:type="numbering" w:styleId="WW8Num33">
    <w:name w:val="WW8Num33"/>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consultantplus://offline/ref=F7531A6F286318C6E3083CA78D26179BF76CDAE7AE25B36598E7819AF3BDC851FA3AB80411CDB6D8E8D232C1A7F0DD1E8F2C29F9E1213D61K9v2F" TargetMode="External"/><Relationship Id="rId4" Type="http://schemas.openxmlformats.org/officeDocument/2006/relationships/hyperlink" Target="consultantplus://offline/ref=42D64CF9F4B96C871727836BC77E29A17787D40F4DE0A1FC7433D08DB90746CB555AAAA91401A8C868B53FEE785CBD31D713DE9626F9EDEA3BvEF"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216</TotalTime>
  <Application>LibreOffice/7.2.2.2$Windows_X86_64 LibreOffice_project/02b2acce88a210515b4a5bb2e46cbfb63fe97d56</Application>
  <AppVersion>15.0000</AppVersion>
  <Pages>77</Pages>
  <Words>28071</Words>
  <Characters>185685</Characters>
  <CharactersWithSpaces>204714</CharactersWithSpaces>
  <Paragraphs>11752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2016-02-04T16:47:00Z</dcterms:created>
  <dc:creator>Катышева Е. В.</dc:creator>
  <dc:description/>
  <cp:keywords> </cp:keywords>
  <dc:language>ru-RU</dc:language>
  <cp:lastModifiedBy>ЗС</cp:lastModifiedBy>
  <cp:lastPrinted>2021-11-22T14:25:00Z</cp:lastPrinted>
  <dcterms:modified xsi:type="dcterms:W3CDTF">2021-11-26T10:30:00Z</dcterms:modified>
  <cp:revision>23</cp:revision>
  <dc:subject/>
  <dc:title>ПОСТАНОВЛЕНИЕ</dc:title>
</cp:coreProperties>
</file>