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25</w:t>
      </w:r>
      <w:r>
        <w:rPr>
          <w:sz w:val="28"/>
          <w:szCs w:val="28"/>
        </w:rPr>
        <w:t>.03.2021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12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535" w:hanging="0"/>
        <w:jc w:val="both"/>
        <w:rPr>
          <w:sz w:val="28"/>
          <w:szCs w:val="28"/>
        </w:rPr>
      </w:pPr>
      <w:r>
        <w:rPr>
          <w:rFonts w:cs="Times New Roman"/>
          <w:b w:val="false"/>
          <w:bCs w:val="false"/>
          <w:color w:val="auto"/>
          <w:sz w:val="28"/>
          <w:szCs w:val="28"/>
        </w:rPr>
        <w:t>Об утверждении Плана мероприятий («дорожной карты») по погашению просроченной кредиторской задолженности муниципальных учреждений Шарангского муниципального района на 2021-2023 годы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pacing w:lineRule="auto" w:line="360"/>
        <w:ind w:left="0" w:right="0" w:firstLine="709"/>
        <w:jc w:val="both"/>
        <w:rPr/>
      </w:pPr>
      <w:r>
        <w:rPr>
          <w:rFonts w:eastAsia="Times New Roman" w:cs="Times New Roman"/>
          <w:color w:val="auto"/>
          <w:sz w:val="28"/>
          <w:szCs w:val="28"/>
          <w:lang w:bidi="ar-SA"/>
        </w:rPr>
        <w:t>Во исполнение приказа министерства финансов Нижегородской области от 13.01.2021 года № 5 в целях повышения эффективности использования бюджетных средств бюджета Шарангского муниципального района, созданию условий по погашению просроченной кредиторской задолженности муниципальных учреждений Шарангского муниципального района, руководствуясь Уставом Шарангского муниципального района Нижегородской области:</w:t>
      </w:r>
    </w:p>
    <w:p>
      <w:pPr>
        <w:pStyle w:val="Normal"/>
        <w:widowControl/>
        <w:spacing w:lineRule="auto" w:line="360"/>
        <w:ind w:left="0" w:right="0" w:firstLine="709"/>
        <w:jc w:val="both"/>
        <w:rPr/>
      </w:pPr>
      <w:r>
        <w:rPr>
          <w:rFonts w:eastAsia="Times New Roman" w:cs="Times New Roman"/>
          <w:color w:val="auto"/>
          <w:sz w:val="28"/>
          <w:szCs w:val="28"/>
          <w:lang w:bidi="ar-SA"/>
        </w:rPr>
        <w:t>1. Утвердить План мероприятий («дорожную карту») по погашению просроченной кредиторской задолженности муниципальных учреждений Шарангского муниципального района на 2021 – 2023 годы (далее – План) согласно Приложению.</w:t>
      </w:r>
    </w:p>
    <w:p>
      <w:pPr>
        <w:pStyle w:val="Normal"/>
        <w:widowControl/>
        <w:spacing w:lineRule="auto" w:line="360"/>
        <w:ind w:left="0" w:right="0" w:firstLine="709"/>
        <w:jc w:val="both"/>
        <w:rPr/>
      </w:pPr>
      <w:r>
        <w:rPr>
          <w:rFonts w:eastAsia="Times New Roman" w:cs="Times New Roman"/>
          <w:color w:val="auto"/>
          <w:sz w:val="28"/>
          <w:szCs w:val="28"/>
          <w:lang w:bidi="ar-SA"/>
        </w:rPr>
        <w:t>2. Ответственным исполнителям мероприятий организовать и обеспечить своевременное выполнени</w:t>
      </w:r>
      <w:r>
        <w:rPr>
          <w:rFonts w:eastAsia="Times New Roman" w:cs="Times New Roman"/>
          <w:color w:val="auto"/>
          <w:sz w:val="28"/>
          <w:szCs w:val="28"/>
          <w:lang w:bidi="ar-SA"/>
        </w:rPr>
        <w:t>е</w:t>
      </w:r>
      <w:r>
        <w:rPr>
          <w:rFonts w:eastAsia="Times New Roman" w:cs="Times New Roman"/>
          <w:color w:val="auto"/>
          <w:sz w:val="28"/>
          <w:szCs w:val="28"/>
          <w:lang w:bidi="ar-SA"/>
        </w:rPr>
        <w:t xml:space="preserve"> мероприятий Плана, утвержденного пунктом 1 настоящего распоряжения, в установленные сроки.</w:t>
      </w:r>
    </w:p>
    <w:p>
      <w:pPr>
        <w:pStyle w:val="ConsPlusNormal"/>
        <w:widowControl/>
        <w:spacing w:lineRule="auto" w:line="36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bidi="ar-SA"/>
        </w:rPr>
        <w:t>3. Контроль за исполнением настоящего распоряжения оставляю за собой.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418" w:right="851" w:header="825" w:top="1052" w:footer="0" w:bottom="983" w:gutter="0"/>
          <w:pgNumType w:fmt="decimal"/>
          <w:formProt w:val="false"/>
          <w:titlePg/>
          <w:textDirection w:val="lrTb"/>
          <w:docGrid w:type="default" w:linePitch="360" w:charSpace="24576"/>
        </w:sectPr>
        <w:pStyle w:val="Normal"/>
        <w:tabs>
          <w:tab w:val="clear" w:pos="709"/>
          <w:tab w:val="left" w:pos="7650" w:leader="none"/>
        </w:tabs>
        <w:jc w:val="both"/>
        <w:rPr/>
      </w:pPr>
      <w:r>
        <w:rPr>
          <w:sz w:val="28"/>
          <w:szCs w:val="28"/>
        </w:rPr>
        <w:t>Глава местного самоуправления</w:t>
        <w:tab/>
        <w:t xml:space="preserve"> Д.О.Ожиганов</w:t>
      </w:r>
    </w:p>
    <w:p>
      <w:pPr>
        <w:pStyle w:val="Normal"/>
        <w:widowControl/>
        <w:suppressAutoHyphens w:val="true"/>
        <w:overflowPunct w:val="true"/>
        <w:bidi w:val="0"/>
        <w:spacing w:lineRule="auto" w:line="276"/>
        <w:ind w:left="10488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eastAsia="Calibri" w:cs="Times New Roman" w:ascii="Times New Roman" w:hAnsi="Times New Roman" w:eastAsiaTheme="minorHAnsi"/>
          <w:color w:val="auto"/>
          <w:sz w:val="24"/>
          <w:szCs w:val="24"/>
          <w:lang w:eastAsia="en-US" w:bidi="ar-SA"/>
        </w:rPr>
        <w:t>Приложение</w:t>
      </w:r>
    </w:p>
    <w:p>
      <w:pPr>
        <w:pStyle w:val="Normal"/>
        <w:widowControl/>
        <w:suppressAutoHyphens w:val="true"/>
        <w:overflowPunct w:val="true"/>
        <w:bidi w:val="0"/>
        <w:spacing w:lineRule="auto" w:line="276"/>
        <w:ind w:left="10488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eastAsia="Calibri" w:cs="Times New Roman" w:ascii="Times New Roman" w:hAnsi="Times New Roman" w:eastAsiaTheme="minorHAnsi"/>
          <w:color w:val="auto"/>
          <w:sz w:val="24"/>
          <w:szCs w:val="24"/>
          <w:lang w:eastAsia="en-US" w:bidi="ar-SA"/>
        </w:rPr>
        <w:t>к распоряжению администрации</w:t>
      </w:r>
    </w:p>
    <w:p>
      <w:pPr>
        <w:pStyle w:val="Normal"/>
        <w:widowControl/>
        <w:suppressAutoHyphens w:val="true"/>
        <w:overflowPunct w:val="true"/>
        <w:bidi w:val="0"/>
        <w:spacing w:lineRule="auto" w:line="276"/>
        <w:ind w:left="10488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eastAsia="Calibri" w:cs="Times New Roman" w:ascii="Times New Roman" w:hAnsi="Times New Roman" w:eastAsiaTheme="minorHAnsi"/>
          <w:color w:val="auto"/>
          <w:sz w:val="24"/>
          <w:szCs w:val="24"/>
          <w:lang w:eastAsia="en-US" w:bidi="ar-SA"/>
        </w:rPr>
        <w:t xml:space="preserve">Шарангского муниципального района </w:t>
      </w:r>
    </w:p>
    <w:p>
      <w:pPr>
        <w:pStyle w:val="Normal"/>
        <w:widowControl/>
        <w:tabs>
          <w:tab w:val="clear" w:pos="709"/>
          <w:tab w:val="left" w:pos="11740" w:leader="none"/>
        </w:tabs>
        <w:suppressAutoHyphens w:val="true"/>
        <w:overflowPunct w:val="true"/>
        <w:bidi w:val="0"/>
        <w:spacing w:lineRule="auto" w:line="276" w:before="0" w:after="200"/>
        <w:ind w:left="10488" w:right="0" w:hanging="0"/>
        <w:jc w:val="center"/>
        <w:rPr>
          <w:rFonts w:ascii="Times New Roman" w:hAnsi="Times New Roman" w:eastAsia="Calibri" w:cs="Times New Roman" w:eastAsiaTheme="minorHAnsi"/>
          <w:color w:val="auto"/>
          <w:kern w:val="0"/>
          <w:sz w:val="24"/>
          <w:szCs w:val="24"/>
          <w:lang w:eastAsia="en-US" w:bidi="ar-SA"/>
        </w:rPr>
      </w:pPr>
      <w:r>
        <w:rPr>
          <w:rFonts w:eastAsia="Calibri" w:cs="Times New Roman" w:eastAsiaTheme="minorHAnsi" w:ascii="Times New Roman" w:hAnsi="Times New Roman"/>
          <w:color w:val="auto"/>
          <w:kern w:val="0"/>
          <w:sz w:val="24"/>
          <w:szCs w:val="24"/>
          <w:lang w:eastAsia="en-US" w:bidi="ar-SA"/>
        </w:rPr>
        <w:t>от 25.03.2021 г. № 12</w:t>
      </w:r>
    </w:p>
    <w:p>
      <w:pPr>
        <w:pStyle w:val="Normal"/>
        <w:widowControl/>
        <w:tabs>
          <w:tab w:val="clear" w:pos="709"/>
          <w:tab w:val="left" w:pos="11740" w:leader="none"/>
        </w:tabs>
        <w:suppressAutoHyphens w:val="true"/>
        <w:overflowPunct w:val="true"/>
        <w:bidi w:val="0"/>
        <w:spacing w:lineRule="auto" w:line="276" w:before="0" w:after="200"/>
        <w:ind w:left="10488" w:right="0" w:hanging="0"/>
        <w:jc w:val="center"/>
        <w:rPr>
          <w:rFonts w:ascii="Times New Roman" w:hAnsi="Times New Roman" w:eastAsia="Calibri" w:cs="Times New Roman" w:eastAsiaTheme="minorHAnsi"/>
          <w:color w:val="auto"/>
          <w:kern w:val="0"/>
          <w:sz w:val="24"/>
          <w:szCs w:val="24"/>
          <w:lang w:eastAsia="en-US" w:bidi="ar-SA"/>
        </w:rPr>
      </w:pPr>
      <w:r>
        <w:rPr>
          <w:rFonts w:eastAsia="Calibri" w:cs="Times New Roman" w:eastAsiaTheme="minorHAnsi" w:ascii="Times New Roman" w:hAnsi="Times New Roman"/>
          <w:color w:val="auto"/>
          <w:kern w:val="0"/>
          <w:sz w:val="24"/>
          <w:szCs w:val="24"/>
          <w:lang w:eastAsia="en-US" w:bidi="ar-SA"/>
        </w:rPr>
      </w:r>
    </w:p>
    <w:p>
      <w:pPr>
        <w:pStyle w:val="Normal"/>
        <w:widowControl/>
        <w:tabs>
          <w:tab w:val="clear" w:pos="709"/>
          <w:tab w:val="left" w:pos="6360" w:leader="none"/>
        </w:tabs>
        <w:spacing w:lineRule="auto" w:line="276"/>
        <w:jc w:val="center"/>
        <w:rPr>
          <w:rFonts w:ascii="Times New Roman" w:hAnsi="Times New Roman"/>
          <w:sz w:val="24"/>
          <w:szCs w:val="24"/>
        </w:rPr>
      </w:pPr>
      <w:r>
        <w:rPr>
          <w:rFonts w:eastAsia="Calibri" w:cs="Times New Roman" w:ascii="Times New Roman" w:hAnsi="Times New Roman" w:eastAsiaTheme="minorHAnsi"/>
          <w:color w:val="auto"/>
          <w:sz w:val="24"/>
          <w:szCs w:val="24"/>
          <w:lang w:eastAsia="en-US" w:bidi="ar-SA"/>
        </w:rPr>
        <w:t>План мероприятий («дорожная карта»)</w:t>
      </w:r>
    </w:p>
    <w:p>
      <w:pPr>
        <w:pStyle w:val="Normal"/>
        <w:widowControl/>
        <w:tabs>
          <w:tab w:val="clear" w:pos="709"/>
          <w:tab w:val="left" w:pos="6360" w:leader="none"/>
        </w:tabs>
        <w:spacing w:lineRule="auto" w:line="276"/>
        <w:jc w:val="center"/>
        <w:rPr>
          <w:rFonts w:ascii="Times New Roman" w:hAnsi="Times New Roman"/>
          <w:sz w:val="24"/>
          <w:szCs w:val="24"/>
        </w:rPr>
      </w:pPr>
      <w:r>
        <w:rPr>
          <w:rFonts w:eastAsia="Calibri" w:cs="Times New Roman" w:ascii="Times New Roman" w:hAnsi="Times New Roman" w:eastAsiaTheme="minorHAnsi"/>
          <w:color w:val="auto"/>
          <w:sz w:val="24"/>
          <w:szCs w:val="24"/>
          <w:lang w:eastAsia="en-US" w:bidi="ar-SA"/>
        </w:rPr>
        <w:t>по погашению просроченной кредиторской задолженности</w:t>
      </w:r>
    </w:p>
    <w:p>
      <w:pPr>
        <w:pStyle w:val="Normal"/>
        <w:widowControl/>
        <w:tabs>
          <w:tab w:val="clear" w:pos="709"/>
          <w:tab w:val="left" w:pos="6360" w:leader="none"/>
        </w:tabs>
        <w:spacing w:lineRule="auto" w:line="276"/>
        <w:jc w:val="center"/>
        <w:rPr>
          <w:rFonts w:ascii="Times New Roman" w:hAnsi="Times New Roman"/>
          <w:sz w:val="24"/>
          <w:szCs w:val="24"/>
        </w:rPr>
      </w:pPr>
      <w:r>
        <w:rPr>
          <w:rFonts w:eastAsia="Calibri" w:cs="Times New Roman" w:ascii="Times New Roman" w:hAnsi="Times New Roman" w:eastAsiaTheme="minorHAnsi"/>
          <w:color w:val="auto"/>
          <w:sz w:val="24"/>
          <w:szCs w:val="24"/>
          <w:lang w:eastAsia="en-US" w:bidi="ar-SA"/>
        </w:rPr>
        <w:t>муниципальных учреждений Шарангского муниципального района</w:t>
      </w:r>
    </w:p>
    <w:p>
      <w:pPr>
        <w:pStyle w:val="Normal"/>
        <w:widowControl/>
        <w:tabs>
          <w:tab w:val="clear" w:pos="709"/>
          <w:tab w:val="left" w:pos="6360" w:leader="none"/>
        </w:tabs>
        <w:spacing w:lineRule="auto" w:line="276"/>
        <w:jc w:val="center"/>
        <w:rPr>
          <w:rFonts w:ascii="Times New Roman" w:hAnsi="Times New Roman"/>
          <w:sz w:val="24"/>
          <w:szCs w:val="24"/>
        </w:rPr>
      </w:pPr>
      <w:r>
        <w:rPr>
          <w:rFonts w:eastAsia="Calibri" w:cs="Times New Roman" w:ascii="Times New Roman" w:hAnsi="Times New Roman" w:eastAsiaTheme="minorHAnsi"/>
          <w:color w:val="auto"/>
          <w:sz w:val="24"/>
          <w:szCs w:val="24"/>
          <w:lang w:eastAsia="en-US" w:bidi="ar-SA"/>
        </w:rPr>
        <w:t>на 2021- 2023 годы</w:t>
      </w:r>
    </w:p>
    <w:tbl>
      <w:tblPr>
        <w:tblStyle w:val="15"/>
        <w:tblW w:w="15567" w:type="dxa"/>
        <w:jc w:val="left"/>
        <w:tblInd w:w="13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35"/>
        <w:gridCol w:w="7035"/>
        <w:gridCol w:w="4470"/>
        <w:gridCol w:w="3327"/>
      </w:tblGrid>
      <w:tr>
        <w:trPr>
          <w:trHeight w:val="427" w:hRule="atLeast"/>
        </w:trPr>
        <w:tc>
          <w:tcPr>
            <w:tcW w:w="735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 xml:space="preserve">№ </w:t>
            </w: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п/п</w:t>
            </w:r>
          </w:p>
        </w:tc>
        <w:tc>
          <w:tcPr>
            <w:tcW w:w="7035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Мероприятие</w:t>
            </w:r>
          </w:p>
        </w:tc>
        <w:tc>
          <w:tcPr>
            <w:tcW w:w="4470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Ответственные исполнители</w:t>
            </w:r>
          </w:p>
        </w:tc>
        <w:tc>
          <w:tcPr>
            <w:tcW w:w="3327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Срок исполнения</w:t>
            </w:r>
          </w:p>
        </w:tc>
      </w:tr>
      <w:tr>
        <w:trPr>
          <w:trHeight w:val="1598" w:hRule="atLeast"/>
        </w:trPr>
        <w:tc>
          <w:tcPr>
            <w:tcW w:w="735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left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1.</w:t>
            </w:r>
          </w:p>
        </w:tc>
        <w:tc>
          <w:tcPr>
            <w:tcW w:w="7035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left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Разработка и утверждение планов мероприятий («дорожных карт»), направленных на погашение просроченной кредиторской задолженности муниципальных учреждений Шарангского муниципального района</w:t>
            </w:r>
          </w:p>
        </w:tc>
        <w:tc>
          <w:tcPr>
            <w:tcW w:w="4470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left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администрация Шарангского муниципального</w:t>
            </w:r>
          </w:p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left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 xml:space="preserve">района (далее - администрация), управление образования и молодежной политики (далее - </w:t>
            </w:r>
            <w:bookmarkStart w:id="0" w:name="_GoBack"/>
            <w:bookmarkEnd w:id="0"/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управление образования), отдел культуры</w:t>
            </w:r>
          </w:p>
        </w:tc>
        <w:tc>
          <w:tcPr>
            <w:tcW w:w="3327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left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До 15 числа месяца, следующего за отчетным в случае возникновения просроченной кредиторской задолженности</w:t>
            </w:r>
          </w:p>
        </w:tc>
      </w:tr>
      <w:tr>
        <w:trPr>
          <w:trHeight w:val="961" w:hRule="atLeast"/>
        </w:trPr>
        <w:tc>
          <w:tcPr>
            <w:tcW w:w="735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2.</w:t>
            </w:r>
          </w:p>
        </w:tc>
        <w:tc>
          <w:tcPr>
            <w:tcW w:w="7035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Проведение работы по возможной реструктуризации просроченной кредиторской задолженности. Заключение соглашений о реструктуризации просроченной кредиторской задолженности</w:t>
            </w:r>
          </w:p>
        </w:tc>
        <w:tc>
          <w:tcPr>
            <w:tcW w:w="4470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left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администрация, управление образования, отдел культуры</w:t>
            </w:r>
          </w:p>
        </w:tc>
        <w:tc>
          <w:tcPr>
            <w:tcW w:w="3327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До 1 мая 2021 года</w:t>
            </w:r>
          </w:p>
        </w:tc>
      </w:tr>
      <w:tr>
        <w:trPr>
          <w:trHeight w:val="678" w:hRule="atLeast"/>
        </w:trPr>
        <w:tc>
          <w:tcPr>
            <w:tcW w:w="735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left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3.</w:t>
            </w:r>
          </w:p>
        </w:tc>
        <w:tc>
          <w:tcPr>
            <w:tcW w:w="7035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left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Погашение задолженности за счет оптимизации бюджетных расходов с направлением средств от достигнутой экономии на сокращение просроченной кредиторской задолженности</w:t>
            </w:r>
          </w:p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left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470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left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администрация, управление образования, отдел культуры</w:t>
            </w:r>
          </w:p>
        </w:tc>
        <w:tc>
          <w:tcPr>
            <w:tcW w:w="3327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left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Постоянно</w:t>
            </w:r>
          </w:p>
        </w:tc>
      </w:tr>
      <w:tr>
        <w:trPr>
          <w:trHeight w:val="795" w:hRule="atLeast"/>
        </w:trPr>
        <w:tc>
          <w:tcPr>
            <w:tcW w:w="735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left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4.</w:t>
            </w:r>
          </w:p>
        </w:tc>
        <w:tc>
          <w:tcPr>
            <w:tcW w:w="7035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left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Погашение задолженности за счет средств, предусмотренных в бюджете Шарангского муниципального района на 2021год и плановый период 2022 – 2023 годов</w:t>
            </w:r>
          </w:p>
        </w:tc>
        <w:tc>
          <w:tcPr>
            <w:tcW w:w="4470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left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администрация, управление образования, отдел культуры</w:t>
            </w:r>
          </w:p>
        </w:tc>
        <w:tc>
          <w:tcPr>
            <w:tcW w:w="3327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left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До 1 января 2024 года</w:t>
            </w:r>
          </w:p>
        </w:tc>
      </w:tr>
      <w:tr>
        <w:trPr>
          <w:trHeight w:val="1036" w:hRule="atLeast"/>
        </w:trPr>
        <w:tc>
          <w:tcPr>
            <w:tcW w:w="735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left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5.</w:t>
            </w:r>
          </w:p>
        </w:tc>
        <w:tc>
          <w:tcPr>
            <w:tcW w:w="7035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left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Мониторинг исполнения планов мероприятий («дорожных карт») по сокращению просроченной кредиторской задолженности муниципальных учреждений Шарангского муниципального района</w:t>
            </w:r>
          </w:p>
        </w:tc>
        <w:tc>
          <w:tcPr>
            <w:tcW w:w="4470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left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финансовое управление</w:t>
            </w:r>
          </w:p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left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327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left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До 15 числа каждого месяца, следующим за отчетным</w:t>
            </w:r>
          </w:p>
        </w:tc>
      </w:tr>
      <w:tr>
        <w:trPr>
          <w:trHeight w:val="1117" w:hRule="atLeast"/>
        </w:trPr>
        <w:tc>
          <w:tcPr>
            <w:tcW w:w="735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left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6.</w:t>
            </w:r>
          </w:p>
        </w:tc>
        <w:tc>
          <w:tcPr>
            <w:tcW w:w="7035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left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Обеспечение контроля за заключением муниципальных контрактов на закупку товаров, выполнение работ и оказание услуг для муниципальных нужд в пределах доведенных в текущем финансовом году лимитов бюджетных обязательств</w:t>
            </w:r>
          </w:p>
        </w:tc>
        <w:tc>
          <w:tcPr>
            <w:tcW w:w="4470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left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финансовое управление</w:t>
            </w:r>
          </w:p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left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327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left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Постоянно</w:t>
            </w:r>
          </w:p>
        </w:tc>
      </w:tr>
      <w:tr>
        <w:trPr>
          <w:trHeight w:val="830" w:hRule="atLeast"/>
        </w:trPr>
        <w:tc>
          <w:tcPr>
            <w:tcW w:w="735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left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7.</w:t>
            </w:r>
          </w:p>
        </w:tc>
        <w:tc>
          <w:tcPr>
            <w:tcW w:w="7035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left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Обеспечение контроля за осуществлением своевременной оплаты по муниципальным контрактам на закупку товаров, выполнение работ и оказание услуг для муниципальных нужд</w:t>
            </w:r>
          </w:p>
        </w:tc>
        <w:tc>
          <w:tcPr>
            <w:tcW w:w="4470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left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администрация, управление образования, отдел культуры</w:t>
            </w:r>
          </w:p>
        </w:tc>
        <w:tc>
          <w:tcPr>
            <w:tcW w:w="3327" w:type="dxa"/>
            <w:tcBorders/>
          </w:tcPr>
          <w:p>
            <w:pPr>
              <w:pStyle w:val="Normal"/>
              <w:widowControl/>
              <w:tabs>
                <w:tab w:val="clear" w:pos="709"/>
                <w:tab w:val="left" w:pos="6360" w:leader="none"/>
              </w:tabs>
              <w:spacing w:before="0" w:after="0"/>
              <w:jc w:val="left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Постоянно</w:t>
            </w:r>
          </w:p>
        </w:tc>
      </w:tr>
    </w:tbl>
    <w:p>
      <w:pPr>
        <w:pStyle w:val="Normal"/>
        <w:widowControl/>
        <w:tabs>
          <w:tab w:val="clear" w:pos="709"/>
          <w:tab w:val="left" w:pos="6360" w:leader="none"/>
        </w:tabs>
        <w:spacing w:lineRule="auto" w:line="27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sectPr>
      <w:headerReference w:type="default" r:id="rId5"/>
      <w:type w:val="nextPage"/>
      <w:pgSz w:orient="landscape" w:w="16838" w:h="11906"/>
      <w:pgMar w:left="600" w:right="653" w:header="1134" w:top="1648" w:footer="0" w:bottom="572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bidi="ar-SA" w:val="ru-RU" w:eastAsia="zh-CN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fc0b68"/>
    <w:rPr>
      <w:rFonts w:ascii="Times New Roman" w:hAnsi="Times New Roman" w:cs="Times New Roman"/>
      <w:sz w:val="26"/>
      <w:szCs w:val="26"/>
    </w:rPr>
  </w:style>
  <w:style w:type="paragraph" w:styleId="Style15" w:customStyle="1">
    <w:name w:val="Заголовок"/>
    <w:basedOn w:val="Normal"/>
    <w:next w:val="Style16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6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rsid w:val="005b2eda"/>
    <w:pPr/>
    <w:rPr>
      <w:rFonts w:cs="Mangal"/>
    </w:rPr>
  </w:style>
  <w:style w:type="paragraph" w:styleId="Style18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0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 w:customStyle="1">
    <w:name w:val="Верхний и нижний колонтитулы"/>
    <w:basedOn w:val="Normal"/>
    <w:qFormat/>
    <w:rsid w:val="00fc0b68"/>
    <w:pPr/>
    <w:rPr/>
  </w:style>
  <w:style w:type="paragraph" w:styleId="Style22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bidi="ar-SA" w:val="ru-RU" w:eastAsia="zh-CN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bidi="ar-SA" w:val="ru-RU" w:eastAsia="zh-CN"/>
    </w:rPr>
  </w:style>
  <w:style w:type="paragraph" w:styleId="Style24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eastAsia="ru-RU" w:bidi="ar-SA" w:val="ru-RU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eastAsia="ru-RU" w:bidi="ar-SA" w:val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Application>LibreOffice/7.0.4.2$Windows_X86_64 LibreOffice_project/dcf040e67528d9187c66b2379df5ea4407429775</Application>
  <AppVersion>15.0000</AppVersion>
  <DocSecurity>0</DocSecurity>
  <Pages>4</Pages>
  <Words>383</Words>
  <Characters>3044</Characters>
  <CharactersWithSpaces>3382</CharactersWithSpaces>
  <Paragraphs>56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2021-03-25T13:19:47Z</cp:lastPrinted>
  <dcterms:modified xsi:type="dcterms:W3CDTF">2021-03-25T13:19:51Z</dcterms:modified>
  <cp:revision>85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