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13.12.2021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536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Об утверждении Программы профилактики рисков причинения вреда (ущерба) охраняемым</w:t>
      </w:r>
      <w:r>
        <w:rPr>
          <w:rFonts w:cs="Times New Roman"/>
          <w:b/>
          <w:bCs/>
          <w:color w:val="010101"/>
          <w:sz w:val="28"/>
          <w:szCs w:val="28"/>
        </w:rPr>
        <w:t xml:space="preserve"> законом ценностям в сфере муниципального земельного контроля на территории </w:t>
      </w:r>
      <w:r>
        <w:rPr>
          <w:rFonts w:cs="Times New Roman"/>
          <w:b/>
          <w:bCs/>
          <w:color w:val="000000"/>
          <w:sz w:val="28"/>
          <w:szCs w:val="28"/>
        </w:rPr>
        <w:t>Шарангского</w:t>
      </w:r>
      <w:r>
        <w:rPr>
          <w:rFonts w:cs="Times New Roman"/>
          <w:b/>
          <w:bCs/>
          <w:color w:val="010101"/>
          <w:sz w:val="28"/>
          <w:szCs w:val="28"/>
        </w:rPr>
        <w:t xml:space="preserve"> муниципального района Нижегородской области на 2022 год</w:t>
      </w:r>
      <w:r>
        <w:rPr>
          <w:rFonts w:cs="Times New Roman"/>
          <w:b/>
          <w:sz w:val="28"/>
          <w:szCs w:val="28"/>
        </w:rPr>
        <w:t xml:space="preserve">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В соответствии с</w:t>
      </w:r>
      <w:r>
        <w:rPr>
          <w:rFonts w:cs="Times New Roman"/>
          <w:color w:val="000000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Федеральным законом от 31.07.2020 № 248-ФЗ «О государственном контроле (надзоре) и муниципальном контроле в Российской Федерации»</w:t>
      </w:r>
      <w:r>
        <w:rPr>
          <w:rFonts w:cs="Times New Roman"/>
          <w:color w:val="000000"/>
          <w:sz w:val="28"/>
          <w:szCs w:val="28"/>
        </w:rPr>
        <w:t>, Положением о муниципальном земельном контроле на территории Шарангского муниципального района Нижегородской области, утвержденным решением Земского собрания Шарангского муниципального района</w:t>
      </w:r>
      <w:r>
        <w:rPr>
          <w:rFonts w:cs="Times New Roman"/>
          <w:sz w:val="28"/>
          <w:szCs w:val="28"/>
        </w:rPr>
        <w:t xml:space="preserve"> Нижегородской области</w:t>
      </w:r>
      <w:r>
        <w:rPr>
          <w:rFonts w:cs="Times New Roman"/>
          <w:color w:val="000000"/>
          <w:sz w:val="28"/>
          <w:szCs w:val="28"/>
        </w:rPr>
        <w:t xml:space="preserve"> от 28.10.2021 № 42, </w:t>
      </w:r>
      <w:r>
        <w:rPr>
          <w:rFonts w:cs="Times New Roman"/>
          <w:sz w:val="28"/>
          <w:szCs w:val="28"/>
        </w:rPr>
        <w:t>администрация Шарангского муниципального района Нижегородской области</w:t>
      </w:r>
    </w:p>
    <w:p>
      <w:pPr>
        <w:pStyle w:val="Normal"/>
        <w:spacing w:lineRule="auto" w:line="360" w:before="0" w:after="0"/>
        <w:ind w:left="0" w:right="0" w:hanging="0"/>
        <w:jc w:val="both"/>
        <w:rPr/>
      </w:pPr>
      <w:r>
        <w:rPr>
          <w:rFonts w:cs="Times New Roman"/>
          <w:b/>
          <w:sz w:val="28"/>
          <w:szCs w:val="28"/>
        </w:rPr>
        <w:t>п о с т а н о в л я е т</w:t>
      </w:r>
      <w:r>
        <w:rPr>
          <w:rFonts w:cs="Times New Roman"/>
          <w:sz w:val="28"/>
          <w:szCs w:val="28"/>
        </w:rPr>
        <w:t>:</w:t>
      </w:r>
    </w:p>
    <w:p>
      <w:pPr>
        <w:pStyle w:val="Style25"/>
        <w:numPr>
          <w:ilvl w:val="0"/>
          <w:numId w:val="0"/>
        </w:numPr>
        <w:shd w:val="clear" w:fill="FFFFFF"/>
        <w:spacing w:lineRule="auto" w:line="360" w:before="0" w:after="0"/>
        <w:ind w:left="0" w:right="0" w:firstLine="709"/>
        <w:contextualSpacing w:val="false"/>
        <w:jc w:val="both"/>
        <w:outlineLvl w:val="1"/>
        <w:rPr/>
      </w:pPr>
      <w:r>
        <w:rPr>
          <w:rFonts w:cs="Times New Roman"/>
          <w:sz w:val="28"/>
          <w:szCs w:val="28"/>
        </w:rPr>
        <w:t>1. Утвердить прилагаемую Программу профилактики рисков причинения вреда (ущерба) охраняемым</w:t>
      </w:r>
      <w:r>
        <w:rPr>
          <w:rFonts w:cs="Times New Roman"/>
          <w:color w:val="010101"/>
          <w:sz w:val="28"/>
          <w:szCs w:val="28"/>
        </w:rPr>
        <w:t xml:space="preserve"> законом ценностям в сфере муниципального земельного контроля на территории Шарангского муниципального района Нижегородской области на 2022 год.</w:t>
      </w:r>
    </w:p>
    <w:p>
      <w:pPr>
        <w:pStyle w:val="Style25"/>
        <w:numPr>
          <w:ilvl w:val="0"/>
          <w:numId w:val="0"/>
        </w:numPr>
        <w:shd w:val="clear" w:fill="FFFFFF"/>
        <w:spacing w:lineRule="auto" w:line="360" w:before="0" w:after="0"/>
        <w:ind w:left="0" w:right="0" w:firstLine="709"/>
        <w:contextualSpacing w:val="false"/>
        <w:jc w:val="both"/>
        <w:outlineLvl w:val="1"/>
        <w:rPr/>
      </w:pPr>
      <w:r>
        <w:rPr>
          <w:rFonts w:cs="Times New Roman"/>
          <w:color w:val="010101"/>
          <w:sz w:val="28"/>
          <w:szCs w:val="28"/>
        </w:rPr>
        <w:t>2. Опубликовать настоящее постановление в районной газете «Знамя победы» и разместить его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3. Настоящее постановление вступает в силу с 1 января 2022 года.</w:t>
      </w:r>
    </w:p>
    <w:p>
      <w:pPr>
        <w:pStyle w:val="Style13"/>
        <w:spacing w:lineRule="auto" w:line="360" w:before="0" w:after="0"/>
        <w:ind w:left="0" w:right="0" w:firstLine="709"/>
        <w:jc w:val="both"/>
        <w:rPr/>
      </w:pPr>
      <w:r>
        <w:rPr>
          <w:rFonts w:ascii="Times New Roman" w:hAnsi="Times New Roman"/>
          <w:spacing w:val="2"/>
          <w:sz w:val="24"/>
          <w:szCs w:val="24"/>
          <w:shd w:fill="FFFFFF" w:val="clear"/>
        </w:rPr>
        <w:t xml:space="preserve">4. </w:t>
      </w:r>
      <w:r>
        <w:rPr>
          <w:rFonts w:cs="Times New Roman" w:ascii="Times New Roman" w:hAnsi="Times New Roman"/>
          <w:spacing w:val="2"/>
          <w:sz w:val="28"/>
          <w:szCs w:val="28"/>
          <w:shd w:fill="FFFFFF" w:val="clear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Новосёлову</w:t>
      </w:r>
      <w:r>
        <w:rPr>
          <w:rFonts w:cs="Times New Roman" w:ascii="Times New Roman" w:hAnsi="Times New Roman"/>
          <w:spacing w:val="-3"/>
          <w:sz w:val="28"/>
          <w:szCs w:val="28"/>
          <w:shd w:fill="FFFFFF" w:val="clear"/>
        </w:rPr>
        <w:t xml:space="preserve"> </w:t>
      </w:r>
      <w:r>
        <w:rPr>
          <w:rFonts w:cs="Times New Roman" w:ascii="Times New Roman" w:hAnsi="Times New Roman"/>
          <w:spacing w:val="2"/>
          <w:sz w:val="28"/>
          <w:szCs w:val="28"/>
          <w:shd w:fill="FFFFFF" w:val="clear"/>
        </w:rPr>
        <w:t>Т.В.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Заместитель главы администрации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  <w:r>
        <w:br w:type="page"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УТВЕРЖДЕНА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от 13.12.2021 № 536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left="0" w:right="0" w:firstLine="567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left="0" w:right="0" w:firstLine="567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shd w:val="clear" w:fill="FFFFFF"/>
        <w:suppressAutoHyphens w:val="true"/>
        <w:bidi w:val="0"/>
        <w:spacing w:lineRule="auto" w:line="240" w:before="0" w:after="0"/>
        <w:ind w:left="1134" w:right="1134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  <w:t>ПРОГРАММА</w:t>
      </w:r>
    </w:p>
    <w:p>
      <w:pPr>
        <w:pStyle w:val="Normal"/>
        <w:widowControl/>
        <w:numPr>
          <w:ilvl w:val="0"/>
          <w:numId w:val="0"/>
        </w:numPr>
        <w:shd w:val="clear" w:fill="FFFFFF"/>
        <w:suppressAutoHyphens w:val="true"/>
        <w:bidi w:val="0"/>
        <w:spacing w:lineRule="auto" w:line="240" w:before="0" w:after="0"/>
        <w:ind w:left="1134" w:right="1134" w:hanging="0"/>
        <w:jc w:val="center"/>
        <w:outlineLvl w:val="1"/>
        <w:rPr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2022 год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left="0" w:right="0" w:firstLine="567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  <w:t>Раздел 1. Общие положения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Программа профилактики рисков причинения вреда (ущерба) устанавливает порядок проведения профилактических мероприятий, направленных на предупреждение нарушений обязательных требований и (или) причинения вреда (ущерба) охраняемым законом ценностям, соблюдение которых оценивается при осуществлении муниципального земельного контроля на территории Шарангского муниципального района Нижегородской области.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  <w:t>Раздел 2. Аналитическая часть Программы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2.1. Вид осуществляемого муниципального контроля.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Муниципальный земельный контроль на территории Шарангского муниципального района осуществляется отделом экономики и имущественных отношений администрации Шарангского муниципального района Нижегородской области (далее – Отдел).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2.2. Обзор по виду муниципального контроля.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Муниципальный земельный контроль (далее – муниципальный контроль) – деятельность, направленная на предупреждение, выявление и пресечение нарушений обязательных требований земельного законодательства (далее обязательных требований), осуществляемая в пределах полномочий посредством профилактики нарушений обязательных требований, оценки соблюдения гражданами и организациями обязательных требований, выявления нарушений обязательных требований,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2.3. Муниципальный земельный контроль осуществляется посредством: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принятия предусмотренных законодательством Российской Федерации мер по пресечению и (или) устранению выявленных нарушений, а также систематического наблюдения за исполнением обязательных требований;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организации и проведения мероприятий по профилактике рисков причинения вреда (ущерба) охраняемым законом ценностям;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организации и проведения мероприятий по контролю, осуществляемых без взаимодействия с юридическими лицами, индивидуальными предпринимателями.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2.4. Подконтрольные субъекты: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юридические лица, индивидуальные предприниматели и граждане, при осуществлении ими производственной и иной деятельности по использованию земель.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2.5. Перечень правовых актов и их отдельных частей (положений), содержащих обязательные требования, соблюдение которых оценивается при проведении отделом мероприятий по муниципальному земельному контролю: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-Земельный кодекс Российской Федерации.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2.6. Анализ и оценка рисков причинения вреда охраняемым законом ценностям.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Мониторинг состояния подконтрольных субъектов в сфере земельного законодательства выявил, что ключевыми и наиболее значимыми рисками являются использование земельных участков лицами, не имеющими предусмотренных законодательством Российской Федерации прав на указанные земельные участки, и использование земельных участков не по целевому назначению.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Проведение профилактических мероприятий, направленных на соблюдение подконтрольными субъектами обязательных требований земельного законодательства, на побуждение подконтрольных субъектов к добросовестности, будет способствовать улучшению в целом ситуации, повышению ответственности подконтрольных субъектов, снижению количества выявляемых нарушений обязательных требований, требований, установленных муниципальными правовыми актами в указанной сфере.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  <w:t>Раздел 3. Цели и задачи Программы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3.1. Цели Программы: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стимулирование добросовестного соблюдения обязательных требований всеми контролируемыми лицами;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3.2. Задачи Программы: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повышение прозрачности осуществляемой отделом контрольной деятельности;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- повышение уровня правовой грамотности подконтрольных субъектов, в том числе путем обеспечения доступности информации об обязательных требованиях законодательства и необходимых мерах по их исполнению.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  <w:t>Раздел 4. План мероприятий по профилактике нарушений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Мероприятия Программы представляют собой комплекс мер, направленных на достижение целей и решение основных задач Программы. Перечень мероприятий Программы на 2022 год, сроки (периодичность) их проведения и ответственные структурные подразделения приведены в Плане мероприятий по профилактике нарушений земельного законодательства на 2022 год (приложение к настоящее Программе).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  <w:t>Раздел 5. Порядок управления Программой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bCs/>
          <w:color w:val="010101"/>
          <w:sz w:val="24"/>
          <w:szCs w:val="24"/>
        </w:rPr>
      </w:pPr>
      <w:r>
        <w:rPr>
          <w:rFonts w:cs="Times New Roman"/>
          <w:b/>
          <w:bCs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Перечень должностных лиц Отдела, ответственных за организацию и проведение профилактических мероприятий при осуществлении муниципального земельного контроля на территории Шарангского муниципального района Нижегородской области.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tbl>
      <w:tblPr>
        <w:tblW w:w="9645" w:type="dxa"/>
        <w:jc w:val="left"/>
        <w:tblInd w:w="-8" w:type="dxa"/>
        <w:tblLayout w:type="fixed"/>
        <w:tblCellMar>
          <w:top w:w="0" w:type="dxa"/>
          <w:left w:w="7" w:type="dxa"/>
          <w:bottom w:w="0" w:type="dxa"/>
          <w:right w:w="7" w:type="dxa"/>
        </w:tblCellMar>
      </w:tblPr>
      <w:tblGrid>
        <w:gridCol w:w="510"/>
        <w:gridCol w:w="3629"/>
        <w:gridCol w:w="2610"/>
        <w:gridCol w:w="2895"/>
      </w:tblGrid>
      <w:tr>
        <w:trPr/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№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п/п</w:t>
            </w:r>
          </w:p>
        </w:tc>
        <w:tc>
          <w:tcPr>
            <w:tcW w:w="3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Должностные лица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Функции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Контакты</w:t>
            </w:r>
          </w:p>
        </w:tc>
      </w:tr>
      <w:tr>
        <w:trPr/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1.</w:t>
            </w:r>
          </w:p>
        </w:tc>
        <w:tc>
          <w:tcPr>
            <w:tcW w:w="3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 экономики и имущественных отношений администрации Шарангского муниципального района Нижегородской области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Организация и проведение мероприятий по реализации Программы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8(83155)2-11-01,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8(83155)2-19-66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Official</w:t>
            </w:r>
            <w:r>
              <w:rPr>
                <w:rFonts w:cs="Times New Roman"/>
                <w:sz w:val="24"/>
                <w:szCs w:val="24"/>
              </w:rPr>
              <w:t>@</w:t>
            </w:r>
            <w:r>
              <w:rPr>
                <w:rFonts w:cs="Times New Roman"/>
                <w:sz w:val="24"/>
                <w:szCs w:val="24"/>
                <w:lang w:val="en-US"/>
              </w:rPr>
              <w:t>adm</w:t>
            </w:r>
            <w:r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  <w:lang w:val="en-US"/>
              </w:rPr>
              <w:t>shr</w:t>
            </w:r>
            <w:r>
              <w:rPr>
                <w:rFonts w:cs="Times New Roman"/>
                <w:sz w:val="24"/>
                <w:szCs w:val="24"/>
              </w:rPr>
              <w:t>.</w:t>
            </w:r>
            <w:r>
              <w:rPr>
                <w:rFonts w:cs="Times New Roman"/>
                <w:sz w:val="24"/>
                <w:szCs w:val="24"/>
                <w:lang w:val="en-US"/>
              </w:rPr>
              <w:t>nnov</w:t>
            </w:r>
            <w:r>
              <w:rPr>
                <w:rFonts w:cs="Times New Roman"/>
                <w:sz w:val="24"/>
                <w:szCs w:val="24"/>
              </w:rPr>
              <w:t>.ru</w:t>
            </w:r>
          </w:p>
        </w:tc>
      </w:tr>
    </w:tbl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Реализация Программы осуществляется путем исполнения организационных и профилактических мероприятий в соответствии с Планом мероприятий по профилактике нарушений при осуществлении муниципального земельного контроля на территории Шарангского муниципального района Нижегородской области на 2022 год.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gutter="0" w:header="930" w:top="987" w:footer="0" w:bottom="1118"/>
          <w:pgNumType w:fmt="decimal"/>
          <w:formProt w:val="false"/>
          <w:titlePg/>
          <w:textDirection w:val="lrTb"/>
          <w:docGrid w:type="default" w:linePitch="360" w:charSpace="49152"/>
        </w:sectPr>
        <w:pStyle w:val="Normal"/>
        <w:shd w:val="clear" w:fill="FFFFFF"/>
        <w:tabs>
          <w:tab w:val="clear" w:pos="709"/>
          <w:tab w:val="left" w:pos="7485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  <w:t>Результаты профилактической работы Отдела включаются в доклад об осуществлении муниципального земельного на территории Шарангского муниципального района Нижегородской области на 2022 год.</w:t>
      </w:r>
    </w:p>
    <w:p>
      <w:pPr>
        <w:pStyle w:val="Normal"/>
        <w:widowControl/>
        <w:shd w:val="clear" w:fill="FFFFFF"/>
        <w:suppressAutoHyphens w:val="true"/>
        <w:bidi w:val="0"/>
        <w:spacing w:lineRule="auto" w:line="240" w:before="0" w:after="0"/>
        <w:ind w:left="10431" w:right="0" w:hanging="0"/>
        <w:jc w:val="center"/>
        <w:rPr>
          <w:rFonts w:ascii="Times New Roman" w:hAnsi="Times New Roman" w:cs="Times New Roman"/>
          <w:bCs/>
          <w:iCs/>
          <w:color w:val="010101"/>
          <w:sz w:val="24"/>
          <w:szCs w:val="24"/>
        </w:rPr>
      </w:pPr>
      <w:r>
        <w:rPr>
          <w:rFonts w:cs="Times New Roman"/>
          <w:bCs/>
          <w:iCs/>
          <w:color w:val="010101"/>
          <w:sz w:val="24"/>
          <w:szCs w:val="24"/>
        </w:rPr>
        <w:t>ПРИЛОЖЕНИЕ</w:t>
      </w:r>
    </w:p>
    <w:p>
      <w:pPr>
        <w:pStyle w:val="Normal"/>
        <w:widowControl/>
        <w:numPr>
          <w:ilvl w:val="0"/>
          <w:numId w:val="0"/>
        </w:numPr>
        <w:shd w:val="clear" w:fill="FFFFFF"/>
        <w:suppressAutoHyphens w:val="true"/>
        <w:bidi w:val="0"/>
        <w:spacing w:lineRule="auto" w:line="240" w:before="0" w:after="0"/>
        <w:ind w:left="10431" w:right="0" w:hanging="0"/>
        <w:jc w:val="center"/>
        <w:outlineLvl w:val="1"/>
        <w:rPr>
          <w:sz w:val="24"/>
          <w:szCs w:val="24"/>
        </w:rPr>
      </w:pPr>
      <w:r>
        <w:rPr>
          <w:rFonts w:cs="Times New Roman"/>
          <w:bCs/>
          <w:iCs/>
          <w:color w:val="010101"/>
          <w:sz w:val="24"/>
          <w:szCs w:val="24"/>
        </w:rPr>
        <w:t xml:space="preserve">к Программе </w:t>
      </w:r>
      <w:r>
        <w:rPr>
          <w:rFonts w:cs="Times New Roman"/>
          <w:color w:val="010101"/>
          <w:sz w:val="24"/>
          <w:szCs w:val="24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2022 год</w:t>
      </w:r>
    </w:p>
    <w:p>
      <w:pPr>
        <w:pStyle w:val="Normal"/>
        <w:shd w:val="clear" w:fill="FFFFFF"/>
        <w:spacing w:lineRule="auto" w:line="240" w:before="0" w:after="0"/>
        <w:rPr>
          <w:rFonts w:ascii="Times New Roman" w:hAnsi="Times New Roman" w:cs="Times New Roman"/>
          <w:bCs/>
          <w:iCs/>
          <w:color w:val="010101"/>
          <w:sz w:val="24"/>
          <w:szCs w:val="24"/>
        </w:rPr>
      </w:pPr>
      <w:r>
        <w:rPr>
          <w:rFonts w:cs="Times New Roman"/>
          <w:bCs/>
          <w:iCs/>
          <w:color w:val="010101"/>
          <w:sz w:val="24"/>
          <w:szCs w:val="24"/>
        </w:rPr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left="0" w:hanging="0"/>
        <w:outlineLvl w:val="1"/>
        <w:rPr>
          <w:rFonts w:ascii="Times New Roman" w:hAnsi="Times New Roman" w:cs="Times New Roman"/>
          <w:bCs/>
          <w:iCs/>
          <w:color w:val="010101"/>
          <w:sz w:val="24"/>
          <w:szCs w:val="24"/>
        </w:rPr>
      </w:pPr>
      <w:r>
        <w:rPr>
          <w:rFonts w:cs="Times New Roman"/>
          <w:bCs/>
          <w:iCs/>
          <w:color w:val="010101"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shd w:val="clear" w:fill="FFFFFF"/>
        <w:suppressAutoHyphens w:val="true"/>
        <w:bidi w:val="0"/>
        <w:spacing w:lineRule="auto" w:line="240" w:before="0" w:after="0"/>
        <w:ind w:left="1134" w:right="1134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  <w:t>ПЛАН МЕРОПРИЯТИЙ</w:t>
      </w:r>
    </w:p>
    <w:p>
      <w:pPr>
        <w:pStyle w:val="Normal"/>
        <w:widowControl/>
        <w:numPr>
          <w:ilvl w:val="0"/>
          <w:numId w:val="0"/>
        </w:numPr>
        <w:shd w:val="clear" w:fill="FFFFFF"/>
        <w:suppressAutoHyphens w:val="true"/>
        <w:bidi w:val="0"/>
        <w:spacing w:lineRule="auto" w:line="240" w:before="0" w:after="0"/>
        <w:ind w:left="1134" w:right="1134" w:hanging="0"/>
        <w:jc w:val="center"/>
        <w:outlineLvl w:val="1"/>
        <w:rPr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  <w:t>по профилактике нарушений земельного законодательства на территории Шарангского муниципального района Нижегородской области на 2022 год</w:t>
      </w:r>
    </w:p>
    <w:p>
      <w:pPr>
        <w:pStyle w:val="Normal"/>
        <w:numPr>
          <w:ilvl w:val="0"/>
          <w:numId w:val="0"/>
        </w:numPr>
        <w:shd w:val="clear" w:fill="FFFFFF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4"/>
          <w:szCs w:val="24"/>
        </w:rPr>
      </w:pPr>
      <w:r>
        <w:rPr>
          <w:rFonts w:cs="Times New Roman"/>
          <w:b/>
          <w:color w:val="010101"/>
          <w:sz w:val="24"/>
          <w:szCs w:val="24"/>
        </w:rPr>
      </w:r>
    </w:p>
    <w:tbl>
      <w:tblPr>
        <w:tblW w:w="15585" w:type="dxa"/>
        <w:jc w:val="left"/>
        <w:tblInd w:w="-8" w:type="dxa"/>
        <w:tblLayout w:type="fixed"/>
        <w:tblCellMar>
          <w:top w:w="0" w:type="dxa"/>
          <w:left w:w="7" w:type="dxa"/>
          <w:bottom w:w="0" w:type="dxa"/>
          <w:right w:w="7" w:type="dxa"/>
        </w:tblCellMar>
      </w:tblPr>
      <w:tblGrid>
        <w:gridCol w:w="570"/>
        <w:gridCol w:w="2264"/>
        <w:gridCol w:w="9691"/>
        <w:gridCol w:w="1710"/>
        <w:gridCol w:w="1350"/>
      </w:tblGrid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п/п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Сведения о мероприятии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4"/>
                <w:szCs w:val="24"/>
              </w:rPr>
            </w:pPr>
            <w:r>
              <w:rPr>
                <w:rFonts w:cs="Times New Roman"/>
                <w:bCs/>
                <w:color w:val="010101"/>
                <w:sz w:val="24"/>
                <w:szCs w:val="24"/>
              </w:rPr>
              <w:t>Срок исполнения</w:t>
            </w:r>
          </w:p>
        </w:tc>
      </w:tr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55" w:hanging="0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Информирование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Отдел осуществляет информирование контролируемых лиц и иных заинтересованных лиц по вопросам соблюдения обязательных требований.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Информирование осуществляется посредством размещения соответствующих сведений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Отдел размещает и поддерживает в актуальном состоянии в своем разделе на официальном сайте администрации Шарангского муниципального района Нижегородской области в информационно-телекоммуникационной сети «Интернет»: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1) тексты нормативных правовых актов, регулирующих осуществление муниципального земельного контроля;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2) программу профилактики рисков причинения вреда</w:t>
            </w:r>
            <w:r>
              <w:rPr>
                <w:rFonts w:cs="Times New Roman"/>
                <w:bCs/>
                <w:iCs/>
                <w:color w:val="010101"/>
                <w:sz w:val="24"/>
                <w:szCs w:val="24"/>
              </w:rPr>
              <w:t xml:space="preserve"> (ущерба)</w:t>
            </w:r>
            <w:r>
              <w:rPr>
                <w:rFonts w:cs="Times New Roman"/>
                <w:color w:val="010101"/>
                <w:sz w:val="24"/>
                <w:szCs w:val="24"/>
              </w:rPr>
              <w:t xml:space="preserve"> </w:t>
            </w:r>
            <w:r>
              <w:rPr>
                <w:rFonts w:cs="Times New Roman"/>
                <w:bCs/>
                <w:iCs/>
                <w:color w:val="010101"/>
                <w:sz w:val="24"/>
                <w:szCs w:val="24"/>
              </w:rPr>
              <w:t>охраняемым законом ценностям</w:t>
            </w:r>
            <w:r>
              <w:rPr>
                <w:rFonts w:cs="Times New Roman"/>
                <w:color w:val="010101"/>
                <w:sz w:val="24"/>
                <w:szCs w:val="24"/>
              </w:rPr>
              <w:t>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3) сведения о способах получения консультаций по вопросам соблюдения обязательных требований;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4) доклады, содержащие результаты обобщения правоприменительной практики;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5) доклады о муниципальном контроле;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6) иные сведения, предусмотренные нормативными правовыми актами Российской Федерации, нормативными правовыми актами субъекта Российской Федерации, муниципальными правовыми актами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2.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55" w:hanging="0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Обобщение правоприменительной практики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Доклад о правоприменительной практике при осуществлении муниципального контроля готовится ежегодно до 1 марта года, следующего за отчетным, подлежит публичному обсуждению.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Доклад о правоприменительной практике размещается на официальном сайте администрации Шарангского муниципального района Нижегородской области в информационно-телекоммуникационной сети «Интернет», до 1 апреля года, следующего за отчетным годом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1 раз в год</w:t>
            </w:r>
          </w:p>
        </w:tc>
      </w:tr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3.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55" w:hanging="0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Объявление предостережения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При наличии у контрольного органа сведений о готовящихся или возможных нарушениях обязательных требований, а также о непосредственных нарушениях обязательных требований,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Контролируемое лицо вправе после получения предостережения о недопустимости нарушения обязательных требований подать в Отдел возражение в отношении указанного предостережения в срок не позднее 30 дней со дня получения им предостережения. Возражение в отношении предостережения рассматривается Отделом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4.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55" w:hanging="0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Консультирование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Консультирование осуществляется должностными лицами Отдела по телефону, в письменной форме, на личном приеме либо в ходе проведения профилактического мероприятия, контрольного мероприятия. Время консультирования при личном обращении составляет 10 минут.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Консультирование, осуществляется по следующим вопросам: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контроля;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- разъяснение положений нормативных правовых актов, регламентирующих порядок осуществления муниципального контроля;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- компетенция уполномоченного органа;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- порядок обжалования действий (бездействия) муниципальных инспекторов.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случае если в течение календарного года поступило 5 и более однотипных (по одним и тем же вопросам) обращений контролируемых лиц и их представителей по указанным вопросам, консультирование осуществляется посредствам размещения на официальном сайте администрации Шарангского муниципального района Нижегородской области в информационно-телекоммуникационной сети «Интернет», подписанного уполномоченным должностным лицом Отдела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5.</w:t>
            </w:r>
          </w:p>
        </w:tc>
        <w:tc>
          <w:tcPr>
            <w:tcW w:w="2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55" w:hanging="0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Профилактический визит</w:t>
            </w:r>
          </w:p>
        </w:tc>
        <w:tc>
          <w:tcPr>
            <w:tcW w:w="9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О проведении обязательного профилактического визита контролируемое лицо уведомляется органом муниципального контроля не позднее, чем за 5 рабочих дней до дня его проведения в письменной форме на бумажном носителе почтовым отправлением либо в форме электронного документа, подписанного электронной подписью, в порядке, установленном частью 4 статьи 21 Федерального закона от 31.07.2020 № 248-ФЗ «</w:t>
            </w:r>
            <w:r>
              <w:rPr>
                <w:rFonts w:cs="Times New Roman"/>
                <w:sz w:val="24"/>
                <w:szCs w:val="24"/>
              </w:rPr>
              <w:t>О государственном контроле (надзоре) и муниципальном контроле в Российской Федерации».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Контролируемое лицо вправе отказаться от проведения обязательного профилактического визита, уведомив об этом муниципального инспектора, направившего уведомление о проведении обязательного профилактического визита в письменной форме на бумажном носителе почтовым отправлением либо в форме электронного документа, подписанного электронной подписью, не позднее, чем за 3 рабочих дня до дня его проведения.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Срок проведения профилактического визита определяется муниципальным инспектором самостоятельно и не может превышать 1 рабочий день.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видео-конференц-связи.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ходе профилактического визита контролируемое лицо информируется об обязательных требованиях, предъявляемых к его деятельности либо к используемым им объектам контроля.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ходе профилактического визита инспектором может осуществляться консультирование контролируемого лица в порядке, установленном пунктом 4 настоящего Плана, а также статьей 50 Федерального закона от 31.07.2020 № 248-ФЗ «</w:t>
            </w:r>
            <w:r>
              <w:rPr>
                <w:rFonts w:cs="Times New Roman"/>
                <w:sz w:val="24"/>
                <w:szCs w:val="24"/>
              </w:rPr>
              <w:t>О государственном контроле (надзоре) и муниципальном контроле в Российской Федерации».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5" w:right="180" w:hanging="0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При профилактическом визите контролируемым лицам не выдаются предписания об устранении нарушений обязательных требований. Разъяснения, полученные контролируемым лицом в ходе профилактического визита, носят рекомендательный характер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Должностные лица Отдела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cs="Times New Roman"/>
                <w:color w:val="010101"/>
                <w:sz w:val="24"/>
                <w:szCs w:val="24"/>
              </w:rPr>
              <w:t>В течение года</w:t>
            </w:r>
          </w:p>
        </w:tc>
      </w:tr>
    </w:tbl>
    <w:p>
      <w:pPr>
        <w:pStyle w:val="Normal"/>
        <w:shd w:val="clear" w:fill="FFFFFF"/>
        <w:tabs>
          <w:tab w:val="clear" w:pos="709"/>
          <w:tab w:val="left" w:pos="7485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color w:val="010101"/>
        </w:rPr>
      </w:pPr>
      <w:r>
        <w:rPr/>
      </w:r>
    </w:p>
    <w:sectPr>
      <w:headerReference w:type="default" r:id="rId5"/>
      <w:type w:val="nextPage"/>
      <w:pgSz w:orient="landscape" w:w="16838" w:h="11906"/>
      <w:pgMar w:left="540" w:right="713" w:gutter="0" w:header="1134" w:top="1648" w:footer="0" w:bottom="6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Подзаголовок Знак"/>
    <w:qFormat/>
    <w:rPr>
      <w:rFonts w:ascii="Cambria" w:hAnsi="Cambria" w:eastAsia="Times New Roman" w:cs="Mangal"/>
      <w:sz w:val="24"/>
      <w:szCs w:val="21"/>
      <w:lang w:bidi="hi-IN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 w:customStyle="1">
    <w:name w:val="Верхний и нижний колонтитулы"/>
    <w:basedOn w:val="Normal"/>
    <w:qFormat/>
    <w:rsid w:val="00fe4288"/>
    <w:pPr/>
    <w:rPr/>
  </w:style>
  <w:style w:type="paragraph" w:styleId="Style20">
    <w:name w:val="Колонтитул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Абзац списка"/>
    <w:basedOn w:val="Normal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LibreOffice/7.2.4.1$Windows_X86_64 LibreOffice_project/27d75539669ac387bb498e35313b970b7fe9c4f9</Application>
  <AppVersion>15.0000</AppVersion>
  <Pages>9</Pages>
  <Words>1579</Words>
  <Characters>12576</Characters>
  <CharactersWithSpaces>14036</CharactersWithSpaces>
  <Paragraphs>125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2021-12-14T09:19:18Z</cp:lastPrinted>
  <dcterms:modified xsi:type="dcterms:W3CDTF">2021-12-14T09:19:31Z</dcterms:modified>
  <cp:revision>104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