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41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ru-RU"/>
        </w:rPr>
        <w:t xml:space="preserve">Об утверждении перечня  </w:t>
      </w:r>
      <w:r>
        <w:rPr>
          <w:rFonts w:eastAsia="Times New Roman" w:cs="Times New Roman"/>
          <w:b/>
          <w:bCs/>
          <w:kern w:val="2"/>
          <w:sz w:val="28"/>
          <w:szCs w:val="28"/>
        </w:rPr>
        <w:t xml:space="preserve">главных распорядителей бюджетных средств и подведомственных им муниципальных казенных, бюджетных, автономных учреждений и предприятий </w:t>
      </w:r>
      <w:r>
        <w:rPr>
          <w:rFonts w:eastAsia="Times New Roman" w:cs="Times New Roman"/>
          <w:b/>
          <w:bCs/>
          <w:sz w:val="28"/>
          <w:szCs w:val="28"/>
          <w:lang w:bidi="ru-RU"/>
        </w:rPr>
        <w:t>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администрация Шарангского муниципального района </w:t>
      </w:r>
      <w:r>
        <w:rPr>
          <w:rFonts w:eastAsia="Times New Roman" w:cs="Times New Roman"/>
          <w:b/>
          <w:sz w:val="28"/>
          <w:szCs w:val="28"/>
        </w:rPr>
        <w:t>п о с т а н о в л я е т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Spacing"/>
        <w:numPr>
          <w:ilvl w:val="0"/>
          <w:numId w:val="2"/>
        </w:numPr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 xml:space="preserve">Утвердить прилагаемый </w:t>
      </w:r>
      <w:hyperlink w:anchor="P30">
        <w:r>
          <w:rPr>
            <w:rFonts w:eastAsia="Times New Roman" w:cs="Times New Roman"/>
            <w:sz w:val="28"/>
            <w:szCs w:val="28"/>
          </w:rPr>
          <w:t>перечень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 xml:space="preserve">главных распорядителей бюджетных средств и подведомственных им муниципальных казенных, бюджетных, автономных учреждений и предприятий </w:t>
      </w:r>
      <w:r>
        <w:rPr>
          <w:rFonts w:eastAsia="Times New Roman" w:cs="Times New Roman"/>
          <w:sz w:val="28"/>
          <w:szCs w:val="28"/>
        </w:rPr>
        <w:t xml:space="preserve">Шарангского муниципального района (далее – Перечень). </w:t>
      </w:r>
    </w:p>
    <w:p>
      <w:pPr>
        <w:pStyle w:val="Style13"/>
        <w:spacing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Контроль за поддержанием Перечня в актуальном состоянии возложить на финансовое управление администрации Шарангского муниципального района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(Е.С. Устюжанина)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450" w:top="507" w:footer="0" w:bottom="74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outlineLvl w:val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27.01.2021 г. № 41</w:t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Перечень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b/>
          <w:kern w:val="2"/>
          <w:sz w:val="24"/>
          <w:szCs w:val="24"/>
        </w:rPr>
        <w:t xml:space="preserve">главных распорядителей бюджетных средств и подведомственных им муниципальных казенных, бюджетных, автономных учреждений и предприятий </w:t>
      </w:r>
      <w:r>
        <w:rPr>
          <w:rFonts w:eastAsia="Times New Roman" w:cs="Times New Roman"/>
          <w:b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a6"/>
        <w:tblW w:w="964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"/>
        <w:gridCol w:w="5625"/>
        <w:gridCol w:w="3330"/>
      </w:tblGrid>
      <w:tr>
        <w:trPr>
          <w:trHeight w:val="2026" w:hRule="atLeast"/>
        </w:trPr>
        <w:tc>
          <w:tcPr>
            <w:tcW w:w="6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56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 xml:space="preserve">Полное наименование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главных распорядителей бюджетных средств и подведомственных им муниципальных казенных, бюджетных, автономных учреждений и предприятий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Шарангского муниципального района</w:t>
            </w:r>
          </w:p>
        </w:tc>
        <w:tc>
          <w:tcPr>
            <w:tcW w:w="33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 xml:space="preserve">Сокращенное наименование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главных распорядителей бюджетных средств и подведомственных им муниципальных казенных, бюджетных, автономных учреждений и предприятий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Шарангского муниципального района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Земское собрание Шарангского района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</w:t>
            </w:r>
          </w:p>
        </w:tc>
        <w:tc>
          <w:tcPr>
            <w:tcW w:w="5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Администрация Шарангского района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2.1.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автономное учреждение "Физкультурно-оздоровительный комплекс в р.п. Шаранга Нижегородской области"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МАУ "ФОК в р.п. Шаранга Нижегородской области"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2.2.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унитарное предприятие "Редакция газеты "Знамя победы"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kern w:val="0"/>
                <w:sz w:val="24"/>
                <w:szCs w:val="24"/>
                <w:lang w:val="ru-RU" w:eastAsia="ru-RU" w:bidi="ru-RU"/>
              </w:rPr>
              <w:t xml:space="preserve">МУП "Редакция газеты "Знамя </w:t>
            </w: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победы"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унитарное предприятие "Жилищно - коммунальное хозяйство"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МУП ЖКХ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унитарное предприятие Шарангского района "Шарангское пассажирское автотранспортное предприятие"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МУП "Шарангское ПАП"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2.5.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унитарное предприятие Шарангского муниципального района "Коммунсервис"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 xml:space="preserve">МУП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ru-RU"/>
              </w:rPr>
              <w:t>"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Коммунсервис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ru-RU"/>
              </w:rPr>
              <w:t>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Финансовое управление администрации Шарангского муниципального 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Финуправление Шарангского района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Управление образования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казенное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"Сервис плюс"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МКУ "Сервис плюс"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дополнительного образования Шарангский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Дом детского творчества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 ДО ДДТ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дополнительного образования Шарангский детско-юношеский центр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 ДО Шарангский ДЮЦ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Шарангская средняя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Шарангская СШ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Роженцовская средняя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Роженцовская СШ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4.6.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Большерудкинская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Большерудкинская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4.7.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Большеустинская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Большеустинская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4.8.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Кушнурская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Кушнурская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4.9.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Поздеевская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Поздеевская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4.10.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Старорудкинская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Старорудкинская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4.11.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Черномужская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Черномужская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4.12.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общеобразовательное учреждение Щенниковская основная школа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МБОУ Щенниковская ОШ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"Березка"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 "Березка"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"Полянка"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д/с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 xml:space="preserve"> "Полянка"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"Ручеек"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"Ручеек"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4.16.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"Светлячок"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"Светлячок"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4.17.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"Теремок"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"Теремок"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4.18.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"Колобок"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"Колобок"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4.19.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"Колосок" (с. Большая Рудка)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"Колосок"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4.20.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"Колосок" (с. Роженцово)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д/с "Колосок"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4.21.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"Малыш"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"Малыш"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4.22.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"Радуга"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"Радуга"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"Рябинка"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"Рябинка"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"Родничок"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детский сад "Родничок"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4.25.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дошкольное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детский сад "Солнышко"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МБДОУ д/с "Солнышко"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ru-RU"/>
              </w:rPr>
              <w:t>Не имеется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Отдел культуры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Шарангского муниципального района Нижегородской области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Отдел культуры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6.1.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культуры "Шарангский районный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Дом культуры"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МБУК "ШРДК"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6.2.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культуры "Шарангская централизованная клубная система"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МБУК "ШЦКС"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6.3.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культуры "Межпоселенческая централизованная библиотечная система" Шарангского муниципального района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МБУК "МЦБС"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6.4.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культуры "Шарангский народный краеведческий музей"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МБУК "ШНКМ"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6.5.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Муниципальное бюджетное учреждение дополнительного образования Шарангская детская школа искусств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МБУ ДО Шарангская ДШИ</w:t>
            </w:r>
          </w:p>
        </w:tc>
      </w:tr>
      <w:tr>
        <w:trPr/>
        <w:tc>
          <w:tcPr>
            <w:tcW w:w="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6.6.</w:t>
            </w:r>
          </w:p>
        </w:tc>
        <w:tc>
          <w:tcPr>
            <w:tcW w:w="56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Courier New" w:cs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Шарангское муниципальное предприятие "Шарангское телевидение "Истоки"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ru-RU"/>
              </w:rPr>
              <w:t>МП "Истоки"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LibreOffice/7.0.4.2$Windows_X86_64 LibreOffice_project/dcf040e67528d9187c66b2379df5ea4407429775</Application>
  <AppVersion>15.0000</AppVersion>
  <DocSecurity>0</DocSecurity>
  <Pages>4</Pages>
  <Words>681</Words>
  <Characters>5661</Characters>
  <CharactersWithSpaces>6191</CharactersWithSpaces>
  <Paragraphs>165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2021-01-27T11:10:41Z</cp:lastPrinted>
  <dcterms:modified xsi:type="dcterms:W3CDTF">2021-01-27T11:10:54Z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