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40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bidi="ru-RU"/>
        </w:rPr>
        <w:t xml:space="preserve">О внесении изменений в постановление администрации Шарангского муниципального района от 21.08.2017 года № 417 «Об утверждении Муниципальной программы «Экология Шарангского муниципального района </w:t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bidi="ru-RU"/>
        </w:rPr>
        <w:t>на 2018 – 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>В целях приведения в соответствии с решениями Земского собрания от 20.12.2019 года № 49 «</w:t>
      </w:r>
      <w:r>
        <w:rPr>
          <w:bCs/>
          <w:sz w:val="28"/>
          <w:szCs w:val="28"/>
        </w:rPr>
        <w:t>О внесении изменений в решение Земского собрания Шарангского муниципального района от 26.12.2018г №31</w:t>
      </w:r>
      <w:r>
        <w:rPr>
          <w:sz w:val="28"/>
          <w:szCs w:val="28"/>
        </w:rPr>
        <w:t>«О районном бюджете на 2019 год и на плановый период 2020 и 2021 годов»</w:t>
      </w:r>
      <w:r>
        <w:rPr>
          <w:rFonts w:eastAsia="Calibri"/>
          <w:sz w:val="28"/>
          <w:szCs w:val="28"/>
        </w:rPr>
        <w:t>», от 24.12.2020г № 41</w:t>
      </w:r>
      <w:r>
        <w:rPr>
          <w:bCs/>
          <w:sz w:val="28"/>
          <w:szCs w:val="28"/>
        </w:rPr>
        <w:t xml:space="preserve"> О внесении изменений в решение Земского собрания Шарангского муниципального района от 20.12.2019г №50 </w:t>
      </w:r>
      <w:r>
        <w:rPr>
          <w:sz w:val="28"/>
          <w:szCs w:val="28"/>
        </w:rPr>
        <w:t>«О районном бюджете на 2020 год и на плановый период 2021 и 2022 годов»</w:t>
      </w:r>
      <w:r>
        <w:rPr>
          <w:rFonts w:eastAsia="Calibri"/>
          <w:sz w:val="28"/>
          <w:szCs w:val="28"/>
        </w:rPr>
        <w:t xml:space="preserve"> администрация Шарангского муниципального района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417 «Об утверждении Муниципальной программы «Экология Шарангского муниципального района на 2018-2020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sectPr>
          <w:headerReference w:type="default" r:id="rId3"/>
          <w:type w:val="nextPage"/>
          <w:pgSz w:w="11906" w:h="16838"/>
          <w:pgMar w:left="1418" w:right="850" w:header="450" w:top="507" w:footer="0" w:bottom="74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 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«1.9. Объемы и источники финансирования программы.</w:t>
      </w:r>
    </w:p>
    <w:tbl>
      <w:tblPr>
        <w:tblW w:w="9679" w:type="dxa"/>
        <w:jc w:val="left"/>
        <w:tblInd w:w="-9" w:type="dxa"/>
        <w:tblLayout w:type="fixed"/>
        <w:tblCellMar>
          <w:top w:w="0" w:type="dxa"/>
          <w:left w:w="32" w:type="dxa"/>
          <w:bottom w:w="0" w:type="dxa"/>
          <w:right w:w="40" w:type="dxa"/>
        </w:tblCellMar>
      </w:tblPr>
      <w:tblGrid>
        <w:gridCol w:w="2145"/>
        <w:gridCol w:w="2160"/>
        <w:gridCol w:w="1305"/>
        <w:gridCol w:w="1185"/>
        <w:gridCol w:w="1125"/>
        <w:gridCol w:w="1759"/>
      </w:tblGrid>
      <w:tr>
        <w:trPr>
          <w:trHeight w:val="428" w:hRule="exact"/>
        </w:trPr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 Объемы и источники финансирования Программы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>
        <w:trPr>
          <w:trHeight w:val="878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Всего за период </w:t>
            </w:r>
            <w:r>
              <w:rPr>
                <w:sz w:val="24"/>
                <w:szCs w:val="24"/>
              </w:rPr>
              <w:t>реализации Программы</w:t>
            </w:r>
          </w:p>
        </w:tc>
      </w:tr>
      <w:tr>
        <w:trPr>
          <w:trHeight w:val="630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</w:t>
            </w:r>
            <w:r>
              <w:rPr>
                <w:spacing w:val="-2"/>
                <w:sz w:val="24"/>
                <w:szCs w:val="24"/>
              </w:rPr>
              <w:t>числе (тыс. руб.)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3246,4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4691,2</w:t>
            </w:r>
          </w:p>
        </w:tc>
      </w:tr>
      <w:tr>
        <w:trPr>
          <w:trHeight w:val="584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</w:t>
            </w:r>
          </w:p>
        </w:tc>
      </w:tr>
      <w:tr>
        <w:trPr>
          <w:trHeight w:val="564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99" w:hRule="exact"/>
        </w:trPr>
        <w:tc>
          <w:tcPr>
            <w:tcW w:w="214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1545,5</w:t>
            </w:r>
          </w:p>
        </w:tc>
      </w:tr>
    </w:tbl>
    <w:p>
      <w:pPr>
        <w:pStyle w:val="Normal"/>
        <w:spacing w:lineRule="auto" w:line="360"/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В разделе 2 «Текст программы»: 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-пункт 2.5.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«2.5. Система программных мероприятий</w:t>
      </w:r>
    </w:p>
    <w:tbl>
      <w:tblPr>
        <w:tblW w:w="9615" w:type="dxa"/>
        <w:jc w:val="left"/>
        <w:tblInd w:w="1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0"/>
        <w:gridCol w:w="1800"/>
        <w:gridCol w:w="60"/>
        <w:gridCol w:w="1065"/>
        <w:gridCol w:w="150"/>
        <w:gridCol w:w="135"/>
        <w:gridCol w:w="1230"/>
        <w:gridCol w:w="1470"/>
        <w:gridCol w:w="705"/>
        <w:gridCol w:w="1275"/>
        <w:gridCol w:w="1125"/>
      </w:tblGrid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93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6223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Исполнители мероприятий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Объемы финансирования (по годам в разрезе источников), тыс.руб.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2020г.</w:t>
            </w:r>
          </w:p>
        </w:tc>
      </w:tr>
      <w:tr>
        <w:trPr>
          <w:trHeight w:val="329" w:hRule="atLeast"/>
        </w:trPr>
        <w:tc>
          <w:tcPr>
            <w:tcW w:w="5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8"/>
              </w:rPr>
            </w:pPr>
            <w:r>
              <w:rPr>
                <w:spacing w:val="-8"/>
              </w:rPr>
              <w:t>Цель Программы:</w:t>
            </w:r>
          </w:p>
          <w:p>
            <w:pPr>
              <w:pStyle w:val="Normal"/>
              <w:rPr/>
            </w:pPr>
            <w:r>
              <w:rPr/>
              <w:t xml:space="preserve">Совершенствование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среды в интересах настоящего и будущих поколений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4691,2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3246,4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618,7</w:t>
            </w:r>
          </w:p>
        </w:tc>
      </w:tr>
      <w:tr>
        <w:trPr>
          <w:trHeight w:val="558" w:hRule="atLeast"/>
        </w:trPr>
        <w:tc>
          <w:tcPr>
            <w:tcW w:w="50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</w:rPr>
            </w:pPr>
            <w:r>
              <w:rPr>
                <w:b/>
                <w:spacing w:val="-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2655,6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490,1</w:t>
            </w:r>
          </w:p>
        </w:tc>
      </w:tr>
      <w:tr>
        <w:trPr>
          <w:trHeight w:val="552" w:hRule="atLeast"/>
        </w:trPr>
        <w:tc>
          <w:tcPr>
            <w:tcW w:w="50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</w:rPr>
            </w:pPr>
            <w:r>
              <w:rPr>
                <w:b/>
                <w:spacing w:val="-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45" w:hRule="atLeast"/>
        </w:trPr>
        <w:tc>
          <w:tcPr>
            <w:tcW w:w="50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pacing w:val="-8"/>
              </w:rPr>
            </w:pPr>
            <w:r>
              <w:rPr>
                <w:spacing w:val="-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424,8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118,1</w:t>
            </w:r>
          </w:p>
        </w:tc>
      </w:tr>
      <w:tr>
        <w:trPr>
          <w:trHeight w:val="552" w:hRule="atLeast"/>
        </w:trPr>
        <w:tc>
          <w:tcPr>
            <w:tcW w:w="504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</w:rPr>
            </w:pPr>
            <w:r>
              <w:rPr>
                <w:b/>
                <w:spacing w:val="-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10,5</w:t>
            </w:r>
          </w:p>
        </w:tc>
      </w:tr>
      <w:tr>
        <w:trPr>
          <w:trHeight w:val="300" w:hRule="atLeast"/>
        </w:trPr>
        <w:tc>
          <w:tcPr>
            <w:tcW w:w="9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</w:rPr>
              <w:t>Задача 1</w:t>
            </w:r>
          </w:p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Рассмотрение актуальных вопросов экологической безопасности, возникающей в ходе хозяйствующей деятельности организаций Шарангского муниципального района </w:t>
            </w:r>
          </w:p>
        </w:tc>
      </w:tr>
      <w:tr>
        <w:trPr>
          <w:trHeight w:val="562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Проведение заседаний комиссии по экологической безопасности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 – 2020 г.г. ежеквартально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0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Участие в конкурсе ЭКО-посёлок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2018 – 2020г.г. 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9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Охрана водного бассейна и земель от загрязнения сточными водами</w:t>
            </w:r>
          </w:p>
        </w:tc>
      </w:tr>
      <w:tr>
        <w:trPr>
          <w:trHeight w:val="412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rPr/>
            </w:pPr>
            <w:r>
              <w:rPr/>
              <w:t>Очистка водоемов и прибрежных зон от бытового мусора в черте населенных пунктов и местах массового посещения людей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2018г – 2020г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jc w:val="center"/>
              <w:rPr/>
            </w:pPr>
            <w:r>
              <w:rPr/>
              <w:t>Администрация района, администрации поселений (по согласованию)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621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9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3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0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9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Охрана окружающей среды от загрязнения отходами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3.1.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Проведение обследования территории Шарангского муниципального района в целях выявления мест несанкционированного размещения твердых коммунальных отходов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Ежегодно с апреля по октябрь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Комиссия по предупреждению и ликвидации несанкционированных свалок ТКО на территории Шарангского муниципального района (далее –Комиссия), администрации поселений района (по согласованию)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3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3.2.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Ликвидация свалок и объектов размещения отходов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постоянно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Администрация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850,9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506,9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345,3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7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саженцев для озеленения территорий р.п. Шаранга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 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3.4.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населением района в целях предупреждения и недопущения образования свалок ТКО: размещение в районной газете «Знамя победы» публикаций, видеороликов на телевидении «Истоки», проведение агитационных бесед с населением, организация сходов граждан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spacing w:val="-1"/>
              </w:rPr>
              <w:t>Комиссия, администрации поселений района (по согласованию), МУП «Редакция газеты «Знамя победы», МП Шарангское телевидение «Истоки»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7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3.5.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Работа с учащимися образовательных учреждений района с целью формирования экологической культуры школьников: проведение тематических классных часов, бесед, районных акций «Чистый берег», «Чистая обочина» с участием учащихся школ; участие школьников, их родителей и учителей в международной экологической акции «Сделай мир чище», «Чистый родник»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Постоян</w:t>
            </w:r>
          </w:p>
          <w:p>
            <w:pPr>
              <w:pStyle w:val="Normal"/>
              <w:jc w:val="center"/>
              <w:rPr/>
            </w:pPr>
            <w:r>
              <w:rPr/>
              <w:t>но 2018-2020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Проведение акций: ежегодно апрель-май-октябрь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6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6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66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69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3.6.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контейнеров и (или) бункеров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2019-2020 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813,6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133,1</w:t>
            </w:r>
          </w:p>
        </w:tc>
      </w:tr>
      <w:tr>
        <w:trPr>
          <w:trHeight w:val="36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646,5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126,4</w:t>
            </w:r>
          </w:p>
        </w:tc>
      </w:tr>
      <w:tr>
        <w:trPr>
          <w:trHeight w:val="40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6,7</w:t>
            </w:r>
          </w:p>
        </w:tc>
      </w:tr>
      <w:tr>
        <w:trPr>
          <w:trHeight w:val="43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522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3.7.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Создание (обустройство) контейнерных площадок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2019-2020 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2134,3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1751,4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382,9</w:t>
            </w:r>
          </w:p>
        </w:tc>
      </w:tr>
      <w:tr>
        <w:trPr>
          <w:trHeight w:val="61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1663,8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363,7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8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19,2</w:t>
            </w:r>
          </w:p>
        </w:tc>
      </w:tr>
      <w:tr>
        <w:trPr>
          <w:trHeight w:val="108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3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3.8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расчету платы за негативное воздействие на окружающую среду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126,1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3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4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3.9.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вывозу ТКО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Администрация района, администрации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19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3.10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утилизация промышленных .отходов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Администрация района, администрации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3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3.11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составлению и утверждению отчета 2-ТП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438,6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239,9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102,7</w:t>
            </w:r>
          </w:p>
        </w:tc>
      </w:tr>
      <w:tr>
        <w:trPr>
          <w:trHeight w:val="42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92,2</w:t>
            </w:r>
          </w:p>
        </w:tc>
      </w:tr>
      <w:tr>
        <w:trPr>
          <w:trHeight w:val="49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</w:tr>
      <w:tr>
        <w:trPr>
          <w:trHeight w:val="465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3.12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Проведение мероприятий по очистке территории района в рамках месячника по благоустройству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Заместитель главы администрации района; администрации поселений района (по согласованию); организации, предприятия, учреждения, (по согласованию)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260,0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54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13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9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3.13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Организация и проведение субботников по благоустройству на подведомственных территориях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 еженедельно с апреля по октябрь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Администрации поселений района (по согласованию), руководители предприятий, организаций, учреждений (по согласованию)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3.14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Разработка паспортов отходов 1-4 классов опасности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2019-2020 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Администрации поселений района ( по согласованию)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67,7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67,7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40" w:hRule="atLeast"/>
        </w:trPr>
        <w:tc>
          <w:tcPr>
            <w:tcW w:w="9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№4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Экологическое образование и просвещение</w:t>
            </w:r>
          </w:p>
        </w:tc>
      </w:tr>
      <w:tr>
        <w:trPr>
          <w:trHeight w:val="46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4.1.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Проведение семинаров и конференций в образовательных учреждениях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6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методической литературы по экологическому образованию в ДОУ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2018-2020гг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9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№5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Информационное обеспечение состояния окружающей среды</w:t>
            </w:r>
          </w:p>
        </w:tc>
      </w:tr>
      <w:tr>
        <w:trPr>
          <w:trHeight w:val="399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5.1.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 xml:space="preserve">Размещение в районной газете «Знамя победы» публикаций, видеороликов на телевидении «Истоки», информацию о состоянии окружающей среды 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2018-2020 г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Администрации поселений района (по согласованию), МУП «Редакция газеты «Знамя победы», МП Шарангское телевидение «Истоки»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1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24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4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1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5.2.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rPr/>
            </w:pPr>
            <w:r>
              <w:rPr/>
              <w:t>Изготовление и установка информационных указателей в местах массового отдыха людей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pacing w:val="-3"/>
              </w:rPr>
            </w:pPr>
            <w:r>
              <w:rPr>
                <w:spacing w:val="-3"/>
              </w:rPr>
              <w:t>2018-2020гг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Администрация района , администрации поселений района (по согласованию)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Бюджеты поселений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right"/>
        <w:outlineLvl w:val="2"/>
        <w:rPr>
          <w:rFonts w:eastAsia="Calibri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>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0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LibreOffice/7.0.4.2$Windows_X86_64 LibreOffice_project/dcf040e67528d9187c66b2379df5ea4407429775</Application>
  <AppVersion>15.0000</AppVersion>
  <DocSecurity>0</DocSecurity>
  <Pages>7</Pages>
  <Words>1332</Words>
  <Characters>7841</Characters>
  <CharactersWithSpaces>8636</CharactersWithSpaces>
  <Paragraphs>585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2021-01-27T11:15:19Z</cp:lastPrinted>
  <dcterms:modified xsi:type="dcterms:W3CDTF">2021-01-27T11:15:32Z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