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18</w:t>
      </w:r>
      <w:r>
        <w:rPr>
          <w:sz w:val="28"/>
          <w:szCs w:val="28"/>
        </w:rPr>
        <w:t>.03.2021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138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Об утверждении ведомственного плана мероприятий («дорожной карты») по содействию развитию конкуренции в Шарангском муниципальном районе Нижегородской области на 2020-2021 годы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Title"/>
        <w:suppressAutoHyphens w:val="true"/>
        <w:spacing w:lineRule="auto" w:line="360"/>
        <w:ind w:firstLine="709"/>
        <w:jc w:val="both"/>
        <w:rPr/>
      </w:pPr>
      <w:r>
        <w:rPr>
          <w:rFonts w:cs="Times New Roman" w:ascii="Times New Roman" w:hAnsi="Times New Roman"/>
          <w:b w:val="false"/>
          <w:sz w:val="28"/>
          <w:szCs w:val="28"/>
        </w:rPr>
        <w:t xml:space="preserve">В соответствии с распоряжением Губернатора Нижегородской области от 18.12.2020 № 1759-р «О внесении изменений в распоряжение Губернатора Нижегородской области от 28 марта 2019 г. №430-р» и Соглашением о внедрении стандарта конкуренции на территории Нижегородской области между министерством экономики Нижегородской области и администрацией Шарангского муниципального района Нижегородской области от 18.02.2016 г. № 134, администрация Шарангского муниципального района Нижегородской области </w:t>
      </w:r>
      <w:r>
        <w:rPr>
          <w:rFonts w:cs="Times New Roman" w:ascii="Times New Roman" w:hAnsi="Times New Roman"/>
          <w:sz w:val="28"/>
          <w:szCs w:val="28"/>
        </w:rPr>
        <w:t>п о с т а н о в л я е т:</w:t>
      </w:r>
    </w:p>
    <w:p>
      <w:pPr>
        <w:pStyle w:val="Normal"/>
        <w:widowControl w:val="false"/>
        <w:spacing w:lineRule="auto" w:line="360"/>
        <w:ind w:firstLine="709"/>
        <w:jc w:val="both"/>
        <w:rPr/>
      </w:pPr>
      <w:r>
        <w:rPr>
          <w:sz w:val="28"/>
          <w:szCs w:val="28"/>
        </w:rPr>
        <w:t>1. Утвердить прилагаемый Ведомственный план мероприятий («дорожная карта») по содействию развитию конкуренции в Шарангском муниципальном районе Нижегородской области на 2020-2021 годы (далее - План).</w:t>
      </w:r>
    </w:p>
    <w:p>
      <w:pPr>
        <w:pStyle w:val="Style23"/>
        <w:suppressAutoHyphens w:val="true"/>
        <w:spacing w:lineRule="auto" w:line="360"/>
        <w:ind w:firstLine="709"/>
        <w:jc w:val="both"/>
        <w:rPr/>
      </w:pPr>
      <w:r>
        <w:rPr>
          <w:sz w:val="28"/>
          <w:szCs w:val="28"/>
        </w:rPr>
        <w:t>2. Структурным подразделениям администрации Шарангского муниципального района, ответственным за мероприятия Плана, обеспечить их реализацию.</w:t>
      </w:r>
    </w:p>
    <w:p>
      <w:pPr>
        <w:pStyle w:val="Style23"/>
        <w:suppressAutoHyphens w:val="true"/>
        <w:spacing w:lineRule="auto" w:line="360"/>
        <w:ind w:firstLine="709"/>
        <w:jc w:val="both"/>
        <w:rPr/>
      </w:pPr>
      <w:r>
        <w:rPr>
          <w:sz w:val="28"/>
          <w:szCs w:val="28"/>
        </w:rPr>
        <w:t>3. Разместить данное постановление на официальном сайте администрации Шарангского муниципального района.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4. Постановления администрации Шарангского муниципального района от 11.03.2019 №115 «Об утверждении ведомственного плана мероприятий («дорожной карты») по содействию развитию конкуренции в Шарангском муниципальном районе Нижегородской области на 2019-2021 годы» признать утратившими силу.</w:t>
      </w:r>
    </w:p>
    <w:p>
      <w:pPr>
        <w:pStyle w:val="Style13"/>
        <w:ind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3. 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администрации Шарангского муниципального района Нижегородской области Т.В.Новосёлову.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itlePg/>
          <w:textDirection w:val="lrTb"/>
          <w:docGrid w:type="default" w:linePitch="360" w:charSpace="32768"/>
        </w:sectPr>
        <w:pStyle w:val="Normal"/>
        <w:tabs>
          <w:tab w:val="clear" w:pos="709"/>
          <w:tab w:val="left" w:pos="7485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>Д.О. Ожиганов</w:t>
      </w:r>
    </w:p>
    <w:p>
      <w:pPr>
        <w:pStyle w:val="Normal"/>
        <w:ind w:left="10488" w:hanging="0"/>
        <w:jc w:val="center"/>
        <w:rPr>
          <w:sz w:val="24"/>
          <w:szCs w:val="24"/>
        </w:rPr>
      </w:pPr>
      <w:r>
        <w:rPr>
          <w:sz w:val="24"/>
          <w:szCs w:val="24"/>
        </w:rPr>
        <w:t>Утвержден</w:t>
      </w:r>
    </w:p>
    <w:p>
      <w:pPr>
        <w:pStyle w:val="Normal"/>
        <w:ind w:left="10488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постановлением администрации </w:t>
      </w:r>
    </w:p>
    <w:p>
      <w:pPr>
        <w:pStyle w:val="Normal"/>
        <w:ind w:left="10488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ind w:left="10488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от </w:t>
      </w:r>
      <w:r>
        <w:rPr>
          <w:rFonts w:eastAsia="Times New Roman" w:cs="Times New Roman"/>
          <w:color w:val="00000A"/>
          <w:kern w:val="0"/>
          <w:sz w:val="24"/>
          <w:szCs w:val="24"/>
          <w:lang w:bidi="ar-SA"/>
        </w:rPr>
        <w:t>18.03.2021 г. № 138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b/>
          <w:sz w:val="24"/>
          <w:szCs w:val="24"/>
        </w:rPr>
        <w:t>Ведомственный план мероприятий («дорожная карта»)</w:t>
      </w:r>
    </w:p>
    <w:p>
      <w:pPr>
        <w:pStyle w:val="Normal"/>
        <w:jc w:val="center"/>
        <w:rPr>
          <w:sz w:val="24"/>
          <w:szCs w:val="24"/>
        </w:rPr>
      </w:pPr>
      <w:r>
        <w:rPr>
          <w:b/>
          <w:sz w:val="24"/>
          <w:szCs w:val="24"/>
        </w:rPr>
        <w:t>по содействию развитию конкуренции в Шарангском муниципальном районе Нижегородской области на 2020-2021 годы</w:t>
      </w:r>
    </w:p>
    <w:p>
      <w:pPr>
        <w:pStyle w:val="Normal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tbl>
      <w:tblPr>
        <w:tblW w:w="15612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a0"/>
      </w:tblPr>
      <w:tblGrid>
        <w:gridCol w:w="795"/>
        <w:gridCol w:w="2490"/>
        <w:gridCol w:w="1500"/>
        <w:gridCol w:w="2520"/>
        <w:gridCol w:w="1335"/>
        <w:gridCol w:w="1320"/>
        <w:gridCol w:w="1335"/>
        <w:gridCol w:w="2490"/>
        <w:gridCol w:w="1827"/>
      </w:tblGrid>
      <w:tr>
        <w:trPr>
          <w:trHeight w:val="390" w:hRule="atLeast"/>
        </w:trPr>
        <w:tc>
          <w:tcPr>
            <w:tcW w:w="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№ </w:t>
            </w: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  исполнения</w:t>
            </w:r>
          </w:p>
        </w:tc>
        <w:tc>
          <w:tcPr>
            <w:tcW w:w="25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показателя</w:t>
            </w:r>
          </w:p>
        </w:tc>
        <w:tc>
          <w:tcPr>
            <w:tcW w:w="3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Целевые значения показателя</w:t>
            </w:r>
          </w:p>
        </w:tc>
        <w:tc>
          <w:tcPr>
            <w:tcW w:w="2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Результат исполнения мероприятия</w:t>
            </w:r>
          </w:p>
        </w:tc>
        <w:tc>
          <w:tcPr>
            <w:tcW w:w="1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 исполнители</w:t>
            </w:r>
          </w:p>
        </w:tc>
      </w:tr>
      <w:tr>
        <w:trPr>
          <w:trHeight w:val="465" w:hRule="atLeast"/>
        </w:trPr>
        <w:tc>
          <w:tcPr>
            <w:tcW w:w="7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0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2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января 2020 года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января 2021 года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января 2022 года</w:t>
            </w:r>
          </w:p>
        </w:tc>
        <w:tc>
          <w:tcPr>
            <w:tcW w:w="24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82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Системные мероприятия по содействию развитию конкуренции в Шарангском  муниципальном  районе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widowControl w:val="false"/>
              <w:numPr>
                <w:ilvl w:val="1"/>
                <w:numId w:val="2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1.1</w:t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Развитие конкурентоспособности товаров, работ и услуг субъектов малого и среднего предпринимательства</w:t>
            </w:r>
          </w:p>
        </w:tc>
      </w:tr>
      <w:tr>
        <w:trPr>
          <w:trHeight w:val="1182" w:hRule="atLeast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Обеспечение предоставления на безвозмездной основе консультационных услуг для субъектов предпринимательской деятельности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Доля субъектов малого и среднего предпринимательства, получивших комплекс услуг (в том числе финансовых услуг, консультационной и образовательной поддержки), от общего количества субъектов малого и среднего предпринимательства в Шарангском муниципальном районе, %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8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9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Обеспечение субъектов предпринимательской деятельности информационной, консультационной, юридической поддержкой по вопросам ведения деятельности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экономики и имущественных отношений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1.2.</w:t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Устранение избыточного государственного и муниципального регулирования, снижение административных барьеров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1.2.1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Анализ практики реализации государственных функций и услуг, относящихся к полномочиям субъекта Российской Федерации, а также муниципальных функций и услуг на предмет соответствия такой практики статьям 15 и 16 Федерального закона от 26 июля 2016 г. № 135-ФЗ «О защите конкуренции»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Число нарушений органами исполнительной власти Нижегородской области и ОМСУ Федерального закона от 26 июля 2016 г. № 135-ФЗ «О защите конкуренции» (статьи 15 и 16), ед.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0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Снижение количества нарушений органами исполнительной власти Нижегородской области и ОМСУ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Отдел экономики и имущественных отношений 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1.3.</w:t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Совершенствование процессов управления в рамках полномочий органов местного самоуправления, закрепленных за ними законодательством Российской Федерации, объектами муниципальной собственности, ограничение влияния государственных и муниципальных предприятий на конкуренцию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1.3.1.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Сокращение количества муниципальных предприятий на конкурентных рынках Шарангского  муниципального района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Количество ликвидированных и реорганизованных муниципальных унитарных предприятий, ед. (нарастающим итогом)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0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Снижение влияния муниципальных предприятий на конкуренцию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1.3.2.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Проведение хозяйствующими субъектами, доля участия муниципальных образований в которых составляет 50 и более процентов, публичных торгов или иных конкурентных процедур при реализации имущества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Реализация имущества хозяйствующими субъектами, доля участия муниципальных образований в которых составляет 50 и более процентов, на основе публичных торгов или иных конкурентных процедур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Постоянно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Постоянно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Постоянно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Повышение эффективности управления объектами муниципальной собственности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1.3.3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Проведение комплекса мероприятий по повышению эффективности деятельности муниципальных предприятий Шарангского муниципального района (повышение качества работы действующих предприятий, сокращение расходов, оптимизация численности персонала)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Доля безубыточных предприятий, находящихся в муниципальной собственности администрации Шарангского муниципального района, от общего количества предприятий, ведущих хозяйственную деятельность, находящихся в муниципальной собственности, %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80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80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90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Повышение эффективности деятельности муниципальных предприятий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keepNext w:val="true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1.4.</w:t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Обеспечение и сохранение целевого использования муниципальных объектов недвижимого имущества в социальной сфере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1.4.1.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Анализ целевого использования муниципальных объектов недвижимого имущества, выявление неиспользуемых по назначению объектов социальной сферы, их передача немуниципальным организациям (с обязательством сохранения целевого назначения и использования объекта недвижимого имущества в одной или нескольких из следующих сфер: дошкольное образование, детский отдых и оздоровление, спорт, здравоохранение, социальное обслуживание, культура)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Доля муниципальных объектов недвижимого имущества, используемых по назначению, %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100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Создание условий для привлечения негосударственных организаций в сферу оказания социальных услуг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1.5.</w:t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PlusNormal"/>
              <w:widowControl w:val="false"/>
              <w:ind w:hanging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Содействие развитию негосударственных (немуниципальных) социально ориентированных некоммерческих организаций и "социального предпринимательства", включая наличие в региональных программах поддержки социально ориентированных некоммерческих организаций и (или) субъектов малого и среднего предпринимательства, в том числе индивидуальных предпринимателей, мероприятий, направленных на поддержку негосударственного (немуниципального) сектора и развитие "социального предпринимательства" в таких сферах, как дошкольное, общее  образование, детский отдых и оздоровление детей, дополнительное образование детей, производство на территории Российской Федерации технических средств реабилитации для лиц с ограниченными возможностями, включая мероприятия по развитию инфраструктуры поддержки социально ориентированных некоммерческих организаций и "социального предпринимательства"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1.5.1.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3"/>
              <w:widowControl w:val="false"/>
              <w:rPr/>
            </w:pPr>
            <w:r>
              <w:rPr/>
              <w:t xml:space="preserve">Разработка и проведение серии методических семинаров для сотрудников ОМСУ и руководителей (представителей) СО НКО в селах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3"/>
              <w:widowControl w:val="false"/>
              <w:rPr/>
            </w:pPr>
            <w:r>
              <w:rPr/>
              <w:t xml:space="preserve">2019-2021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3"/>
              <w:widowControl w:val="false"/>
              <w:rPr/>
            </w:pPr>
            <w:r>
              <w:rPr/>
              <w:t>Количество проведенных семинаров, ед.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PlusNormal"/>
              <w:widowControl w:val="false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PlusNormal"/>
              <w:widowControl w:val="false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PlusNormal"/>
              <w:widowControl w:val="false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3"/>
              <w:widowControl w:val="false"/>
              <w:rPr/>
            </w:pPr>
            <w:r>
              <w:rPr/>
              <w:t>Проведение семинаров позволит:</w:t>
            </w:r>
          </w:p>
          <w:p>
            <w:pPr>
              <w:pStyle w:val="Style23"/>
              <w:widowControl w:val="false"/>
              <w:rPr/>
            </w:pPr>
            <w:r>
              <w:rPr/>
              <w:t>1. Разъяснить порядок разработки и реализации программ поддержки СО НКО (для сотрудников ОМСУ).</w:t>
            </w:r>
          </w:p>
          <w:p>
            <w:pPr>
              <w:pStyle w:val="Style23"/>
              <w:widowControl w:val="false"/>
              <w:rPr/>
            </w:pPr>
            <w:r>
              <w:rPr/>
              <w:t>2. Повысить правовую грамотность руководителей и сотрудников СО НКО.</w:t>
            </w:r>
          </w:p>
          <w:p>
            <w:pPr>
              <w:pStyle w:val="Style23"/>
              <w:widowControl w:val="false"/>
              <w:rPr/>
            </w:pPr>
            <w:r>
              <w:rPr/>
              <w:t xml:space="preserve">3. Повысить </w:t>
            </w:r>
          </w:p>
          <w:p>
            <w:pPr>
              <w:pStyle w:val="Style23"/>
              <w:widowControl w:val="false"/>
              <w:rPr/>
            </w:pPr>
            <w:r>
              <w:rPr/>
              <w:t>результативность участия СО НКО в различных конкурсах по предоставлению поддержки на реализацию социально значимых проектов (программ) либо мероприятий.</w:t>
            </w:r>
          </w:p>
          <w:p>
            <w:pPr>
              <w:pStyle w:val="Style23"/>
              <w:widowControl w:val="false"/>
              <w:rPr/>
            </w:pPr>
            <w:r>
              <w:rPr/>
              <w:t>4. Оказать консультационную поддержку СО НКО по подготовке заявок (иной документации) для получения государственной поддержки.</w:t>
            </w:r>
          </w:p>
          <w:p>
            <w:pPr>
              <w:pStyle w:val="Style23"/>
              <w:widowControl w:val="false"/>
              <w:rPr/>
            </w:pPr>
            <w:r>
              <w:rPr/>
              <w:t>5. Увеличить долю грантополучателей среди СО НКО, работающих в селах.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1.6.</w:t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PlusNormal"/>
              <w:widowControl w:val="false"/>
              <w:ind w:hanging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Развитие механизмов поддержки технического и научно-технического творчества детей и молодежи, обучения их правовой, технологической грамотности и основам цифровой экономики, в том числе в рамках стационарных загородных лагерей с соответствующим специализированным уклоном, а также на повышение их информированности о потенциальных возможностях саморазвития, обеспечения поддержки научной, творческой и предпринимательской активности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1.6.1.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3"/>
              <w:widowControl w:val="false"/>
              <w:rPr/>
            </w:pPr>
            <w:r>
              <w:rPr/>
              <w:t>Проведение мероприятий по развитию научно- технического творчества: областных конкурсов технического творчества, соревнований по спортивно- техническим видам спорта, областных конкурсов детского и юношеского медиатворчества, информационных технологий, регионального фестиваля "РобоФест-НН"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3"/>
              <w:widowControl w:val="false"/>
              <w:rPr/>
            </w:pPr>
            <w:r>
              <w:rPr/>
              <w:t xml:space="preserve">2019-2021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3"/>
              <w:widowControl w:val="false"/>
              <w:rPr/>
            </w:pPr>
            <w:r>
              <w:rPr/>
              <w:t>Увеличение количества детей и молодежи по участию в мероприятиях, направленных на развитие научно-технического творчества, чел.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PlusNormal"/>
              <w:widowControl w:val="false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PlusNormal"/>
              <w:widowControl w:val="false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PlusNormal"/>
              <w:widowControl w:val="false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3"/>
              <w:widowControl w:val="false"/>
              <w:rPr/>
            </w:pPr>
            <w:r>
              <w:rPr/>
              <w:t xml:space="preserve">Создание условий для выявления и творческого развития одаренных и талантливых детей и молодежи, развитие мотивации у детей к познанию и творчеству 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PlusNormal"/>
              <w:widowControl w:val="false"/>
              <w:ind w:hang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Управление образования и молодежной политики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1.7.</w:t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onsPlusNormal"/>
              <w:widowControl w:val="false"/>
              <w:ind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Обеспечение равных условий доступа к информации о государственном имуществе Нижегородской области и имуществе, находящемся в собственности муниципальных образований, в том числе имуществе, включаемом в перечни для предоставления на льготных условиях субъектам малого и среднего предпринимательства, о реализации такого имущества или предоставлении его во владение и (или) пользование, а также о ресурсах всех видов, находящихся в муниципальной собственности, путем размещения указанной информации на официальном сайте Российской Федерации в информационно-телекоммуникационной сети «Интернет» для размещения информации о проведении торгов (www.torgi.gov.ru) и на официальном сайте министерства экономического развития и инвестиций Нижегородской области, являющегося уполномоченным органом исполнительной власти Нижегородской области по содействию развитию конкуренции (в информационно-телекоммуникационной сети «Интернет»)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1.7.1.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tabs>
                <w:tab w:val="clear" w:pos="709"/>
                <w:tab w:val="left" w:pos="2161" w:leader="none"/>
              </w:tabs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Обеспечение опубликования и актуализации в сети «Интернет» информации об объектах (наименование, местонахождения, характеристики, целевое значение, существующие ограничения их использования и обременения правами третьих лиц), находящихся в муниципальной собственности Шарангского муниципального района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tabs>
                <w:tab w:val="clear" w:pos="709"/>
                <w:tab w:val="left" w:pos="2161" w:leader="none"/>
              </w:tabs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2161" w:leader="none"/>
              </w:tabs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tabs>
                <w:tab w:val="clear" w:pos="709"/>
                <w:tab w:val="left" w:pos="2161" w:leader="none"/>
              </w:tabs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Размещение на официальном сайте в сети «Интернет» актуальной информации об объектах, находящихся в муниципальной собственности Шарангского муниципального района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tabs>
                <w:tab w:val="clear" w:pos="709"/>
                <w:tab w:val="left" w:pos="2161" w:leader="none"/>
              </w:tabs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да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tabs>
                <w:tab w:val="clear" w:pos="709"/>
                <w:tab w:val="left" w:pos="2161" w:leader="none"/>
              </w:tabs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tabs>
                <w:tab w:val="clear" w:pos="709"/>
                <w:tab w:val="left" w:pos="2161" w:leader="none"/>
              </w:tabs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да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1.7.2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Обеспечение опубликования и актуализации в сети «Интернет» информации об имуществе, находящемся в муниципальной собственности Шарангского муниципального района, включаемом в перечни для предоставления на льготных условиях субъектам малого и среднего предпринимательства, о реализации такого имущества или предоставлении его во владение и (или) пользование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Размещение на официальном сайте в сети «Интернет» актуальной информации об объектах, находящихся в муниципальной собственности Шарангского муниципального района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да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да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экономики и имущественных отношений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1.8</w:t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Внедрение системы мер обеспечения соблюдения требований антимонопольного законодательства органами исполнительной власти Нижегородской области и ОМСУ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1.8.1.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Организация ОМСУ работы по внедрению антимонопольного комплаенса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Размещение на официальном сайте Шарангского муниципального района в сети «Интернет» муниципальных правовых актов о внедрении антимонопольного комплаенса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Снижение количества нарушений ОМСУ антимонопольного законодательства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233" w:hRule="atLeast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1.9</w:t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Организация мониторинга состояния и развития конкурентной среды на рынках товаров и услуг Шарангского муниципального района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1.9.1.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Организация и проведение мониторинга наличия (отсутствия) административных барьеров и оценки состояния конкуренции субъектами предпринимательской деятельности и потребителями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Количество проведенных мониторингов, ед.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Формирование предложений по совершенствованию развития конкуренции для корректировки настоящего Плана мероприятий («дорожной карты»)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1.9.2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Организация и проведение мониторинга удовлетворенности потребителей качеством товаров и услуг на товарных рынках Шарангского муниципального района и состоянием ценовой конкуренции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Количество проведенных мониторингов, ед.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Формирование предложений по совершенствованию развития конкуренции для корректировки настоящего Плана мероприятий («дорожной карты»)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1.9.3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Организация и проведение мониторинга удовлетворенности субъектов предпринимательской деятельности и потребителей товаров, работ, услуг качеством (в том числе уровнем доступности, понятности и удобства получения) официальной информации о состоянии конкуренции на товарных рынках Шарангского муниципального района и деятельности по содействию развитию конкуренции, размещаемой министерством экономического развития и инвестиций Нижегородской области и муниципальными образованиями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Количество проведенных мониторингов, ед.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Формирование предложений по совершенствованию развития конкуренции для корректировки настоящего Плана мероприятий («дорожной карты»)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1.9.4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мониторингов деятельности хозяйствующих субъектов, доля участия Нижегородской области или муниципального образования в которых составляет 50 и более процентов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</w:t>
            </w:r>
          </w:p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проведенных мониторингов, ед.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предложений по совершенствованию развития конкуренции для корректировки настоящего Плана мероприятий («дорожной карты»)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Мероприятия в отдельных отраслях (сферах) экономики Шарангского  муниципального района 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2.1</w:t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Рынок услуг дошкольного образования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2.1.1.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3"/>
              <w:widowControl w:val="false"/>
              <w:jc w:val="both"/>
              <w:rPr/>
            </w:pPr>
            <w:r>
              <w:rPr/>
              <w:t xml:space="preserve">Предоставление субсидий негосударственным образовательным организациям, включая индивидуальных предпринимателей, имеющим лицензию на образовательную деятельность, на заявительной основе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3"/>
              <w:widowControl w:val="false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2019-2021 </w:t>
            </w:r>
          </w:p>
        </w:tc>
        <w:tc>
          <w:tcPr>
            <w:tcW w:w="25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Доля обучающихся дошкольного возраста в частных образовательных организациях, у индивидуальных предпринимателей, реализующих основные общеобразовательные программы - образовательные программы дошкольного образования, в общей численности обучающихся дошкольного возраста в образовательных организациях, у индивидуальных предпринимателей, реализующих основные общеобразовательные программы - образовательные программы дошкольного образования, %</w:t>
            </w:r>
          </w:p>
          <w:p>
            <w:pPr>
              <w:pStyle w:val="Normal"/>
              <w:widowControl w:val="false"/>
              <w:jc w:val="both"/>
              <w:rPr/>
            </w:pPr>
            <w:r>
              <w:rPr/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Увеличение охвата детей услугами дошкольного образования путем развития негосударственного сектора</w:t>
            </w:r>
          </w:p>
        </w:tc>
        <w:tc>
          <w:tcPr>
            <w:tcW w:w="18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 образования  и молодежной политики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2. 1.1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муниципально-частного партнёрства по организации дошкольного образования (предоставление индивидуальным предпринимателям на конкурсной основе муниципальных помещений для предоставления услуги по присмотру и уходу за детьми дошкольного возраста)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</w:t>
            </w:r>
          </w:p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252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9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82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2.2.</w:t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Рынок ритуальных услуг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2.2.1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инвентаризации действующих мест погребения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</w:t>
            </w:r>
          </w:p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Доля организаций частной формы собственности в сфере ритуальных услуг</w:t>
            </w:r>
          </w:p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(доля выручки организаций частной формы собственности, от общего объема выручки всех хозяйствующих субъектов (всех форм собственности), за исключением выручки от оказания услуг (выполнения работ) по содержанию и благоустройству кладбищ), %</w:t>
            </w:r>
          </w:p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Снижение недобросовестной конкуренции на рынке ритуальных услуг, повышение прозрачности рынка, снижение коррупции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Администрации  сельских поселений (по согласованию)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2.3</w:t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Рынок выполнения работ по благоустройству городской среды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2.3.1.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Обеспечение доступа хозяйствующих субъектов рынка к информации о планируемых закупках в сфере проведения работ по благоустройству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</w:tc>
        <w:tc>
          <w:tcPr>
            <w:tcW w:w="25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Доля организаций частной формы собственности в сфере выполнения работ по благоустройству городской среды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(доля объема выручки организаций частной формы собственности от общего объема выручки всех хозяйствующих субъектов), %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60</w:t>
            </w:r>
          </w:p>
        </w:tc>
        <w:tc>
          <w:tcPr>
            <w:tcW w:w="13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70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80</w:t>
            </w:r>
          </w:p>
        </w:tc>
        <w:tc>
          <w:tcPr>
            <w:tcW w:w="24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Обеспечение прозрачности и равноправного доступа к закупкам для всех участников рынка</w:t>
            </w:r>
          </w:p>
        </w:tc>
        <w:tc>
          <w:tcPr>
            <w:tcW w:w="18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капитального строительства</w:t>
            </w:r>
          </w:p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2.3.2.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Обеспечение равных условий участия в муниципальных закупках для всех участников рынка</w:t>
            </w:r>
          </w:p>
        </w:tc>
        <w:tc>
          <w:tcPr>
            <w:tcW w:w="150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</w:tc>
        <w:tc>
          <w:tcPr>
            <w:tcW w:w="252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9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left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</w:tc>
        <w:tc>
          <w:tcPr>
            <w:tcW w:w="182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2.3.3.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Проведение опросов населения для определения приоритетных проектов в сфере благоустройства городской среды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Доля муниципальных контрактов, заключенных для реализации проектов по благоустройству городской среды, определенных жителями в качестве приоритетных, в общем числе муниципальных контрактов в сфере благоустройства городской среды, %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100</w:t>
            </w:r>
          </w:p>
        </w:tc>
        <w:tc>
          <w:tcPr>
            <w:tcW w:w="24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Вовлечение населения в процесс благоустройства городской среды. Повышение удовлетворенности населения состоянием городской среды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капитального строительства</w:t>
            </w:r>
          </w:p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2.3.4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Расширение практики муниципально-частного партнерства в сфере благоустройства городской среды в рамках регионального проекта «Местные инициативы»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Количество проектов по благоустройству городской среды, реализуемых в  рамках проекта «Местные инициативы», ед.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9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капитального строительства</w:t>
            </w:r>
          </w:p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2.4.</w:t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Рынок выполнения работ по содержанию и текущему ремонту общего имущества собственников помещений в многоквартирном доме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2.4.1.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Снижение количества нарушений антимонопольного законодательства при проведении конкурсов по отбору управляющей организации, предусмотренных Жилищным кодексом Российской Федерации и Правилами проведения органом местного самоуправления открытого конкурса по отбору управляющей организации для управления многоквартирным домом, утвержденными постановлением Правительства Российской Федерации 06 февраля 2006 г. № 75.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Доля организаций частной формы собственности в сфере выполнения работ по содержанию и текущему ремонту общего имущества собственников помещений в многоквартирном доме (доля общей площади помещений, находящихся в управлении у организаций частной формы собственности в общей площади помещений, входящих в состав общего имущества собственников помещений в многоквартирном доме, находящихся в управлении у всех хозяйствующих субъектов (за исключением товариществ собственников жилья, жилищных, жилищно-строительных кооператоров или иных специализированных потребительских кооперативов, а также непосредственного способа управления), осуществляющих деятельность по управлению многоквартирными домами), %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100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Снижение недобросовестной конкуренции на рынке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690" w:leader="none"/>
                <w:tab w:val="left" w:pos="1721" w:leader="none"/>
              </w:tabs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Повышение качества услуг в сфере жилищно-коммунального хозяйства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  <w:lang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Обеспечение равных условий для всех участников рынка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экономики и имущественных отношений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keepNext w:val="true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2.5.</w:t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Рынок услуг </w:t>
            </w:r>
            <w:r>
              <w:rPr>
                <w:b/>
                <w:bCs/>
                <w:sz w:val="24"/>
                <w:szCs w:val="24"/>
              </w:rPr>
              <w:t>по перевозке пассажиров автомобильным транспортом по муниципальным маршрутам регулярных перевозок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2.5.1.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Организация проведения открытых конкурсов на право осуществления перевозок по муниципальным маршрутам регулярных перевозок автомобильным транспортом по нерегулируемым тарифам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25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Доля услуг (работ) по перевозке пассажиров автомобильным транспортом по муниципальным маршрутам регулярных перевозок, оказанных (выполненных) организациями частной формы собственности (по количеству перевезенных пассажиров),</w:t>
            </w:r>
            <w:r>
              <w:rPr>
                <w:rFonts w:cs="Times New Roman" w:ascii="Times New Roman" w:hAnsi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Обеспечение равных условий допуска к муниципальным закупкам для участников рынка</w:t>
            </w:r>
          </w:p>
        </w:tc>
        <w:tc>
          <w:tcPr>
            <w:tcW w:w="18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2.5.2.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Участие в рейдовых мероприятиях в рамках деятельности межведомственной комиссии по пресечению деятельности нелегальных перевозчиков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252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Снижение негативного влияния деятельности нелегальных перевозчиков на развитие рынка</w:t>
            </w:r>
          </w:p>
        </w:tc>
        <w:tc>
          <w:tcPr>
            <w:tcW w:w="182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2.6.</w:t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Рынок услуг </w:t>
            </w:r>
            <w:r>
              <w:rPr>
                <w:b/>
                <w:bCs/>
                <w:sz w:val="24"/>
                <w:szCs w:val="24"/>
              </w:rPr>
              <w:t>по перевозке пассажиров автомобильным транспортом по межмуниципальным маршрутам регулярных перевозок</w:t>
            </w:r>
          </w:p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2.6.1.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Участие в рейдовых мероприятиях в рамках деятельности межведомственной комиссии по пресечению деятельности нелегальных перевозчиков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Доля услуг (работ) по перевозке пассажиров автомобильным транспортом по межмуниципальным маршрутам регулярных перевозок, оказанных (выполненных) организациями частной формы собственности (по количеству перевезенных пассажиров), %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50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50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50</w:t>
            </w:r>
          </w:p>
        </w:tc>
        <w:tc>
          <w:tcPr>
            <w:tcW w:w="24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Создание равных условий для всех участников рынка</w:t>
            </w:r>
          </w:p>
        </w:tc>
        <w:tc>
          <w:tcPr>
            <w:tcW w:w="18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2.6.2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Размещение информации о критериях конкурсного отбора перевозчиков в открытом доступе в сети Интернет с целью обеспечения максимальной доступности информации и прозрачности условий работы на рынке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Доля межмуниципальных маршрутов пассажирского автомобильного транспорта, на которых осуществляются перевозки пассажиров негосударственными (немуниципальными) перевозчиками, от общего числа межмуниципальных маршрутов пассажирского автомобильного транспорта, %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249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2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2.7</w:t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Рынок услуг связи, в том числе услуг по предоставлению широкополосного доступа к информационно-телекоммуникационной сети «Интернет»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2.7.1.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Оказание содействия операторам связи в реализации инвестиционных проектов по строительству объектов связи на территории Шарангского района, в том числе в размещении оборудования базовых станций на землях и объектах государственной и муниципальной собственности на территории Шарангского района по мере поступления запросов от организаций операторов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2021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tabs>
                <w:tab w:val="clear" w:pos="709"/>
                <w:tab w:val="left" w:pos="1667" w:leader="none"/>
              </w:tabs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Увеличение количества объектов государственной и муниципальной собственности, фактически используемых операторами связи для размещения и строительства сетей и сооружений связи, по отношению к показателям 2018 года, %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+5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+5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tabs>
                <w:tab w:val="clear" w:pos="709"/>
                <w:tab w:val="left" w:pos="1405" w:leader="none"/>
              </w:tabs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A"/>
                <w:sz w:val="24"/>
                <w:szCs w:val="24"/>
                <w:lang w:eastAsia="zh-CN" w:bidi="ar-SA"/>
              </w:rPr>
              <w:t>Реализация инвестиционных проектов на территории Шарангского района, направленных на развитие сетей передачи данных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2.8</w:t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Рынок переработки водных биоресурсов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2.8.1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Оказание консультационных услуг субъектам малого и среднего предпринимательства по вопросам предоставления государственной поддержки организациям, осуществления закупок.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25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Доля организаций частной формы собственности на рынке переработки водных биоресурсов (доля объема продукции, произведенной   из водных биоресурсов  </w:t>
            </w:r>
            <w:r>
              <w:rPr>
                <w:rFonts w:cs="Times New Roman" w:ascii="Times New Roman" w:hAnsi="Times New Roman"/>
                <w:spacing w:val="26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организациями частной формы собственности, в общем объеме продукции всех хозяйствующих субъектов), %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Определение уровня конкуренции и проблем на рынке переработки водных биоресурсов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Развитие рынка переработки водных биоресурсов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Обеспечение прозрачности и открытости муниципальных закупок продукции переработки водных биоресурсов</w:t>
            </w:r>
          </w:p>
        </w:tc>
        <w:tc>
          <w:tcPr>
            <w:tcW w:w="18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2.8.2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Обеспечение равных условий участия в муниципальных закупках для всех организаций, действующих на рынке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2020-</w:t>
            </w:r>
          </w:p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2021</w:t>
            </w:r>
          </w:p>
        </w:tc>
        <w:tc>
          <w:tcPr>
            <w:tcW w:w="252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3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9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2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2.9.</w:t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3"/>
              <w:widowControl w:val="false"/>
              <w:jc w:val="both"/>
              <w:rPr>
                <w:b/>
                <w:b/>
              </w:rPr>
            </w:pPr>
            <w:r>
              <w:rPr>
                <w:b/>
              </w:rPr>
              <w:t xml:space="preserve">Сфера наружной рекламы 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2.9.1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3"/>
              <w:widowControl w:val="false"/>
              <w:jc w:val="both"/>
              <w:rPr/>
            </w:pPr>
            <w:r>
              <w:rPr/>
              <w:t>Оказание консультационных услуг предпринимателям по существующим мерам поддержки бизнеса</w:t>
            </w:r>
          </w:p>
          <w:p>
            <w:pPr>
              <w:pStyle w:val="Style23"/>
              <w:widowControl w:val="false"/>
              <w:jc w:val="both"/>
              <w:rPr/>
            </w:pPr>
            <w:r>
              <w:rPr/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3"/>
              <w:widowControl w:val="false"/>
              <w:jc w:val="both"/>
              <w:rPr/>
            </w:pPr>
            <w:r>
              <w:rPr/>
              <w:t xml:space="preserve">2021 </w:t>
            </w:r>
          </w:p>
        </w:tc>
        <w:tc>
          <w:tcPr>
            <w:tcW w:w="25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3"/>
              <w:widowControl w:val="false"/>
              <w:jc w:val="both"/>
              <w:rPr/>
            </w:pPr>
            <w:r>
              <w:rPr/>
              <w:t>Доля организаций частной формы собственности в сфере наружной рекламы, %</w:t>
            </w:r>
          </w:p>
          <w:p>
            <w:pPr>
              <w:pStyle w:val="Style23"/>
              <w:widowControl w:val="false"/>
              <w:jc w:val="both"/>
              <w:rPr/>
            </w:pPr>
            <w:r>
              <w:rPr/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3"/>
              <w:widowControl w:val="false"/>
              <w:jc w:val="both"/>
              <w:rPr/>
            </w:pPr>
            <w:r>
              <w:rPr/>
              <w:t xml:space="preserve">Снижение административных барьеров </w:t>
            </w:r>
          </w:p>
        </w:tc>
        <w:tc>
          <w:tcPr>
            <w:tcW w:w="18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1"/>
              <w:widowControl w:val="false"/>
              <w:spacing w:before="40" w:after="0"/>
              <w:jc w:val="both"/>
              <w:rPr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  <w:t xml:space="preserve">Создание отдельного раздела на официальном сайте в сети "Интернет" по наиболее часто задаваемым вопросам с возможностью обратной связи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1"/>
              <w:widowControl w:val="false"/>
              <w:spacing w:before="40" w:after="0"/>
              <w:jc w:val="both"/>
              <w:rPr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  <w:t xml:space="preserve">2021 </w:t>
            </w:r>
          </w:p>
        </w:tc>
        <w:tc>
          <w:tcPr>
            <w:tcW w:w="252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3"/>
              <w:widowControl w:val="false"/>
              <w:jc w:val="both"/>
              <w:rPr/>
            </w:pPr>
            <w:r>
              <w:rPr/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2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Иные рынки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2.10.</w:t>
            </w:r>
          </w:p>
        </w:tc>
        <w:tc>
          <w:tcPr>
            <w:tcW w:w="14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Default"/>
              <w:widowControl w:val="false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Рынок деятельности в сфере туризма, в том числе рынок гостиничных услуг </w:t>
            </w:r>
          </w:p>
        </w:tc>
      </w:tr>
      <w:tr>
        <w:trPr/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ind w:left="0" w:right="0" w:hang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2.10.1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3"/>
              <w:widowControl w:val="false"/>
              <w:jc w:val="both"/>
              <w:rPr/>
            </w:pPr>
            <w:r>
              <w:rPr/>
              <w:t xml:space="preserve">Оказание консультационных услуг субъектам туристской индустрии по разработке туристских маршрутов, связанных с посещением туристских центров Нижегородской области 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3"/>
              <w:widowControl w:val="false"/>
              <w:jc w:val="both"/>
              <w:rPr/>
            </w:pPr>
            <w:r>
              <w:rPr/>
              <w:t xml:space="preserve">2019-2021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3"/>
              <w:widowControl w:val="false"/>
              <w:rPr/>
            </w:pPr>
            <w:r>
              <w:rPr/>
              <w:t>Количество разработанных маршрутов/ экскурсий</w:t>
            </w:r>
          </w:p>
          <w:p>
            <w:pPr>
              <w:pStyle w:val="Style23"/>
              <w:widowControl w:val="false"/>
              <w:rPr/>
            </w:pPr>
            <w:r>
              <w:rPr/>
              <w:t>(нарастающим итогом к показателю 2018 году), ед.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3"/>
              <w:widowControl w:val="false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внутреннего туризма</w:t>
            </w:r>
          </w:p>
          <w:p>
            <w:pPr>
              <w:pStyle w:val="Style23"/>
              <w:widowControl w:val="false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Style23"/>
              <w:widowControl w:val="false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Увеличение охвата населения области услугами туристических организаций 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экономики и имущественных отношений</w:t>
            </w:r>
          </w:p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/>
      </w:r>
    </w:p>
    <w:sectPr>
      <w:headerReference w:type="default" r:id="rId5"/>
      <w:type w:val="nextPage"/>
      <w:pgSz w:orient="landscape" w:w="16838" w:h="11906"/>
      <w:pgMar w:left="585" w:right="668" w:header="1134" w:top="1648" w:footer="0" w:bottom="572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20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bidi="ar-SA" w:val="ru-RU" w:eastAsia="zh-CN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 w:customStyle="1">
    <w:name w:val="Верхний и нижний колонтитулы"/>
    <w:basedOn w:val="Normal"/>
    <w:qFormat/>
    <w:rsid w:val="00fe4288"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bidi="ar-SA" w:val="ru-RU" w:eastAsia="zh-CN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bidi="ar-SA" w:val="ru-RU" w:eastAsia="zh-CN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ConsPlusTitle">
    <w:name w:val="ConsPlusTitle"/>
    <w:qFormat/>
    <w:pPr>
      <w:widowControl w:val="false"/>
      <w:bidi w:val="0"/>
      <w:spacing w:before="0" w:after="0"/>
      <w:jc w:val="left"/>
    </w:pPr>
    <w:rPr>
      <w:rFonts w:ascii="Calibri" w:hAnsi="Calibri" w:eastAsia="Times New Roman" w:cs="Calibri"/>
      <w:b/>
      <w:color w:val="auto"/>
      <w:kern w:val="2"/>
      <w:sz w:val="22"/>
      <w:szCs w:val="20"/>
      <w:lang w:bidi="ar-SA" w:val="ru-RU" w:eastAsia="zh-CN"/>
    </w:rPr>
  </w:style>
  <w:style w:type="paragraph" w:styleId="Style23">
    <w:name w:val="Нормальный"/>
    <w:qFormat/>
    <w:pPr>
      <w:widowControl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eastAsia="ru-RU" w:bidi="ar-SA" w:val="ru-RU"/>
    </w:rPr>
  </w:style>
  <w:style w:type="paragraph" w:styleId="TableParagraph">
    <w:name w:val="Table Paragraph"/>
    <w:basedOn w:val="Normal"/>
    <w:qFormat/>
    <w:pPr>
      <w:widowControl w:val="false"/>
      <w:suppressAutoHyphens w:val="false"/>
      <w:ind w:left="143" w:right="140" w:hanging="0"/>
      <w:jc w:val="center"/>
    </w:pPr>
    <w:rPr>
      <w:rFonts w:ascii="Arial" w:hAnsi="Arial" w:eastAsia="Arial" w:cs="Arial"/>
      <w:color w:val="auto"/>
      <w:sz w:val="22"/>
      <w:szCs w:val="22"/>
      <w:lang w:eastAsia="ru-RU" w:bidi="ru-RU"/>
    </w:rPr>
  </w:style>
  <w:style w:type="paragraph" w:styleId="Default">
    <w:name w:val="Default"/>
    <w:qFormat/>
    <w:pPr>
      <w:widowControl/>
      <w:bidi w:val="0"/>
      <w:spacing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eastAsia="ru-RU" w:bidi="ar-SA" w:val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0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Application>LibreOffice/7.0.4.2$Windows_X86_64 LibreOffice_project/dcf040e67528d9187c66b2379df5ea4407429775</Application>
  <AppVersion>15.0000</AppVersion>
  <Pages>20</Pages>
  <Words>2670</Words>
  <Characters>20508</Characters>
  <CharactersWithSpaces>22842</CharactersWithSpaces>
  <Paragraphs>378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2021-03-25T08:50:53Z</cp:lastPrinted>
  <dcterms:modified xsi:type="dcterms:W3CDTF">2021-03-25T08:51:28Z</dcterms:modified>
  <cp:revision>89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