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20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14.02.2020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14.02.2020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21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18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cap="sq"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19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cap="sq"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ConsPlusNormal"/>
        <w:bidi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Об отчете главы администрации Шарангского муниципального района</w:t>
      </w:r>
    </w:p>
    <w:p>
      <w:pPr>
        <w:pStyle w:val="ConsPlusNormal"/>
        <w:bidi w:val="0"/>
        <w:jc w:val="center"/>
        <w:rPr/>
      </w:pPr>
      <w:r>
        <w:rPr>
          <w:rFonts w:cs="Times New Roman" w:ascii="Times New Roman" w:hAnsi="Times New Roman"/>
          <w:b/>
          <w:sz w:val="28"/>
          <w:szCs w:val="28"/>
        </w:rPr>
        <w:t>о работе администрации</w:t>
      </w:r>
    </w:p>
    <w:p>
      <w:pPr>
        <w:pStyle w:val="ConsPlusNormal"/>
        <w:bidi w:val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sz w:val="28"/>
          <w:szCs w:val="28"/>
        </w:rPr>
        <w:t>Шарангского муниципального района за 2019 год</w:t>
      </w:r>
    </w:p>
    <w:p>
      <w:pPr>
        <w:pStyle w:val="ConsPlusNormal"/>
        <w:bidi w:val="0"/>
        <w:jc w:val="left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bidi w:val="0"/>
        <w:spacing w:lineRule="auto" w:line="276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Заслушав отчет главы администрации Шарангского муниципального  района о работе администрации за 2019 год, Земское собрание Шарангского муниципального района решило:</w:t>
      </w:r>
    </w:p>
    <w:p>
      <w:pPr>
        <w:pStyle w:val="ConsPlusNormal"/>
        <w:bidi w:val="0"/>
        <w:spacing w:lineRule="auto" w:line="276"/>
        <w:ind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1. Отчет главы администрации о работе администрации Шарангского муниципального района за 2019 год принять к сведению.</w:t>
      </w:r>
    </w:p>
    <w:p>
      <w:pPr>
        <w:pStyle w:val="ConsPlusNormal"/>
        <w:bidi w:val="0"/>
        <w:spacing w:lineRule="auto" w:line="276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2.Признать работу администрации района за 2019 год положительной.</w:t>
      </w:r>
    </w:p>
    <w:p>
      <w:pPr>
        <w:pStyle w:val="ConsPlusNormal"/>
        <w:bidi w:val="0"/>
        <w:spacing w:lineRule="auto" w:line="276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 Опубликовать отчет в средствах массовой информации.</w:t>
      </w:r>
    </w:p>
    <w:p>
      <w:pPr>
        <w:pStyle w:val="ConsPlusNormal"/>
        <w:bidi w:val="0"/>
        <w:spacing w:lineRule="auto" w:line="276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spacing w:lineRule="auto" w:line="276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spacing w:lineRule="auto" w:line="276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spacing w:lineRule="auto" w:line="276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Глава местного самоуправления                                          Н.П.Филимонов</w:t>
      </w:r>
    </w:p>
    <w:p>
      <w:pPr>
        <w:pStyle w:val="ConsPlusNormal"/>
        <w:bidi w:val="0"/>
        <w:spacing w:lineRule="auto" w:line="3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33"/>
        <w:shd w:fill="FFFFFF" w:val="clear"/>
        <w:spacing w:lineRule="auto" w:line="276" w:before="0" w:after="0"/>
        <w:jc w:val="center"/>
        <w:textAlignment w:val="baseline"/>
        <w:rPr>
          <w:b/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Уважаемый Николай Петрович!</w:t>
      </w:r>
    </w:p>
    <w:p>
      <w:pPr>
        <w:pStyle w:val="Style33"/>
        <w:shd w:fill="FFFFFF" w:val="clear"/>
        <w:spacing w:lineRule="auto" w:line="276" w:before="0" w:after="0"/>
        <w:jc w:val="center"/>
        <w:textAlignment w:val="baseline"/>
        <w:rPr>
          <w:b/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Уважаемые депутаты, коллеги!</w:t>
      </w:r>
    </w:p>
    <w:p>
      <w:pPr>
        <w:pStyle w:val="Style33"/>
        <w:shd w:fill="FFFFFF" w:val="clear"/>
        <w:spacing w:before="0" w:after="0"/>
        <w:ind w:firstLine="567"/>
        <w:jc w:val="center"/>
        <w:textAlignment w:val="baseline"/>
        <w:rPr>
          <w:b/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Прошедший 2019 год был годом напряженной работы и вместе с тем он был достаточно плодотворным для  нашего района. </w:t>
      </w:r>
    </w:p>
    <w:p>
      <w:pPr>
        <w:pStyle w:val="Normal"/>
        <w:ind w:firstLine="567"/>
        <w:jc w:val="both"/>
        <w:rPr>
          <w:rFonts w:ascii="yandex-sans;Times New Roman" w:hAnsi="yandex-sans;Times New Roman" w:cs="yandex-sans;Times New Roman"/>
          <w:color w:val="000000"/>
          <w:sz w:val="28"/>
          <w:szCs w:val="28"/>
        </w:rPr>
      </w:pPr>
      <w:r>
        <w:rPr>
          <w:sz w:val="28"/>
          <w:szCs w:val="28"/>
        </w:rPr>
        <w:t xml:space="preserve">На основных результатах этой работы я остановлюсь в своем докладе. </w:t>
      </w:r>
    </w:p>
    <w:p>
      <w:pPr>
        <w:pStyle w:val="Normal"/>
        <w:ind w:firstLine="567"/>
        <w:jc w:val="both"/>
        <w:rPr>
          <w:b/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Экономика</w:t>
      </w:r>
    </w:p>
    <w:p>
      <w:pPr>
        <w:pStyle w:val="Normal"/>
        <w:ind w:firstLine="567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По уровню социально-экономического развития Шарангский муниципальный район относится  к группе территорий со средним уровнем развития, стабильно занимая  22 – 24 места среди 52-х муниципальных районов и городских округов области . Результаты работы за 2019 год еще не подведены, но у района есть все предпосылки сохранить свои позиции и за этот период.</w:t>
      </w:r>
    </w:p>
    <w:p>
      <w:pPr>
        <w:pStyle w:val="Normal"/>
        <w:ind w:firstLine="567"/>
        <w:jc w:val="both"/>
        <w:rPr>
          <w:b/>
          <w:b/>
          <w:sz w:val="28"/>
          <w:szCs w:val="28"/>
          <w:highlight w:val="white"/>
        </w:rPr>
      </w:pPr>
      <w:r>
        <w:rPr>
          <w:sz w:val="28"/>
          <w:szCs w:val="28"/>
        </w:rPr>
        <w:t xml:space="preserve">Основой экономического потенциала района  являются  сельское  хозяйство,  деревообрабатывающая и  пищевая  промышленность.   Объем отгруженной продукции, работ, услуг  по полному кругу предприятий и организаций  за 2019 год составил </w:t>
      </w:r>
      <w:r>
        <w:rPr>
          <w:b/>
          <w:sz w:val="28"/>
          <w:szCs w:val="28"/>
        </w:rPr>
        <w:t>968 млн.рублей</w:t>
      </w:r>
      <w:r>
        <w:rPr>
          <w:sz w:val="28"/>
          <w:szCs w:val="28"/>
        </w:rPr>
        <w:t xml:space="preserve">, рост к прошлому году – </w:t>
      </w:r>
      <w:r>
        <w:rPr>
          <w:b/>
          <w:sz w:val="28"/>
          <w:szCs w:val="28"/>
        </w:rPr>
        <w:t>137 млн.рублей</w:t>
      </w:r>
      <w:r>
        <w:rPr>
          <w:sz w:val="28"/>
          <w:szCs w:val="28"/>
        </w:rPr>
        <w:t xml:space="preserve"> или 16,5%. </w:t>
      </w:r>
    </w:p>
    <w:p>
      <w:pPr>
        <w:pStyle w:val="Style33"/>
        <w:shd w:fill="FFFFFF" w:val="clear"/>
        <w:spacing w:before="0" w:after="0"/>
        <w:ind w:firstLine="567"/>
        <w:jc w:val="both"/>
        <w:textAlignment w:val="baseline"/>
        <w:rPr/>
      </w:pPr>
      <w:r>
        <w:rPr>
          <w:sz w:val="28"/>
          <w:szCs w:val="28"/>
        </w:rPr>
        <w:t xml:space="preserve">В валовом объеме материального производства промышленная отрасль занимает  48,1 %, сельское хозяйство – 25,2%.  </w:t>
      </w:r>
    </w:p>
    <w:p>
      <w:pPr>
        <w:pStyle w:val="Style33"/>
        <w:shd w:fill="FFFFFF" w:val="clear"/>
        <w:spacing w:before="0" w:after="0"/>
        <w:ind w:firstLine="567"/>
        <w:jc w:val="both"/>
        <w:textAlignment w:val="baseline"/>
        <w:rPr/>
      </w:pPr>
      <w:r>
        <w:rPr>
          <w:sz w:val="28"/>
          <w:szCs w:val="28"/>
        </w:rPr>
        <w:t xml:space="preserve">Структура промышленного производства показана на слайде. </w:t>
      </w:r>
    </w:p>
    <w:p>
      <w:pPr>
        <w:pStyle w:val="Style33"/>
        <w:shd w:fill="FFFFFF" w:val="clear"/>
        <w:spacing w:before="0" w:after="0"/>
        <w:ind w:firstLine="567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Объем отгрузки по полному кругу предприятий промышленной  отрасли за отчетный  год составил 377 млн.рублей или 114,8% к уровню прошлого года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 прежнему наибольший удельный вес в объеме отгруженной продукции обрабатывающей отрасли имеют Общества «Кедр», «Партнер», хлебокомбинат и Общество  «Маслодел».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</w:rPr>
        <w:t xml:space="preserve">Объем </w:t>
      </w:r>
      <w:r>
        <w:rPr>
          <w:sz w:val="28"/>
          <w:szCs w:val="28"/>
        </w:rPr>
        <w:t xml:space="preserve">инвестиций в 2019 году составил   </w:t>
      </w:r>
      <w:r>
        <w:rPr>
          <w:b/>
          <w:sz w:val="28"/>
          <w:szCs w:val="28"/>
        </w:rPr>
        <w:t>594 млн.рублей</w:t>
      </w:r>
      <w:r>
        <w:rPr>
          <w:sz w:val="28"/>
          <w:szCs w:val="28"/>
        </w:rPr>
        <w:t xml:space="preserve">, что выше 2018 года на 48,8%. 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 xml:space="preserve">Объем инвестиций в основной капитал  в расчете на душу населения за прошлый год равен </w:t>
      </w:r>
      <w:r>
        <w:rPr>
          <w:b/>
          <w:sz w:val="28"/>
          <w:szCs w:val="28"/>
        </w:rPr>
        <w:t>пятьдесят одной  тысяче 172 руб</w:t>
      </w:r>
      <w:r>
        <w:rPr>
          <w:sz w:val="28"/>
          <w:szCs w:val="28"/>
        </w:rPr>
        <w:t>., рост к 2018 году 50%</w:t>
      </w:r>
      <w:r>
        <w:rPr>
          <w:sz w:val="28"/>
        </w:rPr>
        <w:t xml:space="preserve">. 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Одним из важнейших показателей уровня жизни населения  остается заработная плата. По району среднемесячная  зарплата  за 2019 год  в расчете на одного работника по сравнению с 2018 годом увеличилась на 5,1 %  и составила  22 тысячи 492  рубля. 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>Прожиточный  минимум по району в   среднем  на  душу  населения за 2019 год -  9 тысяч 558   рублей. Соотношение средней заработной платы и прожиточного минимума  для трудоспособного населения равно 2,2 (в 2018 году - 2,14).</w:t>
      </w:r>
    </w:p>
    <w:p>
      <w:pPr>
        <w:pStyle w:val="Style33"/>
        <w:shd w:fill="FFFFFF" w:val="clear"/>
        <w:spacing w:before="0" w:after="0"/>
        <w:ind w:firstLine="567"/>
        <w:jc w:val="both"/>
        <w:textAlignment w:val="baseline"/>
        <w:rPr>
          <w:b/>
          <w:b/>
          <w:sz w:val="28"/>
          <w:szCs w:val="28"/>
          <w:highlight w:val="white"/>
        </w:rPr>
      </w:pPr>
      <w:r>
        <w:rPr>
          <w:sz w:val="28"/>
          <w:szCs w:val="28"/>
        </w:rPr>
        <w:t xml:space="preserve">Индикатором благополучия населения является потребительский рынок. По-прежнему  торговля - это одна из самых динамично развивающихся сфер экономики района. </w:t>
      </w:r>
      <w:r>
        <w:rPr>
          <w:sz w:val="28"/>
        </w:rPr>
        <w:t xml:space="preserve">Розничный  товарооборот  в  целом  по  району  по  сравнению  с  2018  годом  увеличился  на  103 % и составил  </w:t>
      </w:r>
      <w:r>
        <w:rPr>
          <w:b/>
          <w:sz w:val="28"/>
        </w:rPr>
        <w:t>один миллиард  двести пятьдесят пять  млн. 400 рублей</w:t>
      </w:r>
      <w:r>
        <w:rPr>
          <w:sz w:val="28"/>
        </w:rPr>
        <w:t xml:space="preserve">.  В  среднем  каждый житель  приобрел  товаров  на  сумму более </w:t>
      </w:r>
      <w:r>
        <w:rPr>
          <w:b/>
          <w:sz w:val="28"/>
        </w:rPr>
        <w:t>ста тысяч</w:t>
      </w:r>
      <w:r>
        <w:rPr>
          <w:sz w:val="28"/>
        </w:rPr>
        <w:t xml:space="preserve"> рублей или на 4 тысячи  102  рубля  больше  прошлого  года. В общем  товарообороте  лидером по продаже товаров по-прежнему остается потребительское  общество.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Одним из приоритетных направлений социально-экономического развития нашего района является развитие субъектов малого и среднего предпринимательства. Его отраслевая структура  включает практически все виды экономической деятельности (торговля, общественное питание, обрабатывающие производства, строительство, ЖКХ, транспорт, бытовые услуги и другие).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>В районе осуществляют деятельность 356 субъектов малого предпринимательства, включая 264 индивидуальных предпринимателей. В этой сфере работает более 2000 человек.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>Субъекты малого и среднего предпринимательства района в 2019 году обеспечили более 50 % налоговых поступлений в бюджет района. Наиболее крупными источниками налоговых поступлений среди субъектов малого предпринимательства являются: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в промышленности</w:t>
      </w:r>
      <w:r>
        <w:rPr>
          <w:sz w:val="28"/>
          <w:szCs w:val="28"/>
        </w:rPr>
        <w:t xml:space="preserve">: общества «Кедр», «Партнер», индивидуальные предприниматели Синцов Валентин Валентинович, Ермолин Сергей Иванович, Лежнин Владимир Степанович; 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>
        <w:rPr>
          <w:sz w:val="28"/>
          <w:szCs w:val="28"/>
          <w:u w:val="single"/>
        </w:rPr>
        <w:t>сфере торговли</w:t>
      </w:r>
      <w:r>
        <w:rPr>
          <w:sz w:val="28"/>
          <w:szCs w:val="28"/>
        </w:rPr>
        <w:t xml:space="preserve">: Шарангское райпо,  Общества «Общепит», «Триумф»;  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>
        <w:rPr>
          <w:sz w:val="28"/>
          <w:szCs w:val="28"/>
          <w:u w:val="single"/>
        </w:rPr>
        <w:t>сельском хозяйстве</w:t>
      </w:r>
      <w:r>
        <w:rPr>
          <w:sz w:val="28"/>
          <w:szCs w:val="28"/>
        </w:rPr>
        <w:t xml:space="preserve"> - Общества «Возрождение»,  «АПК «Поздеево», «Новый век», «Союз».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 xml:space="preserve">В рамках реализации муниципальной программы поддержки предпринимательства в 2019 году </w:t>
      </w:r>
      <w:r>
        <w:rPr>
          <w:b/>
          <w:sz w:val="28"/>
          <w:szCs w:val="28"/>
        </w:rPr>
        <w:t>пять</w:t>
      </w:r>
      <w:r>
        <w:rPr>
          <w:sz w:val="28"/>
          <w:szCs w:val="28"/>
        </w:rPr>
        <w:t xml:space="preserve"> начинающих предпринимателей  получили гранты по 300 тысяч рублей на развитие собственного дела.</w:t>
      </w:r>
    </w:p>
    <w:p>
      <w:pPr>
        <w:pStyle w:val="Style22"/>
        <w:spacing w:lineRule="auto" w:line="240"/>
        <w:ind w:firstLine="567"/>
        <w:jc w:val="both"/>
        <w:rPr/>
      </w:pPr>
      <w:r>
        <w:rPr>
          <w:rFonts w:cs="Times New Roman" w:ascii="Times New Roman" w:hAnsi="Times New Roman"/>
        </w:rPr>
        <w:t xml:space="preserve">На территории района функционирует 100 торговых точек, 6 аптек, 5 автозаправочных станций, 22 объекта бытового обслуживания, а также ярмарка временного характера и 8 точек общественного питания. 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 xml:space="preserve">Платные услуги населению оказывают практически все предприятия и организации, а также предпринимательские структуры.  Всего оказано услуг на сумму  72 млн. 700 тысяч рублей, рост  к 2018 году 5,1%. В целом, платных услуг в расчете на одного жителя оказано в сумме 6 тысяч 263  рубля, что на  352,5  руб. выше уровня 2018 года. 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отчетный год в службу занятости за содействием в поиске подходящей работы обратились 308 человек или на 3 человека больше 2018 года. Общая численность зарегистрированных безработных в районе на 1 января 2020 г. - 24 чел. (на аналогичную дату прошлого года – 23),  процент безработицы составил 0,4% (на 1 января 2019 года – 0,38),  это ниже среднеобластного показателя.  Уровень безработицы по районам с численностью населения менее 15 тыс.человек  вы можете увидеть на слайде. 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  <w:shd w:fill="FFFFFF" w:val="clear"/>
        </w:rPr>
        <w:t>Одним из факторов социально-экономического развития территории является демографическая ситуация. В 2019 году в районе родились 90 малышей или 7,8 человек на 1000 жителей. Это второй результат среди северных  районов  области после  Уренского  района, но, к сожалению на 31 человек меньше к уровню 2018 года.   </w:t>
      </w:r>
      <w:r>
        <w:rPr>
          <w:sz w:val="28"/>
          <w:szCs w:val="28"/>
        </w:rPr>
        <w:t xml:space="preserve"> Смертность  уменьшилась  на  2 человека и составила 163 человека. Естественная убыль населения составила   73 чел., за 2018 год -  44 чел. Смертность превышает рождаемость в 1,8 раза (за 2018 в 1,4 раза ).  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b/>
          <w:sz w:val="28"/>
        </w:rPr>
        <w:t>Задачами  на  2020</w:t>
      </w:r>
      <w:r>
        <w:rPr>
          <w:sz w:val="28"/>
        </w:rPr>
        <w:t xml:space="preserve">  год  являются:   </w:t>
      </w:r>
    </w:p>
    <w:p>
      <w:pPr>
        <w:pStyle w:val="Normal"/>
        <w:ind w:firstLine="567"/>
        <w:jc w:val="both"/>
        <w:rPr/>
      </w:pPr>
      <w:r>
        <w:rPr>
          <w:sz w:val="28"/>
        </w:rPr>
        <w:t>-  увеличение  объемов  производства и  расширение  ассортимента  выпускаемой  продукции;</w:t>
      </w:r>
    </w:p>
    <w:p>
      <w:pPr>
        <w:pStyle w:val="Normal"/>
        <w:ind w:firstLine="567"/>
        <w:jc w:val="both"/>
        <w:rPr>
          <w:sz w:val="28"/>
        </w:rPr>
      </w:pPr>
      <w:r>
        <w:rPr>
          <w:sz w:val="28"/>
        </w:rPr>
        <w:t>-  рост  заработной  платы;</w:t>
      </w:r>
    </w:p>
    <w:p>
      <w:pPr>
        <w:pStyle w:val="Normal"/>
        <w:ind w:firstLine="567"/>
        <w:jc w:val="both"/>
        <w:rPr>
          <w:sz w:val="28"/>
        </w:rPr>
      </w:pPr>
      <w:r>
        <w:rPr>
          <w:sz w:val="28"/>
        </w:rPr>
        <w:t>-  создание  новых  производств;</w:t>
      </w:r>
    </w:p>
    <w:p>
      <w:pPr>
        <w:pStyle w:val="Normal"/>
        <w:ind w:firstLine="567"/>
        <w:jc w:val="both"/>
        <w:rPr/>
      </w:pPr>
      <w:r>
        <w:rPr>
          <w:sz w:val="28"/>
        </w:rPr>
        <w:t>- расширение рынков сбыта продукции;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увеличение количества ассортимента и улучшение качества товара; 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повышение качества обслуживания населения. </w:t>
      </w:r>
    </w:p>
    <w:p>
      <w:pPr>
        <w:pStyle w:val="Normal"/>
        <w:ind w:firstLine="567"/>
        <w:jc w:val="both"/>
        <w:rPr>
          <w:b/>
          <w:b/>
          <w:caps/>
          <w:sz w:val="28"/>
          <w:szCs w:val="28"/>
        </w:rPr>
      </w:pPr>
      <w:r>
        <w:rPr>
          <w:b/>
          <w:caps/>
          <w:sz w:val="28"/>
          <w:szCs w:val="28"/>
        </w:rPr>
      </w:r>
    </w:p>
    <w:p>
      <w:pPr>
        <w:pStyle w:val="Normal"/>
        <w:shd w:fill="FFFFFF" w:val="clear"/>
        <w:ind w:firstLine="567"/>
        <w:jc w:val="both"/>
        <w:rPr>
          <w:rFonts w:ascii="yandex-sans;Times New Roman" w:hAnsi="yandex-sans;Times New Roman" w:cs="yandex-sans;Times New Roman"/>
          <w:b/>
          <w:b/>
          <w:caps/>
          <w:color w:val="000000"/>
          <w:sz w:val="28"/>
          <w:szCs w:val="28"/>
        </w:rPr>
      </w:pPr>
      <w:r>
        <w:rPr>
          <w:rFonts w:cs="yandex-sans;Times New Roman" w:ascii="yandex-sans;Times New Roman" w:hAnsi="yandex-sans;Times New Roman"/>
          <w:b/>
          <w:caps/>
          <w:color w:val="000000"/>
          <w:sz w:val="28"/>
          <w:szCs w:val="28"/>
        </w:rPr>
      </w:r>
    </w:p>
    <w:p>
      <w:pPr>
        <w:pStyle w:val="Normal"/>
        <w:shd w:fill="FFFFFF" w:val="clear"/>
        <w:ind w:firstLine="567"/>
        <w:jc w:val="both"/>
        <w:rPr/>
      </w:pPr>
      <w:r>
        <w:rPr>
          <w:rFonts w:cs="yandex-sans;Times New Roman" w:ascii="yandex-sans;Times New Roman" w:hAnsi="yandex-sans;Times New Roman"/>
          <w:color w:val="000000"/>
          <w:sz w:val="28"/>
          <w:szCs w:val="28"/>
        </w:rPr>
        <w:t xml:space="preserve">Главным инструментом реализации полномочий муниципального района в части проведения социальной, финансовой политики является </w:t>
      </w:r>
      <w:r>
        <w:rPr>
          <w:rFonts w:cs="yandex-sans;Times New Roman" w:ascii="yandex-sans;Times New Roman" w:hAnsi="yandex-sans;Times New Roman"/>
          <w:b/>
          <w:color w:val="000000"/>
          <w:sz w:val="28"/>
          <w:szCs w:val="28"/>
        </w:rPr>
        <w:t>бюджет муниципального района</w:t>
      </w:r>
      <w:r>
        <w:rPr>
          <w:rFonts w:cs="yandex-sans;Times New Roman" w:ascii="yandex-sans;Times New Roman" w:hAnsi="yandex-sans;Times New Roman"/>
          <w:color w:val="000000"/>
          <w:sz w:val="28"/>
          <w:szCs w:val="28"/>
        </w:rPr>
        <w:t xml:space="preserve">. </w:t>
      </w:r>
    </w:p>
    <w:p>
      <w:pPr>
        <w:pStyle w:val="Style32"/>
        <w:bidi w:val="0"/>
        <w:ind w:firstLine="567"/>
        <w:jc w:val="both"/>
        <w:rPr/>
      </w:pPr>
      <w:r>
        <w:rPr>
          <w:sz w:val="28"/>
          <w:szCs w:val="28"/>
        </w:rPr>
        <w:t xml:space="preserve">В 2019 году в консолидированный бюджет района поступили доходы в сумме </w:t>
      </w:r>
      <w:r>
        <w:rPr>
          <w:b/>
          <w:sz w:val="28"/>
          <w:szCs w:val="28"/>
        </w:rPr>
        <w:t>622 млн 900 тыс</w:t>
      </w:r>
      <w:r>
        <w:rPr>
          <w:sz w:val="28"/>
          <w:szCs w:val="28"/>
        </w:rPr>
        <w:t xml:space="preserve"> руб., что составило 100,3%  к  уточненному годовому плану. </w:t>
      </w:r>
    </w:p>
    <w:p>
      <w:pPr>
        <w:pStyle w:val="Style32"/>
        <w:bidi w:val="0"/>
        <w:ind w:firstLine="567"/>
        <w:jc w:val="both"/>
        <w:rPr/>
      </w:pPr>
      <w:r>
        <w:rPr>
          <w:sz w:val="28"/>
          <w:szCs w:val="28"/>
        </w:rPr>
        <w:t xml:space="preserve">Налоговые и неналоговые доходы получены в сумме </w:t>
      </w:r>
      <w:r>
        <w:rPr>
          <w:b/>
          <w:sz w:val="28"/>
          <w:szCs w:val="28"/>
        </w:rPr>
        <w:t>127 млн 600 тысяч</w:t>
      </w:r>
      <w:r>
        <w:rPr>
          <w:sz w:val="28"/>
          <w:szCs w:val="28"/>
        </w:rPr>
        <w:t xml:space="preserve"> руб., уточненный годовой план выполнен на 101,7%.</w:t>
      </w:r>
    </w:p>
    <w:p>
      <w:pPr>
        <w:pStyle w:val="Style32"/>
        <w:bidi w:val="0"/>
        <w:ind w:firstLine="567"/>
        <w:jc w:val="both"/>
        <w:rPr/>
      </w:pPr>
      <w:r>
        <w:rPr>
          <w:sz w:val="28"/>
          <w:szCs w:val="28"/>
        </w:rPr>
        <w:t xml:space="preserve">Расходы консолидированного бюджета за прошлый год исполнены в объеме </w:t>
      </w:r>
      <w:r>
        <w:rPr>
          <w:b/>
          <w:sz w:val="28"/>
          <w:szCs w:val="28"/>
        </w:rPr>
        <w:t>639 млн. 700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тысяч</w:t>
      </w:r>
      <w:r>
        <w:rPr>
          <w:sz w:val="28"/>
          <w:szCs w:val="28"/>
        </w:rPr>
        <w:t xml:space="preserve"> руб., что составляет 99,2% к годовому плану и превышает уровень расходов 2018 года на </w:t>
      </w:r>
      <w:r>
        <w:rPr>
          <w:b/>
          <w:sz w:val="28"/>
          <w:szCs w:val="28"/>
        </w:rPr>
        <w:t>63 с половиной млн</w:t>
      </w:r>
      <w:r>
        <w:rPr>
          <w:sz w:val="28"/>
          <w:szCs w:val="28"/>
        </w:rPr>
        <w:t xml:space="preserve"> руб. или на 11%. </w:t>
      </w:r>
    </w:p>
    <w:p>
      <w:pPr>
        <w:pStyle w:val="Style32"/>
        <w:bidi w:val="0"/>
        <w:ind w:firstLine="567"/>
        <w:jc w:val="both"/>
        <w:rPr/>
      </w:pPr>
      <w:r>
        <w:rPr>
          <w:sz w:val="28"/>
          <w:szCs w:val="28"/>
        </w:rPr>
        <w:t xml:space="preserve">Бюджет исполнен с превышением расходов над доходами в сумме </w:t>
      </w:r>
      <w:r>
        <w:rPr>
          <w:b/>
          <w:sz w:val="28"/>
          <w:szCs w:val="28"/>
        </w:rPr>
        <w:t xml:space="preserve"> 16 млн 800 тысяч </w:t>
      </w:r>
      <w:r>
        <w:rPr>
          <w:sz w:val="28"/>
          <w:szCs w:val="28"/>
        </w:rPr>
        <w:t>руб., источником  финансирования дефицита бюджета явились остатки денежных средств на счетах бюджета на 1 января 2019 года.</w:t>
      </w:r>
    </w:p>
    <w:p>
      <w:pPr>
        <w:pStyle w:val="Style32"/>
        <w:bidi w:val="0"/>
        <w:ind w:firstLine="567"/>
        <w:jc w:val="both"/>
        <w:rPr/>
      </w:pPr>
      <w:r>
        <w:rPr>
          <w:sz w:val="28"/>
          <w:szCs w:val="28"/>
        </w:rPr>
        <w:t xml:space="preserve">По прежнему сохраняется социальная направленность бюджета – расходы на образование, культуру, физическую культуру и спорт, социальную политику составили около 62% всех произведенных расходов. 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 xml:space="preserve">Бюджетные инвестиции по отраслям вы можете увидеть на слайде. 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 xml:space="preserve">На поддержку реального сектора  экономики из бюджета направлено </w:t>
      </w:r>
      <w:r>
        <w:rPr>
          <w:b/>
          <w:sz w:val="28"/>
          <w:szCs w:val="28"/>
        </w:rPr>
        <w:t xml:space="preserve">90 млн </w:t>
      </w:r>
      <w:r>
        <w:rPr>
          <w:sz w:val="28"/>
          <w:szCs w:val="28"/>
        </w:rPr>
        <w:t>рублей.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 xml:space="preserve">В три с половиной раза увеличились  расходы по отрасли «Дорожное хозяйство» и составили </w:t>
      </w:r>
      <w:r>
        <w:rPr>
          <w:b/>
          <w:sz w:val="28"/>
          <w:szCs w:val="28"/>
        </w:rPr>
        <w:t>42 млн. 700 тысяч</w:t>
      </w:r>
      <w:r>
        <w:rPr>
          <w:sz w:val="28"/>
          <w:szCs w:val="28"/>
        </w:rPr>
        <w:t xml:space="preserve"> рублей.</w:t>
      </w:r>
    </w:p>
    <w:p>
      <w:pPr>
        <w:pStyle w:val="Style32"/>
        <w:bidi w:val="0"/>
        <w:ind w:firstLine="708"/>
        <w:jc w:val="both"/>
        <w:rPr/>
      </w:pPr>
      <w:r>
        <w:rPr>
          <w:sz w:val="28"/>
          <w:szCs w:val="28"/>
        </w:rPr>
        <w:t xml:space="preserve">Расходы  на жилищно-коммунальное хозяйство за прошлый год составили  </w:t>
      </w:r>
      <w:r>
        <w:rPr>
          <w:b/>
          <w:sz w:val="28"/>
          <w:szCs w:val="28"/>
        </w:rPr>
        <w:t xml:space="preserve">75 млн 900 тысяч </w:t>
      </w:r>
      <w:r>
        <w:rPr>
          <w:sz w:val="28"/>
          <w:szCs w:val="28"/>
        </w:rPr>
        <w:t>рублей.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  В 2019 году реализованы два крупных инвестпроекта с участием областных и федеральных средств, это:</w:t>
      </w:r>
    </w:p>
    <w:p>
      <w:pPr>
        <w:pStyle w:val="Style32"/>
        <w:bidi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строительство внутриквартальных сетей канализации в п. Шаранга; и </w:t>
      </w:r>
    </w:p>
    <w:p>
      <w:pPr>
        <w:pStyle w:val="Style32"/>
        <w:bidi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строительство водопровода в с. Б-Устинское.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Финансирование расходов в 2019 году осуществлялось на основе сводной бюджетной росписи районного бюджета и кассового плана.</w:t>
      </w:r>
    </w:p>
    <w:p>
      <w:pPr>
        <w:pStyle w:val="Style32"/>
        <w:bidi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течение отчетного года кредиторская задолженность по выплате заработной платы работникам муниципальных учреждений отсутствовала.</w:t>
      </w:r>
    </w:p>
    <w:p>
      <w:pPr>
        <w:pStyle w:val="Style32"/>
        <w:bidi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Процесс исполнения бюджета организован в соответствии с Бюджетным кодексом Российской Федерации и законодательством Нижегородской области, соблюдены ограничения по размеру дефицита бюджета, по расходам на содержание органов местного самоуправления.</w:t>
      </w:r>
    </w:p>
    <w:p>
      <w:pPr>
        <w:pStyle w:val="Style32"/>
        <w:bidi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Муниципальный долг и просроченная кредиторская задолженность    на конец 2019 года отсутствуют.        </w:t>
      </w:r>
    </w:p>
    <w:p>
      <w:pPr>
        <w:pStyle w:val="Style32"/>
        <w:bidi w:val="0"/>
        <w:ind w:firstLine="567"/>
        <w:jc w:val="center"/>
        <w:rPr/>
      </w:pPr>
      <w:r>
        <w:rPr>
          <w:b/>
          <w:sz w:val="28"/>
          <w:szCs w:val="28"/>
        </w:rPr>
        <w:t>Основные задачи на 2020 год</w:t>
      </w:r>
      <w:r>
        <w:rPr>
          <w:sz w:val="28"/>
          <w:szCs w:val="28"/>
        </w:rPr>
        <w:t>:</w:t>
      </w:r>
    </w:p>
    <w:p>
      <w:pPr>
        <w:pStyle w:val="Style32"/>
        <w:numPr>
          <w:ilvl w:val="0"/>
          <w:numId w:val="7"/>
        </w:numPr>
        <w:bidi w:val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Обеспечение поступления налоговых и неналоговых доходов в запланированном объеме. </w:t>
      </w:r>
    </w:p>
    <w:p>
      <w:pPr>
        <w:pStyle w:val="Style32"/>
        <w:numPr>
          <w:ilvl w:val="0"/>
          <w:numId w:val="7"/>
        </w:numPr>
        <w:bidi w:val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Концентрация финансовых ресурсов на приоритетных направлениях деятельности.</w:t>
      </w:r>
    </w:p>
    <w:p>
      <w:pPr>
        <w:pStyle w:val="Style32"/>
        <w:numPr>
          <w:ilvl w:val="0"/>
          <w:numId w:val="7"/>
        </w:numPr>
        <w:bidi w:val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Контроль за эффективным, правомерным и целевым расходованием бюджетных средств.</w:t>
      </w:r>
    </w:p>
    <w:p>
      <w:pPr>
        <w:pStyle w:val="Style32"/>
        <w:bidi w:val="0"/>
        <w:ind w:left="360" w:hanging="0"/>
        <w:jc w:val="both"/>
        <w:rPr>
          <w:sz w:val="8"/>
          <w:szCs w:val="28"/>
        </w:rPr>
      </w:pPr>
      <w:r>
        <w:rPr>
          <w:sz w:val="8"/>
          <w:szCs w:val="28"/>
        </w:rPr>
      </w:r>
    </w:p>
    <w:p>
      <w:pPr>
        <w:pStyle w:val="Normal"/>
        <w:ind w:firstLine="567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Управление образования и молодежной политики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 xml:space="preserve">Сеть муниципальных образовательных организаций в 2019 году состояла из двадцати пяти учреждений, это: 9 школ, 14 детских садов и 2 учреждения дополнительного образования. 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Расходы на содержание и развитие отрасли образование в 2019 году составили </w:t>
      </w:r>
      <w:r>
        <w:rPr>
          <w:b/>
          <w:sz w:val="28"/>
          <w:szCs w:val="28"/>
        </w:rPr>
        <w:t>41%</w:t>
      </w:r>
      <w:r>
        <w:rPr>
          <w:sz w:val="28"/>
          <w:szCs w:val="28"/>
        </w:rPr>
        <w:t xml:space="preserve"> консолидированного бюджета Шарангского муниципального района или </w:t>
      </w:r>
      <w:r>
        <w:rPr>
          <w:b/>
          <w:sz w:val="28"/>
          <w:szCs w:val="28"/>
        </w:rPr>
        <w:t>262</w:t>
      </w:r>
      <w:r>
        <w:rPr>
          <w:b/>
          <w:sz w:val="28"/>
          <w:szCs w:val="28"/>
          <w:shd w:fill="FFFFFF" w:val="clear"/>
        </w:rPr>
        <w:t xml:space="preserve"> млн 400 тыс  </w:t>
      </w:r>
      <w:r>
        <w:rPr>
          <w:sz w:val="28"/>
          <w:szCs w:val="28"/>
          <w:shd w:fill="FFFFFF" w:val="clear"/>
        </w:rPr>
        <w:t>рублей</w:t>
      </w:r>
      <w:r>
        <w:rPr>
          <w:sz w:val="28"/>
          <w:szCs w:val="28"/>
        </w:rPr>
        <w:t xml:space="preserve">, фактическое исполнение составило </w:t>
      </w:r>
      <w:r>
        <w:rPr>
          <w:b/>
          <w:sz w:val="28"/>
          <w:szCs w:val="28"/>
        </w:rPr>
        <w:t>261 млн. 500 тыс.</w:t>
      </w:r>
      <w:r>
        <w:rPr>
          <w:sz w:val="28"/>
          <w:szCs w:val="28"/>
        </w:rPr>
        <w:t xml:space="preserve"> рублей или  99,7%.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Основная часть расходов бюджета пришлась на выплату заработной платы работникам учреждений образования. Среднемесячная заработная плата педагогических работников в 2019 году составила </w:t>
      </w:r>
      <w:r>
        <w:rPr>
          <w:b/>
          <w:sz w:val="28"/>
          <w:szCs w:val="28"/>
        </w:rPr>
        <w:t>31 тыс 320</w:t>
      </w:r>
      <w:r>
        <w:rPr>
          <w:sz w:val="28"/>
          <w:szCs w:val="28"/>
        </w:rPr>
        <w:t xml:space="preserve"> руб.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>По итогам 2019 года  доля педагогических работников, имеющих высшую квалификационную категорию, составила 29,2%, доля аттестованных педагогических работников – 89,6%. По данному показателю Шарангский район занимает 5 место в Нижегородской области.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отчетном году на базе Роженцовской средней школы  с целью развития дополнительного образования в части технического творчества открыт Центр гуманитарного и технического профилей «Точка роста».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Одним из важнейших показателей качества образования служат результаты государственной итоговой аттестации учащихся. Следует сказать, что эти р</w:t>
      </w:r>
      <w:r>
        <w:rPr>
          <w:color w:val="000000"/>
          <w:sz w:val="28"/>
          <w:szCs w:val="28"/>
        </w:rPr>
        <w:t xml:space="preserve">езультаты в 2019 году - самые высокие за последние 5 лет. Все выпускники 2019 года получили аттестаты о среднем и общем образовании, 5 выпускников 9-х классов получили аттестат с отличием и 4 выпускника 11-х классов удостоены медалями </w:t>
      </w:r>
      <w:r>
        <w:rPr>
          <w:sz w:val="28"/>
          <w:szCs w:val="28"/>
        </w:rPr>
        <w:t>«За особые успехи в учении».</w:t>
      </w:r>
    </w:p>
    <w:p>
      <w:pPr>
        <w:pStyle w:val="Normal"/>
        <w:pBdr>
          <w:bottom w:val="single" w:sz="12" w:space="1" w:color="000000"/>
        </w:pBdr>
        <w:tabs>
          <w:tab w:val="clear" w:pos="720"/>
          <w:tab w:val="left" w:pos="1134" w:leader="none"/>
        </w:tabs>
        <w:ind w:firstLine="567"/>
        <w:jc w:val="both"/>
        <w:rPr/>
      </w:pPr>
      <w:r>
        <w:rPr>
          <w:b/>
          <w:sz w:val="28"/>
          <w:szCs w:val="28"/>
        </w:rPr>
        <w:t>В 2020 году приоритетными задачами</w:t>
      </w:r>
      <w:r>
        <w:rPr>
          <w:sz w:val="28"/>
          <w:szCs w:val="28"/>
        </w:rPr>
        <w:t xml:space="preserve"> системы образования района являются:</w:t>
      </w:r>
    </w:p>
    <w:p>
      <w:pPr>
        <w:pStyle w:val="Normal"/>
        <w:pBdr>
          <w:bottom w:val="single" w:sz="12" w:space="1" w:color="000000"/>
        </w:pBdr>
        <w:tabs>
          <w:tab w:val="clear" w:pos="720"/>
          <w:tab w:val="left" w:pos="1134" w:leader="none"/>
        </w:tabs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повышение качества образовательных услуг; </w:t>
      </w:r>
    </w:p>
    <w:p>
      <w:pPr>
        <w:pStyle w:val="Normal"/>
        <w:pBdr>
          <w:bottom w:val="single" w:sz="12" w:space="1" w:color="000000"/>
        </w:pBdr>
        <w:tabs>
          <w:tab w:val="clear" w:pos="720"/>
          <w:tab w:val="left" w:pos="1134" w:leader="none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интеграция дополнительного и общего образования; </w:t>
      </w:r>
    </w:p>
    <w:p>
      <w:pPr>
        <w:pStyle w:val="Normal"/>
        <w:pBdr>
          <w:bottom w:val="single" w:sz="12" w:space="1" w:color="000000"/>
        </w:pBdr>
        <w:tabs>
          <w:tab w:val="clear" w:pos="720"/>
          <w:tab w:val="left" w:pos="1134" w:leader="none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совершенствование ситемы школьного питания; </w:t>
      </w:r>
    </w:p>
    <w:p>
      <w:pPr>
        <w:pStyle w:val="Normal"/>
        <w:pBdr>
          <w:bottom w:val="single" w:sz="12" w:space="1" w:color="000000"/>
        </w:pBdr>
        <w:tabs>
          <w:tab w:val="clear" w:pos="720"/>
          <w:tab w:val="left" w:pos="1134" w:leader="none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развитие кадрового потенциала образовательных организаций путём привлечения молодых специалистов. </w:t>
      </w:r>
    </w:p>
    <w:p>
      <w:pPr>
        <w:pStyle w:val="Normal"/>
        <w:pBdr>
          <w:bottom w:val="single" w:sz="12" w:space="1" w:color="000000"/>
        </w:pBdr>
        <w:tabs>
          <w:tab w:val="clear" w:pos="720"/>
          <w:tab w:val="left" w:pos="1134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</w:p>
    <w:p>
      <w:pPr>
        <w:pStyle w:val="Normal"/>
        <w:pBdr>
          <w:bottom w:val="single" w:sz="12" w:space="0" w:color="000000"/>
        </w:pBdr>
        <w:tabs>
          <w:tab w:val="clear" w:pos="720"/>
          <w:tab w:val="left" w:pos="8925" w:leader="none"/>
        </w:tabs>
        <w:ind w:firstLine="567"/>
        <w:jc w:val="both"/>
        <w:rPr/>
      </w:pPr>
      <w:r>
        <w:rPr>
          <w:sz w:val="28"/>
          <w:szCs w:val="28"/>
        </w:rPr>
        <w:t xml:space="preserve">В филиале </w:t>
      </w:r>
      <w:r>
        <w:rPr>
          <w:b/>
          <w:sz w:val="28"/>
          <w:szCs w:val="28"/>
        </w:rPr>
        <w:t>Шахунского колледжа аграрной индустрии</w:t>
      </w:r>
      <w:r>
        <w:rPr>
          <w:sz w:val="28"/>
          <w:szCs w:val="28"/>
        </w:rPr>
        <w:t xml:space="preserve"> с 1 сентября 2019 года обучается  246 человек  по следующим профессиям:</w:t>
      </w:r>
    </w:p>
    <w:p>
      <w:pPr>
        <w:pStyle w:val="Style31"/>
        <w:numPr>
          <w:ilvl w:val="0"/>
          <w:numId w:val="3"/>
        </w:numPr>
        <w:spacing w:lineRule="auto" w:line="240" w:before="0" w:after="0"/>
        <w:ind w:left="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Мастер сельскохозяйственного производства </w:t>
      </w:r>
    </w:p>
    <w:p>
      <w:pPr>
        <w:pStyle w:val="Style31"/>
        <w:numPr>
          <w:ilvl w:val="0"/>
          <w:numId w:val="3"/>
        </w:numPr>
        <w:spacing w:lineRule="auto" w:line="240" w:before="0" w:after="0"/>
        <w:ind w:left="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Станочник деревообрабатывающих станков</w:t>
      </w:r>
    </w:p>
    <w:p>
      <w:pPr>
        <w:pStyle w:val="Style31"/>
        <w:numPr>
          <w:ilvl w:val="0"/>
          <w:numId w:val="3"/>
        </w:numPr>
        <w:spacing w:lineRule="auto" w:line="240" w:before="0" w:after="0"/>
        <w:ind w:left="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Экономика и бухгалтерский учет </w:t>
      </w:r>
    </w:p>
    <w:p>
      <w:pPr>
        <w:pStyle w:val="Style31"/>
        <w:numPr>
          <w:ilvl w:val="0"/>
          <w:numId w:val="3"/>
        </w:numPr>
        <w:spacing w:lineRule="auto" w:line="240" w:before="0" w:after="0"/>
        <w:ind w:left="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Тракторист-машинист</w:t>
      </w:r>
    </w:p>
    <w:p>
      <w:pPr>
        <w:pStyle w:val="Style31"/>
        <w:numPr>
          <w:ilvl w:val="0"/>
          <w:numId w:val="3"/>
        </w:numPr>
        <w:spacing w:lineRule="auto" w:line="240" w:before="0" w:after="0"/>
        <w:ind w:left="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Управляющий сельской усадьбы </w:t>
      </w:r>
    </w:p>
    <w:p>
      <w:pPr>
        <w:pStyle w:val="Style31"/>
        <w:numPr>
          <w:ilvl w:val="0"/>
          <w:numId w:val="3"/>
        </w:numPr>
        <w:spacing w:lineRule="auto" w:line="240" w:before="0" w:after="0"/>
        <w:ind w:left="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Технолог продукции общественного питания </w:t>
      </w:r>
    </w:p>
    <w:p>
      <w:pPr>
        <w:pStyle w:val="Style31"/>
        <w:numPr>
          <w:ilvl w:val="0"/>
          <w:numId w:val="3"/>
        </w:numPr>
        <w:spacing w:lineRule="auto" w:line="240" w:before="0" w:after="0"/>
        <w:ind w:left="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Социальная работа </w:t>
      </w:r>
    </w:p>
    <w:p>
      <w:pPr>
        <w:pStyle w:val="Style31"/>
        <w:spacing w:lineRule="auto" w:line="240"/>
        <w:ind w:left="567"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 последним двум профессиям обучение ведется на очном и заочном отделениях</w:t>
      </w:r>
    </w:p>
    <w:p>
      <w:pPr>
        <w:pStyle w:val="Style31"/>
        <w:numPr>
          <w:ilvl w:val="0"/>
          <w:numId w:val="3"/>
        </w:numPr>
        <w:spacing w:lineRule="auto" w:line="240" w:before="0" w:after="0"/>
        <w:ind w:left="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(заочное отделение) Механизация сельского хозяйства.</w:t>
      </w:r>
    </w:p>
    <w:p>
      <w:pPr>
        <w:pStyle w:val="Style31"/>
        <w:spacing w:lineRule="auto" w:line="240"/>
        <w:ind w:left="567"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 очном отделении обучается  170 человек, на заочном – 76.</w:t>
      </w:r>
    </w:p>
    <w:p>
      <w:pPr>
        <w:pStyle w:val="Normal"/>
        <w:ind w:firstLine="567"/>
        <w:jc w:val="both"/>
        <w:rPr>
          <w:sz w:val="28"/>
          <w:szCs w:val="28"/>
          <w:highlight w:val="yellow"/>
        </w:rPr>
      </w:pPr>
      <w:r>
        <w:rPr>
          <w:sz w:val="28"/>
          <w:szCs w:val="28"/>
        </w:rPr>
        <w:t xml:space="preserve">Кроме того, колледж  занимается подготовкой водителей категорий «В» и  «С», и трактористов категории «С». </w:t>
      </w:r>
    </w:p>
    <w:p>
      <w:pPr>
        <w:pStyle w:val="Style31"/>
        <w:spacing w:lineRule="auto" w:line="24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Основными </w:t>
      </w:r>
      <w:r>
        <w:rPr>
          <w:rFonts w:cs="Times New Roman" w:ascii="Times New Roman" w:hAnsi="Times New Roman"/>
          <w:b/>
          <w:sz w:val="28"/>
          <w:szCs w:val="28"/>
        </w:rPr>
        <w:t>задачами</w:t>
      </w:r>
      <w:r>
        <w:rPr>
          <w:rFonts w:cs="Times New Roman" w:ascii="Times New Roman" w:hAnsi="Times New Roman"/>
          <w:sz w:val="28"/>
          <w:szCs w:val="28"/>
        </w:rPr>
        <w:t xml:space="preserve">  профессионального образования района  </w:t>
      </w:r>
      <w:r>
        <w:rPr>
          <w:rFonts w:cs="Times New Roman" w:ascii="Times New Roman" w:hAnsi="Times New Roman"/>
          <w:b/>
          <w:sz w:val="28"/>
          <w:szCs w:val="28"/>
        </w:rPr>
        <w:t xml:space="preserve">на 2020 год  </w:t>
      </w:r>
      <w:r>
        <w:rPr>
          <w:rFonts w:cs="Times New Roman" w:ascii="Times New Roman" w:hAnsi="Times New Roman"/>
          <w:sz w:val="28"/>
          <w:szCs w:val="28"/>
        </w:rPr>
        <w:t>являются  сохранение контингента обучающихся, укрепление материально-технической базы, цифровизация образовательного процесса, обновление кадрового состава.</w:t>
      </w:r>
    </w:p>
    <w:p>
      <w:pPr>
        <w:pStyle w:val="Normal"/>
        <w:spacing w:before="240" w:after="0"/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Здравоохранение </w:t>
      </w:r>
      <w:r>
        <w:rPr>
          <w:sz w:val="28"/>
          <w:szCs w:val="28"/>
        </w:rPr>
        <w:t>района представлено стационаром на 78 коек, поликлиникой на 250 посещений в смену, в которой ведется прием по 16 врачебным должностям, 17 ФАП.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>Всего в здравоохранении работают 219 человек, в том числе: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 xml:space="preserve">23 врача 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 xml:space="preserve">108 специалистов со средним медицинским  образованием. 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К сожалению, учреждения  здравоохранения района  по прежнему испытывают острую нехватку врачей: терапевтов, хирурга, фтизиатра, психиатра, окулиста, стоматолога. Также имеется кадровый дефицит специалистов со средним медицинским образованием, особенно среди медсестер и фельдшеров ФАП.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 есть и положительные моменты: в 2019 году на работу приняты  педиатр, биолог  и лаборант КДЛ, 4 медсестры и 1 фельдшер скорой медицинской помощи. </w:t>
      </w:r>
    </w:p>
    <w:p>
      <w:pPr>
        <w:pStyle w:val="Normal"/>
        <w:ind w:firstLine="567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Задачи на 2020 год:</w:t>
      </w:r>
    </w:p>
    <w:p>
      <w:pPr>
        <w:pStyle w:val="Normal"/>
        <w:numPr>
          <w:ilvl w:val="0"/>
          <w:numId w:val="2"/>
        </w:numPr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Привлечение специалистов по недостающим направлениям. </w:t>
      </w:r>
    </w:p>
    <w:p>
      <w:pPr>
        <w:pStyle w:val="Normal"/>
        <w:numPr>
          <w:ilvl w:val="0"/>
          <w:numId w:val="2"/>
        </w:numPr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Сохранение структуры здравоохранения района.</w:t>
      </w:r>
    </w:p>
    <w:p>
      <w:pPr>
        <w:pStyle w:val="Normal"/>
        <w:numPr>
          <w:ilvl w:val="0"/>
          <w:numId w:val="2"/>
        </w:numPr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Сохранение коечного фонда.</w:t>
      </w:r>
    </w:p>
    <w:p>
      <w:pPr>
        <w:pStyle w:val="Normal"/>
        <w:spacing w:before="240" w:after="0"/>
        <w:ind w:firstLine="567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before="240" w:after="0"/>
        <w:ind w:firstLine="567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Культура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>В ведомстве отдела культуры Администрации района находится один районный и 10 сельских Домов культуры, два сельских клуба,  центральная, детская и 11 сельских библиотек, краеведческий  музей и одно учреждение дополнительного образования детей – Шарангская детская школа искусств.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2019 году учреждениями культуры было проведено </w:t>
      </w:r>
      <w:r>
        <w:rPr>
          <w:b/>
          <w:sz w:val="28"/>
          <w:szCs w:val="28"/>
        </w:rPr>
        <w:t xml:space="preserve">4 тыс  761 мероприятие,  </w:t>
      </w:r>
      <w:r>
        <w:rPr>
          <w:sz w:val="28"/>
          <w:szCs w:val="28"/>
        </w:rPr>
        <w:t xml:space="preserve">которое посетили  </w:t>
      </w:r>
      <w:r>
        <w:rPr>
          <w:b/>
          <w:sz w:val="28"/>
          <w:szCs w:val="28"/>
        </w:rPr>
        <w:t>171 тыс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655</w:t>
      </w:r>
      <w:r>
        <w:rPr>
          <w:sz w:val="28"/>
          <w:szCs w:val="28"/>
        </w:rPr>
        <w:t xml:space="preserve"> человек, что на 2 тыс 385 чел больше уровня 2018 года.</w:t>
      </w:r>
      <w:r>
        <w:rPr>
          <w:color w:val="FF0000"/>
          <w:sz w:val="28"/>
          <w:szCs w:val="28"/>
        </w:rPr>
        <w:t xml:space="preserve"> </w:t>
      </w:r>
    </w:p>
    <w:p>
      <w:pPr>
        <w:pStyle w:val="Style33"/>
        <w:spacing w:before="0" w:after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итогам года всеми учреждениями культуры был получен доход в размере </w:t>
      </w:r>
      <w:r>
        <w:rPr>
          <w:b/>
          <w:sz w:val="28"/>
          <w:szCs w:val="28"/>
        </w:rPr>
        <w:t>2 млн. 573 тыс</w:t>
      </w:r>
      <w:r>
        <w:rPr>
          <w:sz w:val="28"/>
          <w:szCs w:val="28"/>
        </w:rPr>
        <w:t xml:space="preserve">. рублей. 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 xml:space="preserve">Средняя зарплата работников муниципальных учреждений культуры  составила   31 тыс. 264 руб., педагогов ДШИ – 32 тыс 804 руб. </w:t>
      </w:r>
    </w:p>
    <w:p>
      <w:pPr>
        <w:pStyle w:val="Style33"/>
        <w:spacing w:before="0" w:after="0"/>
        <w:ind w:firstLine="567"/>
        <w:jc w:val="both"/>
        <w:rPr/>
      </w:pPr>
      <w:r>
        <w:rPr>
          <w:sz w:val="28"/>
          <w:szCs w:val="28"/>
        </w:rPr>
        <w:t>2019  год для учреждений культуры прошёл достаточно успешно. Основные задачи, поставленные перед учреждениями культуры, выполнены.</w:t>
      </w:r>
    </w:p>
    <w:p>
      <w:pPr>
        <w:pStyle w:val="Style33"/>
        <w:spacing w:before="0" w:after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 уверенностью можно сказать, что Шарангский район стал одним из самых «театральных» районов Нижегородской области. В 2019 году на сцене районного Дома культуры зрителю были представлены пять авторских театральных постановок. Создан театр мод «Art Deko». Успешно реализована интерактивная выставочно-познавательная программа «Театр глазами детей».  Следует отметить победу молодёжной арт-студии «Start Up» Шарангского РДК в региональном этапе Окружного фестиваля школьных и студенческих театральных коллективов «Театральное Приволжье». В Шестом Областном фестивале-конкурсе театральных коллективов и художественного слова «Весь мир-театр» коллектив стал дипломантом 3й степени.</w:t>
      </w:r>
    </w:p>
    <w:p>
      <w:pPr>
        <w:pStyle w:val="Normal"/>
        <w:ind w:firstLine="567"/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Основными задачами для учреждений культуры на 2020 год являются:</w:t>
      </w:r>
    </w:p>
    <w:p>
      <w:pPr>
        <w:pStyle w:val="WW1"/>
        <w:numPr>
          <w:ilvl w:val="0"/>
          <w:numId w:val="6"/>
        </w:numPr>
        <w:tabs>
          <w:tab w:val="clear" w:pos="708"/>
          <w:tab w:val="left" w:pos="0" w:leader="none"/>
        </w:tabs>
        <w:bidi w:val="0"/>
        <w:spacing w:lineRule="auto" w:line="240" w:before="0" w:after="0"/>
        <w:ind w:left="0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Участие в программах по капитальным, текущим ремонтам и материально-техническому обеспечению Шарангского РДК. </w:t>
      </w:r>
    </w:p>
    <w:p>
      <w:pPr>
        <w:pStyle w:val="WW1"/>
        <w:numPr>
          <w:ilvl w:val="0"/>
          <w:numId w:val="6"/>
        </w:numPr>
        <w:tabs>
          <w:tab w:val="clear" w:pos="708"/>
          <w:tab w:val="left" w:pos="0" w:leader="none"/>
        </w:tabs>
        <w:bidi w:val="0"/>
        <w:spacing w:lineRule="auto" w:line="240" w:before="0" w:after="0"/>
        <w:ind w:left="0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Включение в национальный проект «Культура» и выполнение его показателей.</w:t>
      </w:r>
    </w:p>
    <w:p>
      <w:pPr>
        <w:pStyle w:val="WW1"/>
        <w:numPr>
          <w:ilvl w:val="0"/>
          <w:numId w:val="6"/>
        </w:numPr>
        <w:tabs>
          <w:tab w:val="clear" w:pos="708"/>
          <w:tab w:val="left" w:pos="0" w:leader="none"/>
        </w:tabs>
        <w:bidi w:val="0"/>
        <w:spacing w:lineRule="auto" w:line="240" w:before="0" w:after="0"/>
        <w:ind w:left="0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учреждений культуры в грантовых конкурсах и социальных проектах.</w:t>
      </w:r>
    </w:p>
    <w:p>
      <w:pPr>
        <w:pStyle w:val="WW1"/>
        <w:numPr>
          <w:ilvl w:val="0"/>
          <w:numId w:val="6"/>
        </w:numPr>
        <w:tabs>
          <w:tab w:val="clear" w:pos="708"/>
          <w:tab w:val="left" w:pos="0" w:leader="none"/>
          <w:tab w:val="left" w:pos="45" w:leader="none"/>
          <w:tab w:val="left" w:pos="90" w:leader="none"/>
        </w:tabs>
        <w:bidi w:val="0"/>
        <w:spacing w:lineRule="auto" w:line="240" w:before="0" w:after="0"/>
        <w:ind w:left="0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Внедрение новых по идее, форме и содержанию мероприятий.</w:t>
      </w:r>
    </w:p>
    <w:p>
      <w:pPr>
        <w:pStyle w:val="Normal"/>
        <w:ind w:firstLine="567"/>
        <w:jc w:val="both"/>
        <w:rPr>
          <w:b/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</w:r>
    </w:p>
    <w:p>
      <w:pPr>
        <w:pStyle w:val="Normal"/>
        <w:ind w:firstLine="567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Сельское хозяйство</w:t>
      </w:r>
    </w:p>
    <w:p>
      <w:pPr>
        <w:pStyle w:val="Normal"/>
        <w:tabs>
          <w:tab w:val="clear" w:pos="720"/>
          <w:tab w:val="left" w:pos="851" w:leader="none"/>
        </w:tabs>
        <w:ind w:firstLine="567"/>
        <w:jc w:val="both"/>
        <w:rPr/>
      </w:pPr>
      <w:r>
        <w:rPr>
          <w:sz w:val="28"/>
          <w:szCs w:val="28"/>
        </w:rPr>
        <w:t>По состоянию на 01 января 2020 г. в нашем районе  производством  сельхозпродукции заняты - 5  сельхозпредприятий, 20 крестьянских (фермерских) хозяйств  и более 5 тысяч личных подсобных хозяйств.</w:t>
      </w:r>
      <w:r>
        <w:rPr>
          <w:sz w:val="24"/>
          <w:szCs w:val="24"/>
          <w:u w:val="single"/>
        </w:rPr>
        <w:t xml:space="preserve"> 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Результаты деятельности в сфере производства сельхозпродукции за отчетный период следующие:</w:t>
      </w:r>
    </w:p>
    <w:p>
      <w:pPr>
        <w:pStyle w:val="Normal"/>
        <w:ind w:firstLine="708"/>
        <w:jc w:val="both"/>
        <w:rPr>
          <w:i/>
          <w:i/>
          <w:sz w:val="28"/>
          <w:szCs w:val="28"/>
        </w:rPr>
      </w:pPr>
      <w:r>
        <w:rPr>
          <w:color w:val="000000"/>
          <w:sz w:val="28"/>
          <w:szCs w:val="28"/>
        </w:rPr>
        <w:t xml:space="preserve">Поголовье крупного рогатого скота в сельхозпредприятиях и фермерских хозяйствах  на конец отчетного года по сравнению с 2018 годом увеличилось на одну тысячу  500 голов и составило 5 тысяч 625 голов, из них  </w:t>
      </w:r>
      <w:r>
        <w:rPr>
          <w:sz w:val="28"/>
          <w:szCs w:val="28"/>
        </w:rPr>
        <w:t xml:space="preserve">поголовье коров увеличилось на 600 голов.  Это произошло за счет увеличения численности коров  мясной продуктивности  в обществе «Союз». В декабре прошлого года комплекс вышел на проектную мощность. В хозяйстве содержатся  одна тысяча двести  коров мясной продуктивности. Кроме того, в нашем районе вновь зарегистрировались и ведут деятельность по откорму КРС  3 фермерских хозяйства. В районе также реализуется крупный проект по организации откормочной площадки на 1200 голов в фермерском хозяйстве Павла Леонидовича Ефремова.  </w:t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/>
      </w:pPr>
      <w:r>
        <w:rPr>
          <w:sz w:val="28"/>
          <w:szCs w:val="28"/>
        </w:rPr>
        <w:t>За 2019 год  в сельхозпредприятиях  и  КФХ произведено молока на 756 тонн больше по сравнению с 2018 годом  (всего произведено - 5 тысяч 351 тонна)</w:t>
      </w:r>
      <w:r>
        <w:rPr/>
        <w:t>,</w:t>
      </w:r>
      <w:r>
        <w:rPr>
          <w:sz w:val="28"/>
          <w:szCs w:val="28"/>
        </w:rPr>
        <w:t xml:space="preserve"> в том числе в сельхозпредприятиях производство молока увеличилось на 533 тонны, в фермерских хозяйствах на 200 тонн. </w:t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/>
      </w:pPr>
      <w:r>
        <w:rPr>
          <w:sz w:val="28"/>
          <w:szCs w:val="28"/>
        </w:rPr>
        <w:t>Лидерами по увеличению производства молока в нашем районе являются агропромышленная компания  «Поздеево» (увеличили производство  на 209 тонн), общества «Новый век» (на 173 тонны), «Возрождение» (на 36 тонн), «Союз» (на 203 тонны), а также  хозяйства Олега Алексеевича Медведева (на  61 тонну) и Александра Михайловича Бахтина (на 125 тонн).</w:t>
      </w:r>
    </w:p>
    <w:p>
      <w:pPr>
        <w:pStyle w:val="Normal"/>
        <w:ind w:firstLine="708"/>
        <w:jc w:val="both"/>
        <w:rPr/>
      </w:pPr>
      <w:r>
        <w:rPr>
          <w:sz w:val="28"/>
          <w:szCs w:val="28"/>
        </w:rPr>
        <w:t>Молочная продуктивность увеличилась на 622 кг и составила – 4 тысячи 662 кг.  Самых высоких показателей по надою молока на одну корову  достигли в обществах «Новый век» – 5 тонн 106 кг и  «Поздеево» - 4 тонны 918 кг.</w:t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Реализовано  молока, по всем категориям хозяйств  – 4 тысячи 927 тонн или на 753 тонны больше 2018 года.</w:t>
      </w:r>
    </w:p>
    <w:p>
      <w:pPr>
        <w:pStyle w:val="Normal"/>
        <w:tabs>
          <w:tab w:val="clear" w:pos="720"/>
          <w:tab w:val="left" w:pos="0" w:leader="none"/>
        </w:tabs>
        <w:ind w:firstLine="567"/>
        <w:jc w:val="both"/>
        <w:rPr>
          <w:i/>
          <w:i/>
          <w:sz w:val="28"/>
          <w:szCs w:val="28"/>
        </w:rPr>
      </w:pPr>
      <w:r>
        <w:rPr>
          <w:i/>
          <w:sz w:val="24"/>
          <w:szCs w:val="24"/>
        </w:rPr>
        <w:t xml:space="preserve"> </w:t>
      </w:r>
      <w:r>
        <w:rPr>
          <w:sz w:val="28"/>
          <w:szCs w:val="28"/>
        </w:rPr>
        <w:t>Посевная площадь под сельскохозяйственными культурами составила 23 тысячи 568 гектаров (на уровне предыдущего года).</w:t>
      </w:r>
    </w:p>
    <w:p>
      <w:pPr>
        <w:pStyle w:val="Normal"/>
        <w:jc w:val="both"/>
        <w:rPr/>
      </w:pPr>
      <w:r>
        <w:rPr>
          <w:sz w:val="24"/>
          <w:szCs w:val="24"/>
        </w:rPr>
        <w:t xml:space="preserve">          </w:t>
      </w:r>
      <w:r>
        <w:rPr>
          <w:sz w:val="28"/>
          <w:szCs w:val="28"/>
        </w:rPr>
        <w:t xml:space="preserve">Валовый сбор зерна в прошлом году составил  11 тысяч 476 тонн, при средней урожайности – 17 центнеров с гектара. Самая высокая урожайность была достигнута в обществе «Возрождение» – 19 центнеров с гектара. </w:t>
      </w:r>
    </w:p>
    <w:p>
      <w:pPr>
        <w:pStyle w:val="Normal"/>
        <w:tabs>
          <w:tab w:val="clear" w:pos="720"/>
          <w:tab w:val="left" w:pos="709" w:leader="none"/>
        </w:tabs>
        <w:ind w:firstLine="567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Лен был посеян на площади 940 гектаров или на 40 гектаров больше. На 253 тонны увеличился валовой сбор льноволокна и составил   956 тонн.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Лидером по производству льна в районе по-прежнему является Общество «Союз»,  где посевная площадь под данной культурой  составляет 400 гектаров.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 xml:space="preserve">Хочется отметить, что в </w:t>
      </w:r>
      <w:r>
        <w:rPr>
          <w:sz w:val="28"/>
          <w:szCs w:val="28"/>
          <w:shd w:fill="FFFFFF" w:val="clear"/>
        </w:rPr>
        <w:t>прошлом году значительно был обновлен парк сельскохозяйственной техники. Приобретены: два кормоуборочных и один зерноуборочный комбайны,  один трактор мощностью более 300 лошадиных сил с почвообрабатывающей техникой  и семь  тракторов марки МТЗ, а так же приобретена техника для сева и уборки льна – это три  льнокомбайна,  современный посевной комплекс, жатка для сбора семян льна и рулонные прессы.</w:t>
      </w:r>
    </w:p>
    <w:p>
      <w:pPr>
        <w:pStyle w:val="Normal"/>
        <w:shd w:fill="FFFFFF" w:val="clear"/>
        <w:jc w:val="both"/>
        <w:rPr/>
      </w:pPr>
      <w:r>
        <w:rPr>
          <w:sz w:val="24"/>
          <w:szCs w:val="24"/>
        </w:rPr>
        <w:t xml:space="preserve">         </w:t>
      </w:r>
      <w:r>
        <w:rPr>
          <w:sz w:val="28"/>
          <w:szCs w:val="28"/>
        </w:rPr>
        <w:t xml:space="preserve">Ежегодно хозяйства района участвуют  в   программах поддержки развития АПК.  </w:t>
      </w:r>
    </w:p>
    <w:p>
      <w:pPr>
        <w:pStyle w:val="Normal"/>
        <w:shd w:fill="FFFFFF" w:val="clear"/>
        <w:jc w:val="both"/>
        <w:rPr/>
      </w:pPr>
      <w:r>
        <w:rPr>
          <w:sz w:val="28"/>
          <w:szCs w:val="28"/>
        </w:rPr>
        <w:t xml:space="preserve">       </w:t>
      </w:r>
      <w:r>
        <w:rPr>
          <w:sz w:val="24"/>
          <w:szCs w:val="24"/>
        </w:rPr>
        <w:t xml:space="preserve"> </w:t>
      </w:r>
      <w:r>
        <w:rPr>
          <w:sz w:val="28"/>
          <w:szCs w:val="28"/>
        </w:rPr>
        <w:t xml:space="preserve">В основной капитал хозяйств  за отчетный период инвестировано    более </w:t>
      </w:r>
      <w:r>
        <w:rPr>
          <w:b/>
          <w:sz w:val="28"/>
          <w:szCs w:val="28"/>
        </w:rPr>
        <w:t>123 миллионов</w:t>
      </w:r>
      <w:r>
        <w:rPr>
          <w:sz w:val="28"/>
          <w:szCs w:val="28"/>
        </w:rPr>
        <w:t xml:space="preserve"> рублей.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  <w:shd w:fill="FFFFFF" w:val="clear"/>
        </w:rPr>
        <w:t xml:space="preserve">Общий объем выручки   от реализации продукции, товаров, работ, услуг  в общественном секторе АПК  по итогам 2019 составил  более  </w:t>
      </w:r>
      <w:r>
        <w:rPr>
          <w:b/>
          <w:sz w:val="28"/>
          <w:szCs w:val="28"/>
          <w:shd w:fill="FFFFFF" w:val="clear"/>
        </w:rPr>
        <w:t>ста шестидесяти пяти млн. руб</w:t>
      </w:r>
      <w:r>
        <w:rPr>
          <w:sz w:val="28"/>
          <w:szCs w:val="28"/>
          <w:shd w:fill="FFFFFF" w:val="clear"/>
        </w:rPr>
        <w:t>.</w:t>
      </w:r>
      <w:r>
        <w:rPr>
          <w:sz w:val="28"/>
          <w:szCs w:val="28"/>
        </w:rPr>
        <w:t xml:space="preserve">, в том числе от реализации продукции сельского хозяйства - около </w:t>
      </w:r>
      <w:r>
        <w:rPr>
          <w:b/>
          <w:sz w:val="28"/>
          <w:szCs w:val="28"/>
        </w:rPr>
        <w:t>163 млн</w:t>
      </w:r>
      <w:r>
        <w:rPr>
          <w:sz w:val="28"/>
          <w:szCs w:val="28"/>
        </w:rPr>
        <w:t xml:space="preserve">. руб. </w:t>
      </w:r>
    </w:p>
    <w:p>
      <w:pPr>
        <w:pStyle w:val="Normal"/>
        <w:tabs>
          <w:tab w:val="clear" w:pos="720"/>
          <w:tab w:val="left" w:pos="851" w:leader="none"/>
        </w:tabs>
        <w:ind w:firstLine="567"/>
        <w:jc w:val="both"/>
        <w:rPr/>
      </w:pPr>
      <w:r>
        <w:rPr>
          <w:sz w:val="28"/>
          <w:szCs w:val="28"/>
        </w:rPr>
        <w:t>Среднемесячная заработная плата в сельхозпредприятиях  в 2019 году составила  21 тысячу  335  рублей, что на 17 % больше уровня предыдущего года</w:t>
      </w:r>
    </w:p>
    <w:p>
      <w:pPr>
        <w:pStyle w:val="Normal"/>
        <w:spacing w:before="240" w:after="0"/>
        <w:ind w:firstLine="567"/>
        <w:jc w:val="both"/>
        <w:rPr/>
      </w:pPr>
      <w:r>
        <w:rPr>
          <w:b/>
          <w:sz w:val="28"/>
          <w:szCs w:val="28"/>
        </w:rPr>
        <w:t>На 2020 год перед агропромышленным комплексом нашего района ставятся следующие задачи:</w:t>
      </w:r>
    </w:p>
    <w:p>
      <w:pPr>
        <w:pStyle w:val="Normal"/>
        <w:numPr>
          <w:ilvl w:val="0"/>
          <w:numId w:val="5"/>
        </w:numPr>
        <w:autoSpaceDE w:val="false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Увеличить валовое производство молока, сохранить поголовье маточного стада, достичь показателей молочной продуктивности в целом по району – более 5000 кг.</w:t>
      </w:r>
    </w:p>
    <w:p>
      <w:pPr>
        <w:pStyle w:val="Normal"/>
        <w:numPr>
          <w:ilvl w:val="0"/>
          <w:numId w:val="5"/>
        </w:numPr>
        <w:autoSpaceDE w:val="false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Провести реконструкцию животноводческих объектов.</w:t>
      </w:r>
    </w:p>
    <w:p>
      <w:pPr>
        <w:pStyle w:val="Normal"/>
        <w:numPr>
          <w:ilvl w:val="0"/>
          <w:numId w:val="5"/>
        </w:numPr>
        <w:autoSpaceDE w:val="false"/>
        <w:ind w:left="0" w:firstLine="567"/>
        <w:jc w:val="both"/>
        <w:rPr/>
      </w:pPr>
      <w:r>
        <w:rPr>
          <w:sz w:val="28"/>
          <w:szCs w:val="28"/>
        </w:rPr>
        <w:t>Организовать работу завода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по переработке льна.</w:t>
      </w:r>
    </w:p>
    <w:p>
      <w:pPr>
        <w:pStyle w:val="Normal"/>
        <w:numPr>
          <w:ilvl w:val="0"/>
          <w:numId w:val="5"/>
        </w:numPr>
        <w:autoSpaceDE w:val="false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Организовать работу  убойного цеха и цеха по переработке мяса. </w:t>
      </w:r>
    </w:p>
    <w:p>
      <w:pPr>
        <w:pStyle w:val="Normal"/>
        <w:numPr>
          <w:ilvl w:val="0"/>
          <w:numId w:val="5"/>
        </w:numPr>
        <w:autoSpaceDE w:val="false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Активизировать  работу кооперативов по реализации сельскохозяйственной продукции.</w:t>
      </w:r>
    </w:p>
    <w:p>
      <w:pPr>
        <w:pStyle w:val="Normal"/>
        <w:ind w:firstLine="567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firstLine="567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ОКС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>В соответствии с утвержденными планами, программами по строительству, реконструкции, ремонту зданий, объектов инженерной, дорожной  и коммунальной инфраструктуры,  благоустройства территории населенных пунктов района в 2019 году выполнены следующие виды работ:</w:t>
      </w:r>
      <w:r>
        <w:rPr>
          <w:sz w:val="32"/>
          <w:szCs w:val="32"/>
        </w:rPr>
        <w:t xml:space="preserve"> </w:t>
      </w:r>
    </w:p>
    <w:p>
      <w:pPr>
        <w:pStyle w:val="Normal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В рамках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непрограммной части 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Адресной инвестиционной программы Нижегородской области на 2019 год за счет средств областного и местного бюджетов осуществлено строительство внутриквартальных (дворовых) сетей канализации в р.п. Шаранга сметной стоимостью 20 млн. 370тыс.рублей. </w:t>
      </w:r>
    </w:p>
    <w:p>
      <w:pPr>
        <w:pStyle w:val="Normal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В рамках национального проекта «Жилье и городская среда» по реализации государственной программы «Формирование современной городской среды на территории Нижегородской области на 2018-2022 годы» выполнены мероприятия по</w:t>
      </w:r>
      <w:r>
        <w:rPr>
          <w:rStyle w:val="FontStyle23"/>
          <w:sz w:val="28"/>
          <w:szCs w:val="28"/>
        </w:rPr>
        <w:t xml:space="preserve"> б</w:t>
      </w:r>
      <w:r>
        <w:rPr>
          <w:sz w:val="28"/>
          <w:szCs w:val="28"/>
        </w:rPr>
        <w:t>лагоустройству территории парка «Заречный» (2 очередь) сметной стоимостью – 4 млн. 974 тыс. руб. Источники финансирования: федеральный, областной и  местный бюджеты</w:t>
      </w:r>
    </w:p>
    <w:p>
      <w:pPr>
        <w:pStyle w:val="Normal"/>
        <w:shd w:fill="FAFAF5" w:val="clear"/>
        <w:spacing w:before="0" w:after="150"/>
        <w:jc w:val="both"/>
        <w:rPr/>
      </w:pPr>
      <w:r>
        <w:rPr>
          <w:rFonts w:eastAsia="Times New Roman"/>
          <w:sz w:val="28"/>
          <w:szCs w:val="28"/>
          <w:lang w:bidi="ru-RU"/>
        </w:rPr>
        <w:t xml:space="preserve">        </w:t>
      </w:r>
      <w:r>
        <w:rPr>
          <w:rFonts w:eastAsia="Courier New"/>
          <w:sz w:val="28"/>
          <w:szCs w:val="28"/>
          <w:lang w:bidi="ru-RU"/>
        </w:rPr>
        <w:t>Благодаря участию района в Государственной программе  «Чистая вода»  нацпроекта «Экология» в селе Большое Устинское выполнен первый этап строительства водопровода на сумму 13 млн. 496 тыс. рублей.  Работы будут продолжены и в 2020  году. Общая сметная стоимость проекта -  48 млн. 61 тыс. 589 рублей.</w:t>
      </w:r>
    </w:p>
    <w:p>
      <w:pPr>
        <w:pStyle w:val="Normal"/>
        <w:ind w:right="-1" w:firstLine="567"/>
        <w:jc w:val="both"/>
        <w:rPr>
          <w:rFonts w:eastAsia="Courier New"/>
          <w:sz w:val="28"/>
          <w:szCs w:val="28"/>
          <w:lang w:bidi="ru-RU"/>
        </w:rPr>
      </w:pPr>
      <w:r>
        <w:rPr>
          <w:rFonts w:eastAsia="Courier New"/>
          <w:sz w:val="28"/>
          <w:szCs w:val="28"/>
          <w:lang w:bidi="ru-RU"/>
        </w:rPr>
        <w:t>По программе «Развитие транспортной инфраструктуры Нижегородской области» в поселке были отремонтированы дороги на десяти улицах протяженностью около 5 с половиной км общей сметной стоимостью 32 млн. 417 тыс. рублей.</w:t>
      </w:r>
    </w:p>
    <w:p>
      <w:pPr>
        <w:pStyle w:val="Normal"/>
        <w:ind w:right="-1" w:firstLine="567"/>
        <w:jc w:val="both"/>
        <w:rPr/>
      </w:pPr>
      <w:r>
        <w:rPr>
          <w:sz w:val="28"/>
          <w:szCs w:val="28"/>
        </w:rPr>
        <w:t>Более 2-х млн. рублей в прошлом году было направлено на  ремонт объектов  бюджетной сферы, включая ремонт жилых помещений,  более 11-ти млн. рублей  израсходовано на  ремонт объектов сферы  образования, 840 тыс. рублей  - на  ремонт объектов сферы  культуры. На  ремонт объектов сферы  здравоохранения в 2019 году было направлено 927 тыс. 900 руб.</w:t>
      </w:r>
    </w:p>
    <w:p>
      <w:pPr>
        <w:pStyle w:val="Normal"/>
        <w:ind w:firstLine="567"/>
        <w:jc w:val="both"/>
        <w:rPr>
          <w:rFonts w:eastAsia="Courier New"/>
          <w:sz w:val="24"/>
          <w:szCs w:val="24"/>
          <w:lang w:bidi="ru-RU"/>
        </w:rPr>
      </w:pPr>
      <w:r>
        <w:rPr>
          <w:sz w:val="28"/>
          <w:szCs w:val="28"/>
        </w:rPr>
        <w:t>Более трех с половиной  млн. рублей  в отчетном году было направлено на  благоустройство территорий  населенных пунктов: села Роженцово и рабочего поселка Шаранга.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rFonts w:eastAsia="Courier New"/>
          <w:sz w:val="28"/>
          <w:szCs w:val="28"/>
          <w:lang w:bidi="ru-RU"/>
        </w:rPr>
        <w:t xml:space="preserve">За счет Гранта </w:t>
      </w:r>
      <w:r>
        <w:rPr>
          <w:sz w:val="28"/>
          <w:szCs w:val="28"/>
        </w:rPr>
        <w:t>за участие в областном конкурсе «Лучшее муниципальное образование Нижегородской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области в сфере благоустройства и дорожной деятельности» </w:t>
      </w:r>
      <w:r>
        <w:rPr>
          <w:rFonts w:eastAsia="Courier New"/>
          <w:sz w:val="28"/>
          <w:szCs w:val="28"/>
          <w:lang w:bidi="ru-RU"/>
        </w:rPr>
        <w:t>на территории районного центра  был выполнен ремонт тротуаров по улицам Ленина и  Советская протяженностью 874 кв.м.</w:t>
      </w:r>
    </w:p>
    <w:p>
      <w:pPr>
        <w:pStyle w:val="ConsPlusNormal"/>
        <w:bidi w:val="0"/>
        <w:ind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По объектам  коммунального хозяйства </w:t>
      </w:r>
      <w:r>
        <w:rPr>
          <w:sz w:val="28"/>
          <w:szCs w:val="28"/>
        </w:rPr>
        <w:t xml:space="preserve">  </w:t>
      </w:r>
      <w:r>
        <w:rPr>
          <w:rFonts w:cs="Times New Roman" w:ascii="Times New Roman" w:hAnsi="Times New Roman"/>
          <w:sz w:val="28"/>
          <w:szCs w:val="28"/>
        </w:rPr>
        <w:t>проведен ремонт водопроводных сетей в р.п. Шаранга протяженностью одна тысяча 60 п/м, замена водопроводных сетей у здания Центра социального обслуживания, подключение к общепоселковой водопроводной сети земельных участков объектов жилой застройки по улицам Кленовая и Вишневая протяженностью 415 п/м.  Всего освоено средств на  сумму более одного миллиона ста шестидесяти тысяч руб.</w:t>
      </w:r>
    </w:p>
    <w:p>
      <w:pPr>
        <w:pStyle w:val="Normal"/>
        <w:tabs>
          <w:tab w:val="clear" w:pos="720"/>
          <w:tab w:val="left" w:pos="567" w:leader="none"/>
        </w:tabs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В 2019 году  за счет средств областного и местного бюджетов   выполнены  проектные и изыскательские работы по объекту: строительство автомобильной дороги Подъезд к животноводческому комплексу в с. Большое Устинское.</w:t>
      </w:r>
      <w:r>
        <w:rPr>
          <w:sz w:val="24"/>
          <w:szCs w:val="24"/>
        </w:rPr>
        <w:t xml:space="preserve"> </w:t>
      </w:r>
      <w:r>
        <w:rPr>
          <w:sz w:val="28"/>
          <w:szCs w:val="28"/>
          <w:shd w:fill="FFFFFF" w:val="clear"/>
        </w:rPr>
        <w:t>Стоимость работ составила 708 тыс 300 руб.</w:t>
      </w:r>
    </w:p>
    <w:p>
      <w:pPr>
        <w:pStyle w:val="Normal"/>
        <w:ind w:right="-284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Район в очередной раз  участвовал в реализации  проекта по поддержке местных инициатив в муниципальных образованиях на территории Нижегородской области. В рамках этой Программы по решению населения выполнены ремонтно-строительные работы на следующих объектах:  </w:t>
      </w:r>
    </w:p>
    <w:p>
      <w:pPr>
        <w:pStyle w:val="Normal"/>
        <w:ind w:right="-284" w:firstLine="567"/>
        <w:jc w:val="both"/>
        <w:rPr/>
      </w:pPr>
      <w:r>
        <w:rPr>
          <w:sz w:val="28"/>
          <w:szCs w:val="28"/>
        </w:rPr>
        <w:t xml:space="preserve">- обустройство детских и спортивных  площадок в деревнях Преображенка и Астанчурга, р.п.Шаранга,  селах Кугланур и Большое Устинское; </w:t>
      </w:r>
    </w:p>
    <w:p>
      <w:pPr>
        <w:pStyle w:val="Normal"/>
        <w:ind w:right="-284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ремонт тротуара по ул.Первомайская в поселке Шаранга;                                                                                              - ремонт памятника воинам Великой Отечественной войны в деревне Щекотово;                                 </w:t>
      </w:r>
    </w:p>
    <w:p>
      <w:pPr>
        <w:pStyle w:val="Normal"/>
        <w:ind w:right="-284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благоустройство территории источника в деревне Марс;                           </w:t>
      </w:r>
    </w:p>
    <w:p>
      <w:pPr>
        <w:pStyle w:val="Normal"/>
        <w:ind w:right="-284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обустройство стадиона с устройством детской площадки в деревне Туманка;                                                                           </w:t>
      </w:r>
    </w:p>
    <w:p>
      <w:pPr>
        <w:pStyle w:val="Normal"/>
        <w:ind w:right="-284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обустройство кладбища в поселке Красная Горка. </w:t>
      </w:r>
    </w:p>
    <w:p>
      <w:pPr>
        <w:pStyle w:val="Normal"/>
        <w:ind w:right="-284"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</w:rPr>
        <w:t>В целом, в рамках этой программы освоено 5 млн. 427  тыс. рублей.</w:t>
      </w:r>
    </w:p>
    <w:tbl>
      <w:tblPr>
        <w:tblW w:w="9483" w:type="dxa"/>
        <w:jc w:val="left"/>
        <w:tblInd w:w="-142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3"/>
      </w:tblGrid>
      <w:tr>
        <w:trPr>
          <w:trHeight w:val="2694" w:hRule="atLeast"/>
        </w:trPr>
        <w:tc>
          <w:tcPr>
            <w:tcW w:w="9483" w:type="dxa"/>
            <w:tcBorders/>
            <w:shd w:fill="auto" w:val="clear"/>
          </w:tcPr>
          <w:p>
            <w:pPr>
              <w:pStyle w:val="Normal"/>
              <w:ind w:firstLine="60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За истекший период 2019 года всего  освоено  средств с учетом  дорожного фонда    155 млн.руб. в том числе средств федерального бюджета 19 млн. 370 тысяч рублей,  средств областного бюджета 71млн. 680 тысяч руб, местного бюджета 22млн. 180 тысяч руб,  средств населения и спонсоров  828тыс. 560 руб. 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Планируемые объемы по  строительству, ремонту  и благоустройству объектов на 2020 год.</w:t>
            </w:r>
          </w:p>
          <w:p>
            <w:pPr>
              <w:pStyle w:val="Normal"/>
              <w:numPr>
                <w:ilvl w:val="0"/>
                <w:numId w:val="10"/>
              </w:numPr>
              <w:ind w:left="34" w:firstLine="52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Строительство водопровода в с. Большое Устинское (2 этап)</w:t>
            </w:r>
          </w:p>
          <w:p>
            <w:pPr>
              <w:pStyle w:val="Normal"/>
              <w:numPr>
                <w:ilvl w:val="0"/>
                <w:numId w:val="10"/>
              </w:numPr>
              <w:ind w:left="34" w:firstLine="52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Строительство д/сада на 160 мест по ул. Производственная в поселке Шаранга</w:t>
            </w:r>
          </w:p>
          <w:p>
            <w:pPr>
              <w:pStyle w:val="Normal"/>
              <w:ind w:left="34" w:firstLine="524"/>
              <w:jc w:val="both"/>
              <w:rPr/>
            </w:pPr>
            <w:r>
              <w:rPr>
                <w:sz w:val="28"/>
                <w:szCs w:val="28"/>
              </w:rPr>
              <w:t>3. Выполнить капитальный ремонт административного здания в р.п. Шаранга, пер. Мягчилова, д.7</w:t>
            </w:r>
          </w:p>
          <w:p>
            <w:pPr>
              <w:pStyle w:val="Normal"/>
              <w:ind w:firstLine="601"/>
              <w:jc w:val="both"/>
              <w:rPr/>
            </w:pPr>
            <w:r>
              <w:rPr>
                <w:sz w:val="28"/>
                <w:szCs w:val="28"/>
              </w:rPr>
              <w:t>4. Осуществить благоустройство сквера «Сфера» в поселке Шаранга</w:t>
            </w:r>
          </w:p>
          <w:p>
            <w:pPr>
              <w:pStyle w:val="Normal"/>
              <w:ind w:left="601" w:hanging="0"/>
              <w:jc w:val="both"/>
              <w:rPr/>
            </w:pPr>
            <w:r>
              <w:rPr>
                <w:sz w:val="28"/>
                <w:szCs w:val="28"/>
              </w:rPr>
              <w:t>5. Реализовать проекты поддержки местных инициатив граждан</w:t>
            </w:r>
          </w:p>
          <w:p>
            <w:pPr>
              <w:pStyle w:val="Normal"/>
              <w:ind w:left="34" w:firstLine="56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 Осуществить проектно-изыскательские работы по объекту «Строительство начальной школы в р.п. Шаранга на 400 мест».</w:t>
            </w:r>
          </w:p>
        </w:tc>
      </w:tr>
    </w:tbl>
    <w:p>
      <w:pPr>
        <w:pStyle w:val="Normal"/>
        <w:ind w:firstLine="567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firstLine="567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Реализация жилищных программ 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рамках реализации</w:t>
      </w:r>
      <w:r>
        <w:rPr>
          <w:b/>
          <w:sz w:val="28"/>
          <w:szCs w:val="28"/>
        </w:rPr>
        <w:t xml:space="preserve"> подпрограммы «Обеспечение жильем молодых семей в Нижегородской области»  </w:t>
      </w:r>
      <w:r>
        <w:rPr>
          <w:sz w:val="28"/>
          <w:szCs w:val="28"/>
        </w:rPr>
        <w:t>в  2019 году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жилые помещения  приобрели 2 молодые семьи. На эти цели им  перечислено – </w:t>
      </w:r>
      <w:r>
        <w:rPr>
          <w:b/>
          <w:sz w:val="28"/>
          <w:szCs w:val="28"/>
        </w:rPr>
        <w:t>1 млн 108 тысяч 800</w:t>
      </w:r>
      <w:r>
        <w:rPr>
          <w:sz w:val="28"/>
          <w:szCs w:val="28"/>
        </w:rPr>
        <w:t xml:space="preserve"> рублей. </w:t>
      </w:r>
    </w:p>
    <w:p>
      <w:pPr>
        <w:pStyle w:val="Normal"/>
        <w:ind w:firstLine="567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75 тысяч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800</w:t>
      </w:r>
      <w:r>
        <w:rPr>
          <w:sz w:val="28"/>
          <w:szCs w:val="28"/>
        </w:rPr>
        <w:t xml:space="preserve"> рублей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перечислено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на компенсацию части платежа по полученным ипотечным жилищным кредитам (займам) по </w:t>
      </w:r>
      <w:r>
        <w:rPr>
          <w:b/>
          <w:sz w:val="28"/>
          <w:szCs w:val="28"/>
        </w:rPr>
        <w:t>Программе «Ипотечное жилищное кредитование населения Нижегородской области на 2009-2020 годы».</w:t>
      </w:r>
    </w:p>
    <w:p>
      <w:pPr>
        <w:pStyle w:val="Normal"/>
        <w:ind w:firstLine="567"/>
        <w:jc w:val="both"/>
        <w:rPr/>
      </w:pPr>
      <w:r>
        <w:rPr>
          <w:b/>
          <w:sz w:val="28"/>
          <w:szCs w:val="28"/>
        </w:rPr>
        <w:t>По Программе «Дети-сироты» в</w:t>
      </w:r>
      <w:r>
        <w:rPr>
          <w:sz w:val="28"/>
          <w:szCs w:val="28"/>
        </w:rPr>
        <w:t xml:space="preserve"> 2019 году приобретены на первичном рынке 4 жилых помещения  и на вторичном рынке - 1 жилое помещение общей площадью 159,7 кв.м. Стоимость приобретенных жилых помещений составляет </w:t>
      </w:r>
      <w:r>
        <w:rPr>
          <w:b/>
          <w:sz w:val="28"/>
          <w:szCs w:val="28"/>
        </w:rPr>
        <w:t>4млн. 973 тыс</w:t>
      </w:r>
      <w:r>
        <w:rPr>
          <w:sz w:val="28"/>
          <w:szCs w:val="28"/>
        </w:rPr>
        <w:t>. рублей.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(В 2018 году жильем были обеспечены также 5 человек). </w:t>
      </w:r>
    </w:p>
    <w:p>
      <w:pPr>
        <w:pStyle w:val="Normal"/>
        <w:ind w:firstLine="567"/>
        <w:jc w:val="both"/>
        <w:rPr>
          <w:b/>
          <w:b/>
          <w:sz w:val="28"/>
          <w:szCs w:val="28"/>
        </w:rPr>
      </w:pPr>
      <w:r>
        <w:rPr>
          <w:sz w:val="28"/>
          <w:szCs w:val="28"/>
        </w:rPr>
        <w:t xml:space="preserve">В рамках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этапа государственной региональной адресной программы «Переселение граждан из аварийного жилищного фонда на территории Нижегородской области на 2019-2025 годы» приобретено 6 жилых помещений для граждан, чье жилье было признано аварийным. Общая площадь приобретенных жилых помещений составляет 182,5кв.м.  Общая стоимость - </w:t>
      </w:r>
      <w:r>
        <w:rPr>
          <w:b/>
          <w:sz w:val="28"/>
          <w:szCs w:val="28"/>
        </w:rPr>
        <w:t>7 млн 434 тыс. рублей.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>Также, в 2019 году одна семья, имеющая статус вынужденных переселенцев, за счет федерального и областного бюджетов приобрела жилое помещение общей площадью 44,7 кв.м стоимостью -</w:t>
      </w:r>
      <w:r>
        <w:rPr>
          <w:b/>
          <w:sz w:val="28"/>
          <w:szCs w:val="28"/>
        </w:rPr>
        <w:t xml:space="preserve">1 млн 821 тыс. </w:t>
      </w:r>
      <w:r>
        <w:rPr>
          <w:sz w:val="28"/>
          <w:szCs w:val="28"/>
        </w:rPr>
        <w:t>рублей.</w:t>
      </w:r>
    </w:p>
    <w:p>
      <w:pPr>
        <w:pStyle w:val="Style131"/>
        <w:widowControl/>
        <w:spacing w:lineRule="auto" w:line="240" w:before="240" w:after="0"/>
        <w:ind w:firstLine="567"/>
        <w:rPr/>
      </w:pPr>
      <w:r>
        <w:rPr>
          <w:rStyle w:val="FontStyle52"/>
          <w:b/>
          <w:sz w:val="28"/>
          <w:szCs w:val="28"/>
        </w:rPr>
        <w:t>Физическая культура и спорт</w:t>
      </w:r>
      <w:r>
        <w:rPr>
          <w:rStyle w:val="FontStyle52"/>
          <w:sz w:val="28"/>
          <w:szCs w:val="28"/>
        </w:rPr>
        <w:t xml:space="preserve"> </w:t>
      </w:r>
    </w:p>
    <w:p>
      <w:pPr>
        <w:pStyle w:val="Style131"/>
        <w:widowControl/>
        <w:spacing w:lineRule="auto" w:line="240"/>
        <w:ind w:firstLine="567"/>
        <w:rPr/>
      </w:pPr>
      <w:r>
        <w:rPr>
          <w:rStyle w:val="FontStyle52"/>
          <w:sz w:val="28"/>
          <w:szCs w:val="28"/>
        </w:rPr>
        <w:t xml:space="preserve">Администрация района уделяет большее внимание развитию физической культуры и спорта. И это приносит определенные положительные результаты. Так,  число занимающихся физкультурой и спортом значительно увеличилось: в 2017 году спортом занимались </w:t>
      </w:r>
      <w:r>
        <w:rPr>
          <w:rStyle w:val="FontStyle52"/>
          <w:b/>
          <w:sz w:val="28"/>
          <w:szCs w:val="28"/>
        </w:rPr>
        <w:t>4 тыс 419</w:t>
      </w:r>
      <w:r>
        <w:rPr>
          <w:rStyle w:val="FontStyle52"/>
          <w:sz w:val="28"/>
          <w:szCs w:val="28"/>
        </w:rPr>
        <w:t xml:space="preserve"> человек, что составляло 37% жителей района, </w:t>
      </w:r>
      <w:r>
        <w:rPr>
          <w:sz w:val="28"/>
          <w:szCs w:val="28"/>
        </w:rPr>
        <w:t xml:space="preserve">2018 год – </w:t>
      </w:r>
      <w:r>
        <w:rPr>
          <w:b/>
          <w:sz w:val="28"/>
          <w:szCs w:val="28"/>
        </w:rPr>
        <w:t>4 тыс. 456</w:t>
      </w:r>
      <w:r>
        <w:rPr>
          <w:sz w:val="28"/>
          <w:szCs w:val="28"/>
        </w:rPr>
        <w:t xml:space="preserve"> человек или 41,2 %, в 2019 году – 5 тысяч 389 человек или 48,2% населения района. 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районе трудятся 38 штатных работников физической культуры и спорта, из которых 21 имеют высшее и 17 среднее специальное образование, один специалист в 2019 году впервые приступил к работе. 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 xml:space="preserve">Детско-юношеский спорт – особая статья в физкультурной деятельности, осуществляемой в районе. Тысяча760 детей в возрасте от 3-х до 15 лет занимаются в различных секциях. </w:t>
      </w:r>
      <w:r>
        <w:rPr>
          <w:b/>
          <w:sz w:val="28"/>
          <w:szCs w:val="28"/>
        </w:rPr>
        <w:t xml:space="preserve">412 </w:t>
      </w:r>
      <w:r>
        <w:rPr>
          <w:sz w:val="28"/>
          <w:szCs w:val="28"/>
        </w:rPr>
        <w:t>человек из них целенаправленно тренируются в детско-юношеском центре  (бывшей ДЮСШ) и 522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человека на ФОКе «Жемчужина».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Во всех сельских школах работают спортивные секции.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 отчетном году к занятиям физической культурой и спортом было привлечено 70% детей состоящих на учете в комиссии по делам несовершеннолетних и защите их прав.</w:t>
      </w:r>
    </w:p>
    <w:p>
      <w:pPr>
        <w:pStyle w:val="Normal"/>
        <w:ind w:firstLine="567"/>
        <w:jc w:val="both"/>
        <w:rPr>
          <w:b/>
          <w:b/>
          <w:sz w:val="28"/>
          <w:szCs w:val="28"/>
        </w:rPr>
      </w:pPr>
      <w:r>
        <w:rPr>
          <w:sz w:val="28"/>
          <w:szCs w:val="28"/>
        </w:rPr>
        <w:t xml:space="preserve">В 2019 году сектором по физкультуре и спорту было проведено 115 спортивно-массовых мероприятий, в которых приняли участие </w:t>
      </w:r>
      <w:r>
        <w:rPr>
          <w:b/>
          <w:sz w:val="28"/>
          <w:szCs w:val="28"/>
        </w:rPr>
        <w:t>более десяти с половиной тысяч</w:t>
      </w:r>
      <w:r>
        <w:rPr>
          <w:sz w:val="28"/>
          <w:szCs w:val="28"/>
        </w:rPr>
        <w:t xml:space="preserve"> человек</w:t>
      </w:r>
      <w:r>
        <w:rPr>
          <w:rStyle w:val="FontStyle52"/>
          <w:sz w:val="28"/>
          <w:szCs w:val="28"/>
        </w:rPr>
        <w:t xml:space="preserve">. 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 xml:space="preserve">Всего на развитие физкультуры и спорта в 2019 году израсходовано более </w:t>
      </w:r>
      <w:r>
        <w:rPr>
          <w:b/>
          <w:sz w:val="28"/>
          <w:szCs w:val="28"/>
        </w:rPr>
        <w:t xml:space="preserve">57 млн. 806 тысяч </w:t>
      </w:r>
      <w:r>
        <w:rPr>
          <w:sz w:val="28"/>
          <w:szCs w:val="28"/>
        </w:rPr>
        <w:t xml:space="preserve">рублей. 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Спортивных сооружений в районе по-прежнему 76. В прошлом году в Заречном парке была реконструирована волейбольная площадка, на которой смонтировано современное резиновое покрытие. На ФОКе «Жемчужина» была открыта площадка с уличными тренажерами.</w:t>
      </w:r>
    </w:p>
    <w:p>
      <w:pPr>
        <w:pStyle w:val="Style241"/>
        <w:widowControl/>
        <w:ind w:firstLine="567"/>
        <w:jc w:val="left"/>
        <w:rPr>
          <w:rStyle w:val="FontStyle81"/>
          <w:sz w:val="28"/>
          <w:szCs w:val="28"/>
        </w:rPr>
      </w:pPr>
      <w:r>
        <w:rPr>
          <w:rStyle w:val="FontStyle81"/>
          <w:sz w:val="28"/>
          <w:szCs w:val="28"/>
        </w:rPr>
        <w:t xml:space="preserve">Основные задачи </w:t>
      </w:r>
      <w:r>
        <w:rPr>
          <w:rStyle w:val="FontStyle81"/>
          <w:b w:val="false"/>
          <w:sz w:val="28"/>
          <w:szCs w:val="28"/>
        </w:rPr>
        <w:t>сектора на текущий год</w:t>
      </w:r>
      <w:r>
        <w:rPr>
          <w:rStyle w:val="FontStyle81"/>
          <w:sz w:val="28"/>
          <w:szCs w:val="28"/>
        </w:rPr>
        <w:t>: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 xml:space="preserve">1. Продолжить работу по внедрению Всероссийского физкультурно-спортивного комплекса «Готов к труду и обороне». 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 Увеличить число занимающихся физической культурой и спортом на постоянной основе.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3.Решить вопрос по привлечению в район квалифицированных специалистов.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>4. Выйти на более высокий уровень в таких видах спорта, как сумо, пауэрлифтинг, бокс, дзюдо и мини-футбол.</w:t>
      </w:r>
    </w:p>
    <w:p>
      <w:pPr>
        <w:pStyle w:val="Style241"/>
        <w:widowControl/>
        <w:ind w:firstLine="567"/>
        <w:jc w:val="left"/>
        <w:rPr>
          <w:rStyle w:val="FontStyle81"/>
          <w:sz w:val="28"/>
          <w:szCs w:val="28"/>
        </w:rPr>
      </w:pPr>
      <w:r>
        <w:rPr>
          <w:sz w:val="28"/>
          <w:szCs w:val="28"/>
        </w:rPr>
      </w:r>
    </w:p>
    <w:p>
      <w:pPr>
        <w:pStyle w:val="Style281"/>
        <w:widowControl/>
        <w:spacing w:lineRule="auto" w:line="240" w:before="240" w:after="0"/>
        <w:ind w:firstLine="567"/>
        <w:rPr>
          <w:rStyle w:val="FontStyle60"/>
          <w:sz w:val="28"/>
          <w:szCs w:val="28"/>
          <w:highlight w:val="yellow"/>
        </w:rPr>
      </w:pPr>
      <w:r>
        <w:rPr>
          <w:rStyle w:val="FontStyle60"/>
          <w:sz w:val="28"/>
          <w:szCs w:val="28"/>
        </w:rPr>
        <w:t xml:space="preserve">Услуги  </w:t>
      </w:r>
      <w:r>
        <w:rPr>
          <w:rStyle w:val="FontStyle60"/>
          <w:b/>
          <w:sz w:val="28"/>
          <w:szCs w:val="28"/>
        </w:rPr>
        <w:t xml:space="preserve">ЖКХ  в 2019 году </w:t>
      </w:r>
      <w:r>
        <w:rPr>
          <w:rStyle w:val="FontStyle60"/>
          <w:sz w:val="28"/>
          <w:szCs w:val="28"/>
        </w:rPr>
        <w:t>оказывали два муниципальных предприятия: «ЖКХ» и «Коммунсервис». На протяжении 2019 года оба предприятия работали стабильно.</w:t>
      </w:r>
    </w:p>
    <w:p>
      <w:pPr>
        <w:pStyle w:val="Normal"/>
        <w:ind w:firstLine="567"/>
        <w:jc w:val="both"/>
        <w:rPr>
          <w:sz w:val="28"/>
          <w:szCs w:val="28"/>
          <w:highlight w:val="yellow"/>
        </w:rPr>
      </w:pPr>
      <w:r>
        <w:rPr>
          <w:sz w:val="28"/>
          <w:szCs w:val="28"/>
        </w:rPr>
        <w:t xml:space="preserve">В муниципальном предприятии  «Жилищно-коммунальное хозяйство» объем реализации  по основным видам деятельности  за 2019 год составил – </w:t>
      </w:r>
      <w:r>
        <w:rPr>
          <w:b/>
          <w:sz w:val="28"/>
          <w:szCs w:val="28"/>
        </w:rPr>
        <w:t>35 млн. 407 тыс</w:t>
      </w:r>
      <w:r>
        <w:rPr>
          <w:sz w:val="28"/>
          <w:szCs w:val="28"/>
        </w:rPr>
        <w:t xml:space="preserve">. рублей. К сожалению, по сравнению с 2018 годом эта сумма уменьшилась на полтора миллиона. 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прошлом году  был закуплен, установлен и веден в эксплуатацию теплогенератор  в котельную,   выполнены работы по ремонту  системы отопления  Большеустинской школы, а также другие работы. В отчетном году на баланс МУП «ЖКХ»  была передана котельная в селе Роженцово.  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 xml:space="preserve">В МУП «Коммунсервис» за 2019 год оказано услуг и выполнено работ на сумму </w:t>
      </w:r>
      <w:r>
        <w:rPr>
          <w:b/>
          <w:sz w:val="28"/>
          <w:szCs w:val="28"/>
        </w:rPr>
        <w:t>10 млн. 317 тыс.</w:t>
      </w:r>
      <w:r>
        <w:rPr>
          <w:sz w:val="28"/>
          <w:szCs w:val="28"/>
        </w:rPr>
        <w:t xml:space="preserve"> руб., из них  по основному виду деятельности - холодному водоснабжению на </w:t>
      </w:r>
      <w:r>
        <w:rPr>
          <w:b/>
          <w:sz w:val="28"/>
          <w:szCs w:val="28"/>
        </w:rPr>
        <w:t>8 млн. 144 тыс</w:t>
      </w:r>
      <w:r>
        <w:rPr>
          <w:sz w:val="28"/>
          <w:szCs w:val="28"/>
        </w:rPr>
        <w:t>. руб. Помимо основного вида деятельности  предприятием  осуществлены строительство новых сетей водоснабжения  в р.п.Шаранга,  замена более  километра  водопроводных сетей, ремонтные и прочие работы.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Следует отметить, что оба предприятия за 2019 год сработали с прибылью.</w:t>
      </w:r>
    </w:p>
    <w:p>
      <w:pPr>
        <w:pStyle w:val="Normal"/>
        <w:ind w:firstLine="567"/>
        <w:jc w:val="both"/>
        <w:rPr>
          <w:rStyle w:val="FontStyle60"/>
          <w:sz w:val="28"/>
          <w:szCs w:val="28"/>
        </w:rPr>
      </w:pPr>
      <w:r>
        <w:rPr>
          <w:rStyle w:val="FontStyle60"/>
          <w:sz w:val="28"/>
          <w:szCs w:val="28"/>
        </w:rPr>
        <w:t>Администрация района уделяет значительное внимание предприятиям с целью оказания помощи в стабилизации их работы и обеспечению  безубыточной производственной деятельности.</w:t>
      </w:r>
    </w:p>
    <w:p>
      <w:pPr>
        <w:pStyle w:val="Normal"/>
        <w:ind w:firstLine="567"/>
        <w:jc w:val="both"/>
        <w:rPr/>
      </w:pPr>
      <w:r>
        <w:rPr>
          <w:b/>
          <w:sz w:val="28"/>
          <w:szCs w:val="28"/>
        </w:rPr>
        <w:t>Планы предприятий ЖКХ на 2020 год</w:t>
      </w:r>
      <w:r>
        <w:rPr>
          <w:sz w:val="28"/>
          <w:szCs w:val="28"/>
        </w:rPr>
        <w:t>:</w:t>
      </w:r>
    </w:p>
    <w:p>
      <w:pPr>
        <w:pStyle w:val="Style281"/>
        <w:widowControl/>
        <w:numPr>
          <w:ilvl w:val="0"/>
          <w:numId w:val="4"/>
        </w:numPr>
        <w:spacing w:lineRule="auto" w:line="240"/>
        <w:ind w:left="0" w:firstLine="567"/>
        <w:rPr/>
      </w:pPr>
      <w:r>
        <w:rPr>
          <w:rStyle w:val="FontStyle60"/>
          <w:sz w:val="28"/>
          <w:szCs w:val="28"/>
        </w:rPr>
        <w:t>Постепенная замена водонапорных башен на автоматические насосные станции.</w:t>
      </w:r>
    </w:p>
    <w:p>
      <w:pPr>
        <w:pStyle w:val="Style281"/>
        <w:widowControl/>
        <w:numPr>
          <w:ilvl w:val="0"/>
          <w:numId w:val="4"/>
        </w:numPr>
        <w:spacing w:lineRule="auto" w:line="240"/>
        <w:ind w:left="0" w:firstLine="567"/>
        <w:rPr/>
      </w:pPr>
      <w:r>
        <w:rPr>
          <w:rStyle w:val="FontStyle60"/>
          <w:sz w:val="28"/>
          <w:szCs w:val="28"/>
        </w:rPr>
        <w:t>Ремонт и замена теплотрасс.</w:t>
      </w:r>
    </w:p>
    <w:p>
      <w:pPr>
        <w:pStyle w:val="Normal"/>
        <w:numPr>
          <w:ilvl w:val="0"/>
          <w:numId w:val="4"/>
        </w:numPr>
        <w:ind w:left="0" w:firstLine="567"/>
        <w:jc w:val="both"/>
        <w:rPr/>
      </w:pPr>
      <w:r>
        <w:rPr>
          <w:rStyle w:val="FontStyle60"/>
          <w:sz w:val="28"/>
          <w:szCs w:val="28"/>
        </w:rPr>
        <w:t xml:space="preserve">Переход на </w:t>
      </w:r>
      <w:r>
        <w:rPr>
          <w:sz w:val="28"/>
          <w:szCs w:val="28"/>
        </w:rPr>
        <w:t xml:space="preserve"> более экономный вид топлива. </w:t>
      </w:r>
    </w:p>
    <w:p>
      <w:pPr>
        <w:pStyle w:val="Style281"/>
        <w:widowControl/>
        <w:numPr>
          <w:ilvl w:val="0"/>
          <w:numId w:val="4"/>
        </w:numPr>
        <w:spacing w:lineRule="auto" w:line="240"/>
        <w:ind w:left="0" w:firstLine="567"/>
        <w:rPr>
          <w:rStyle w:val="FontStyle60"/>
          <w:sz w:val="28"/>
          <w:szCs w:val="28"/>
        </w:rPr>
      </w:pPr>
      <w:r>
        <w:rPr>
          <w:rStyle w:val="FontStyle60"/>
          <w:sz w:val="28"/>
          <w:szCs w:val="28"/>
        </w:rPr>
        <w:t>Подключение объектов к центральным сетям канализации.</w:t>
      </w:r>
    </w:p>
    <w:p>
      <w:pPr>
        <w:pStyle w:val="Style281"/>
        <w:widowControl/>
        <w:numPr>
          <w:ilvl w:val="0"/>
          <w:numId w:val="4"/>
        </w:numPr>
        <w:spacing w:lineRule="auto" w:line="240"/>
        <w:ind w:left="0" w:firstLine="567"/>
        <w:rPr>
          <w:rStyle w:val="FontStyle60"/>
          <w:sz w:val="28"/>
          <w:szCs w:val="28"/>
        </w:rPr>
      </w:pPr>
      <w:r>
        <w:rPr>
          <w:rStyle w:val="FontStyle60"/>
          <w:sz w:val="28"/>
          <w:szCs w:val="28"/>
        </w:rPr>
        <w:t>Продолжение работы по замене водопроводных сетей.</w:t>
      </w:r>
    </w:p>
    <w:p>
      <w:pPr>
        <w:pStyle w:val="Style281"/>
        <w:widowControl/>
        <w:spacing w:lineRule="auto" w:line="240"/>
        <w:ind w:left="567" w:hanging="0"/>
        <w:rPr>
          <w:rStyle w:val="FontStyle17"/>
          <w:b/>
          <w:b/>
        </w:rPr>
      </w:pPr>
      <w:r>
        <w:rPr/>
      </w:r>
    </w:p>
    <w:p>
      <w:pPr>
        <w:pStyle w:val="Style281"/>
        <w:widowControl/>
        <w:spacing w:lineRule="auto" w:line="240"/>
        <w:ind w:left="567" w:hanging="0"/>
        <w:rPr>
          <w:rStyle w:val="FontStyle17"/>
        </w:rPr>
      </w:pPr>
      <w:r>
        <w:rPr>
          <w:rStyle w:val="FontStyle17"/>
          <w:b/>
        </w:rPr>
        <w:t>ГО и ЧС</w:t>
      </w:r>
    </w:p>
    <w:p>
      <w:pPr>
        <w:pStyle w:val="Normal"/>
        <w:ind w:firstLine="567"/>
        <w:jc w:val="both"/>
        <w:rPr/>
      </w:pPr>
      <w:r>
        <w:rPr>
          <w:rStyle w:val="FontStyle17"/>
          <w:sz w:val="28"/>
          <w:szCs w:val="28"/>
        </w:rPr>
        <w:t>В отчетном периоде ч</w:t>
      </w:r>
      <w:r>
        <w:rPr>
          <w:sz w:val="28"/>
          <w:szCs w:val="28"/>
        </w:rPr>
        <w:t>резвычайных ситуаций на территории района не допущено.</w:t>
      </w:r>
    </w:p>
    <w:p>
      <w:pPr>
        <w:pStyle w:val="Normal"/>
        <w:ind w:firstLine="567"/>
        <w:jc w:val="both"/>
        <w:rPr/>
      </w:pPr>
      <w:r>
        <w:rPr>
          <w:rStyle w:val="FontStyle17"/>
          <w:sz w:val="28"/>
          <w:szCs w:val="28"/>
        </w:rPr>
        <w:t>В 2019 году продолжена работа по реализации на территории района мероприятий по построению и внедрению аппаратно-програмного комплекса «Безопасный город».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rStyle w:val="FontStyle17"/>
          <w:sz w:val="28"/>
          <w:szCs w:val="28"/>
        </w:rPr>
        <w:t>В отчетном году в район поступил пожарный автомобиль ЗИЛ -131.  В настоящее время он передан в Щенниковскую муниципальную пожарную охрану.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 xml:space="preserve">В 2019 году работа </w:t>
      </w:r>
      <w:r>
        <w:rPr>
          <w:b/>
          <w:sz w:val="28"/>
          <w:szCs w:val="28"/>
        </w:rPr>
        <w:t>противопожарной службы</w:t>
      </w:r>
      <w:r>
        <w:rPr>
          <w:sz w:val="28"/>
          <w:szCs w:val="28"/>
        </w:rPr>
        <w:t xml:space="preserve"> района строилась в соответствии с регламентирующими документами служебной деятельности.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Основное внимание уделялось вопросам проведения профилактической работы по предупреждению пожаров, укреплению материально-технической базы и повышению боевой готовности гарнизона пожарной охраны Шарангского района. </w:t>
      </w:r>
    </w:p>
    <w:p>
      <w:pPr>
        <w:pStyle w:val="Normal"/>
        <w:ind w:firstLine="567"/>
        <w:jc w:val="both"/>
        <w:rPr>
          <w:rStyle w:val="FontStyle76"/>
          <w:b/>
          <w:b/>
          <w:sz w:val="28"/>
          <w:szCs w:val="28"/>
        </w:rPr>
      </w:pPr>
      <w:r>
        <w:rPr>
          <w:sz w:val="28"/>
          <w:szCs w:val="28"/>
        </w:rPr>
        <w:t>С поставленными задачами в 2019году противопожарная служба района справилась успешно.</w:t>
      </w:r>
    </w:p>
    <w:p>
      <w:pPr>
        <w:pStyle w:val="Style81"/>
        <w:widowControl/>
        <w:spacing w:lineRule="auto" w:line="240"/>
        <w:ind w:firstLine="567"/>
        <w:rPr>
          <w:rStyle w:val="FontStyle76"/>
          <w:b/>
          <w:b/>
          <w:sz w:val="28"/>
          <w:szCs w:val="28"/>
        </w:rPr>
      </w:pPr>
      <w:r>
        <w:rPr/>
      </w:r>
    </w:p>
    <w:p>
      <w:pPr>
        <w:pStyle w:val="Style81"/>
        <w:widowControl/>
        <w:spacing w:lineRule="auto" w:line="240"/>
        <w:ind w:firstLine="567"/>
        <w:rPr/>
      </w:pPr>
      <w:r>
        <w:rPr>
          <w:rStyle w:val="FontStyle76"/>
          <w:rFonts w:cs="Times New Roman"/>
          <w:b/>
          <w:sz w:val="28"/>
          <w:szCs w:val="28"/>
        </w:rPr>
        <w:t>Редакция газеты «Знамя победы»</w:t>
      </w:r>
      <w:r>
        <w:rPr>
          <w:rStyle w:val="FontStyle76"/>
          <w:rFonts w:cs="Times New Roman"/>
          <w:sz w:val="28"/>
          <w:szCs w:val="28"/>
        </w:rPr>
        <w:t xml:space="preserve"> </w:t>
      </w:r>
    </w:p>
    <w:p>
      <w:pPr>
        <w:pStyle w:val="Style81"/>
        <w:widowControl/>
        <w:spacing w:lineRule="auto" w:line="240"/>
        <w:ind w:firstLine="567"/>
        <w:rPr/>
      </w:pPr>
      <w:r>
        <w:rPr>
          <w:rStyle w:val="FontStyle76"/>
          <w:rFonts w:cs="Times New Roman"/>
          <w:sz w:val="28"/>
          <w:szCs w:val="28"/>
        </w:rPr>
        <w:t xml:space="preserve">Газета в 2019 году выходила в свет в обычном графике. </w:t>
      </w:r>
      <w:r>
        <w:rPr>
          <w:sz w:val="28"/>
          <w:szCs w:val="28"/>
        </w:rPr>
        <w:t xml:space="preserve"> Общий тираж составил 229 тысяч 899 экземпляров. </w:t>
      </w:r>
    </w:p>
    <w:p>
      <w:pPr>
        <w:pStyle w:val="Style81"/>
        <w:widowControl/>
        <w:spacing w:lineRule="auto" w:line="240"/>
        <w:ind w:firstLine="567"/>
        <w:rPr/>
      </w:pPr>
      <w:r>
        <w:rPr>
          <w:rStyle w:val="FontStyle76"/>
          <w:rFonts w:cs="Times New Roman"/>
          <w:sz w:val="28"/>
          <w:szCs w:val="28"/>
        </w:rPr>
        <w:t xml:space="preserve">Соответствующее отражение нашли все значимые события областного и районного масштаба. </w:t>
      </w:r>
    </w:p>
    <w:p>
      <w:pPr>
        <w:pStyle w:val="Style81"/>
        <w:widowControl/>
        <w:spacing w:lineRule="auto" w:line="240"/>
        <w:ind w:firstLine="567"/>
        <w:rPr/>
      </w:pPr>
      <w:r>
        <w:rPr>
          <w:sz w:val="28"/>
          <w:szCs w:val="28"/>
        </w:rPr>
        <w:t>В отчетном году начался выпуск цветной газеты.</w:t>
      </w:r>
    </w:p>
    <w:p>
      <w:pPr>
        <w:pStyle w:val="Style81"/>
        <w:widowControl/>
        <w:spacing w:lineRule="auto" w:line="240"/>
        <w:ind w:firstLine="567"/>
        <w:rPr/>
      </w:pPr>
      <w:r>
        <w:rPr>
          <w:sz w:val="28"/>
          <w:szCs w:val="28"/>
        </w:rPr>
        <w:t xml:space="preserve">Редакции газеты было выделено бюджетных ассигнований </w:t>
      </w:r>
      <w:r>
        <w:rPr>
          <w:b/>
          <w:sz w:val="28"/>
          <w:szCs w:val="28"/>
        </w:rPr>
        <w:t>2 млн. 455 тыс.</w:t>
      </w:r>
      <w:r>
        <w:rPr>
          <w:sz w:val="28"/>
          <w:szCs w:val="28"/>
        </w:rPr>
        <w:t xml:space="preserve"> 700 рублей.  Собственных доходов  получено  </w:t>
      </w:r>
      <w:r>
        <w:rPr>
          <w:b/>
          <w:sz w:val="28"/>
          <w:szCs w:val="28"/>
        </w:rPr>
        <w:t>4 млн. 504 тыс</w:t>
      </w:r>
      <w:r>
        <w:rPr>
          <w:sz w:val="28"/>
          <w:szCs w:val="28"/>
        </w:rPr>
        <w:t>. руб. (темп роста составил 110%), расходы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>
        <w:rPr>
          <w:b/>
          <w:sz w:val="28"/>
          <w:szCs w:val="28"/>
        </w:rPr>
        <w:t xml:space="preserve"> 6 млн. 956 тыс</w:t>
      </w:r>
      <w:r>
        <w:rPr>
          <w:sz w:val="28"/>
          <w:szCs w:val="28"/>
        </w:rPr>
        <w:t xml:space="preserve">. рублей. </w:t>
      </w:r>
    </w:p>
    <w:p>
      <w:pPr>
        <w:pStyle w:val="Style81"/>
        <w:widowControl/>
        <w:spacing w:lineRule="auto" w:line="240" w:before="240" w:after="0"/>
        <w:ind w:firstLine="567"/>
        <w:rPr/>
      </w:pPr>
      <w:r>
        <w:rPr>
          <w:rStyle w:val="FontStyle78"/>
          <w:rFonts w:cs="Times New Roman"/>
          <w:sz w:val="28"/>
          <w:szCs w:val="28"/>
        </w:rPr>
        <w:t>Приоритетными направлениями работы</w:t>
      </w:r>
      <w:r>
        <w:rPr>
          <w:b/>
          <w:sz w:val="28"/>
          <w:szCs w:val="28"/>
        </w:rPr>
        <w:t xml:space="preserve"> </w:t>
      </w:r>
      <w:r>
        <w:rPr>
          <w:rStyle w:val="FontStyle76"/>
          <w:rFonts w:cs="Times New Roman"/>
          <w:b/>
          <w:sz w:val="28"/>
          <w:szCs w:val="28"/>
        </w:rPr>
        <w:t>Редакции газеты «Знамя победы»</w:t>
      </w:r>
      <w:r>
        <w:rPr>
          <w:rStyle w:val="FontStyle76"/>
          <w:rFonts w:cs="Times New Roman"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на 2020 год считать </w:t>
      </w:r>
      <w:r>
        <w:rPr>
          <w:sz w:val="28"/>
          <w:szCs w:val="28"/>
        </w:rPr>
        <w:t>продолжение работы: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над дизайном газеты;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новыми рубриками;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над увеличением собственных доходов.</w:t>
      </w:r>
    </w:p>
    <w:p>
      <w:pPr>
        <w:pStyle w:val="Normal"/>
        <w:ind w:firstLine="567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firstLine="567"/>
        <w:rPr>
          <w:sz w:val="28"/>
          <w:szCs w:val="28"/>
        </w:rPr>
      </w:pPr>
      <w:r>
        <w:rPr>
          <w:b/>
          <w:sz w:val="28"/>
          <w:szCs w:val="28"/>
        </w:rPr>
        <w:t xml:space="preserve">МП Шарангское телевидение «Истоки» 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 xml:space="preserve">В течение прошлого года в эфир вышло 52 телевизионных  выпуска с  еженедельным эфирным временем  передачи - 1 час. Передачи местного телевидения можно увидеть также  на </w:t>
      </w:r>
      <w:r>
        <w:rPr>
          <w:color w:val="333333"/>
          <w:sz w:val="28"/>
          <w:szCs w:val="28"/>
          <w:shd w:fill="FFFFFF" w:val="clear"/>
          <w:lang w:bidi="en-US"/>
        </w:rPr>
        <w:t xml:space="preserve">официальном сайте администрации Шарангского муниципального района, на странице  </w:t>
      </w:r>
      <w:r>
        <w:rPr>
          <w:bCs/>
          <w:color w:val="333333"/>
          <w:sz w:val="28"/>
          <w:szCs w:val="28"/>
          <w:shd w:fill="FFFFFF" w:val="clear"/>
          <w:lang w:val="en-US" w:bidi="en-US"/>
        </w:rPr>
        <w:t>YouTube</w:t>
      </w:r>
      <w:r>
        <w:rPr>
          <w:bCs/>
          <w:color w:val="333333"/>
          <w:sz w:val="28"/>
          <w:szCs w:val="28"/>
          <w:shd w:fill="FFFFFF" w:val="clear"/>
          <w:lang w:bidi="en-US"/>
        </w:rPr>
        <w:t xml:space="preserve"> и в социальной сети “Одноклассники».  </w:t>
      </w:r>
      <w:r>
        <w:rPr>
          <w:color w:val="333333"/>
          <w:sz w:val="28"/>
          <w:szCs w:val="28"/>
          <w:shd w:fill="FFFFFF" w:val="clear"/>
          <w:lang w:bidi="en-US"/>
        </w:rPr>
        <w:t xml:space="preserve">  Стоит отметить, что количество просмотров   по сравнению с 2018 годом существенно увеличилось.  </w:t>
      </w:r>
      <w:r>
        <w:rPr>
          <w:sz w:val="28"/>
          <w:szCs w:val="28"/>
        </w:rPr>
        <w:t xml:space="preserve">  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  <w:shd w:fill="FFFFFF" w:val="clear"/>
        </w:rPr>
        <w:t>В течение прошлого года (как и в 2018 году) местная студия телевидения «Истоки» тесно сотрудничала с Шарангской средней школой, на базе которой создана школьная телестудия. Юные корреспонденты рассказывали о самых ярких и интересных событиях школьной жизни.</w:t>
      </w:r>
    </w:p>
    <w:p>
      <w:pPr>
        <w:pStyle w:val="Normal"/>
        <w:ind w:firstLine="567"/>
        <w:jc w:val="both"/>
        <w:rPr>
          <w:sz w:val="28"/>
          <w:szCs w:val="28"/>
          <w:highlight w:val="white"/>
        </w:rPr>
      </w:pPr>
      <w:r>
        <w:rPr>
          <w:sz w:val="28"/>
          <w:szCs w:val="28"/>
          <w:shd w:fill="FFFFFF" w:val="clear"/>
        </w:rPr>
        <w:t xml:space="preserve">В 2019 году предприятие было профинансировано на сумму </w:t>
      </w:r>
      <w:r>
        <w:rPr>
          <w:sz w:val="24"/>
          <w:szCs w:val="24"/>
          <w:shd w:fill="FFFFFF" w:val="clear"/>
        </w:rPr>
        <w:t xml:space="preserve"> </w:t>
      </w:r>
      <w:r>
        <w:rPr>
          <w:b/>
          <w:sz w:val="28"/>
          <w:szCs w:val="28"/>
          <w:shd w:fill="FFFFFF" w:val="clear"/>
        </w:rPr>
        <w:t>2 млн. 691 тыс</w:t>
      </w:r>
      <w:r>
        <w:rPr>
          <w:sz w:val="28"/>
          <w:szCs w:val="28"/>
          <w:shd w:fill="FFFFFF" w:val="clear"/>
        </w:rPr>
        <w:t xml:space="preserve"> 800 руб. </w:t>
      </w:r>
    </w:p>
    <w:p>
      <w:pPr>
        <w:pStyle w:val="Normal"/>
        <w:ind w:firstLine="567"/>
        <w:jc w:val="both"/>
        <w:rPr>
          <w:sz w:val="28"/>
          <w:szCs w:val="28"/>
          <w:highlight w:val="white"/>
        </w:rPr>
      </w:pPr>
      <w:r>
        <w:rPr>
          <w:sz w:val="28"/>
          <w:szCs w:val="28"/>
          <w:shd w:fill="FFFFFF" w:val="clear"/>
        </w:rPr>
      </w:r>
    </w:p>
    <w:p>
      <w:pPr>
        <w:pStyle w:val="Normal"/>
        <w:ind w:firstLine="567"/>
        <w:rPr/>
      </w:pPr>
      <w:r>
        <w:rPr>
          <w:b/>
          <w:color w:val="333333"/>
          <w:sz w:val="28"/>
          <w:szCs w:val="28"/>
          <w:shd w:fill="FFFFFF" w:val="clear"/>
        </w:rPr>
        <w:t>Основные задачи на 2020 год:</w:t>
      </w:r>
    </w:p>
    <w:p>
      <w:pPr>
        <w:pStyle w:val="Style31"/>
        <w:numPr>
          <w:ilvl w:val="0"/>
          <w:numId w:val="9"/>
        </w:numPr>
        <w:spacing w:lineRule="auto" w:line="240" w:before="0" w:after="0"/>
        <w:ind w:left="0" w:firstLine="567"/>
        <w:contextualSpacing/>
        <w:rPr>
          <w:rFonts w:ascii="Times New Roman" w:hAnsi="Times New Roman" w:cs="Times New Roman"/>
          <w:color w:val="333333"/>
          <w:sz w:val="28"/>
          <w:szCs w:val="28"/>
          <w:highlight w:val="white"/>
        </w:rPr>
      </w:pPr>
      <w:r>
        <w:rPr>
          <w:rFonts w:cs="Times New Roman" w:ascii="Times New Roman" w:hAnsi="Times New Roman"/>
          <w:color w:val="333333"/>
          <w:sz w:val="28"/>
          <w:szCs w:val="28"/>
          <w:highlight w:val="white"/>
        </w:rPr>
        <w:t>Улучшение качества передач, увеличение зрительской аудитории.</w:t>
      </w:r>
    </w:p>
    <w:p>
      <w:pPr>
        <w:pStyle w:val="Style31"/>
        <w:numPr>
          <w:ilvl w:val="0"/>
          <w:numId w:val="9"/>
        </w:numPr>
        <w:spacing w:lineRule="auto" w:line="240" w:before="0" w:after="0"/>
        <w:ind w:left="0" w:firstLine="567"/>
        <w:contextualSpacing/>
        <w:rPr>
          <w:rFonts w:ascii="Times New Roman" w:hAnsi="Times New Roman" w:cs="Times New Roman"/>
          <w:color w:val="333333"/>
          <w:sz w:val="28"/>
          <w:szCs w:val="28"/>
          <w:highlight w:val="white"/>
        </w:rPr>
      </w:pPr>
      <w:r>
        <w:rPr>
          <w:rFonts w:cs="Times New Roman" w:ascii="Times New Roman" w:hAnsi="Times New Roman"/>
          <w:color w:val="333333"/>
          <w:sz w:val="28"/>
          <w:szCs w:val="28"/>
          <w:shd w:fill="FFFFFF" w:val="clear"/>
        </w:rPr>
        <w:t xml:space="preserve">Техническое обеспечение студии. </w:t>
      </w:r>
    </w:p>
    <w:p>
      <w:pPr>
        <w:pStyle w:val="Style31"/>
        <w:numPr>
          <w:ilvl w:val="0"/>
          <w:numId w:val="9"/>
        </w:numPr>
        <w:spacing w:lineRule="auto" w:line="240" w:before="0" w:after="0"/>
        <w:ind w:left="0" w:firstLine="567"/>
        <w:contextualSpacing/>
        <w:rPr>
          <w:rStyle w:val="FontStyle11"/>
          <w:rFonts w:ascii="Calibri" w:hAnsi="Calibri" w:cs="Calibri"/>
          <w:color w:val="333333"/>
          <w:sz w:val="28"/>
          <w:szCs w:val="28"/>
          <w:highlight w:val="white"/>
        </w:rPr>
      </w:pPr>
      <w:r>
        <w:rPr>
          <w:rFonts w:cs="Times New Roman" w:ascii="Times New Roman" w:hAnsi="Times New Roman"/>
          <w:color w:val="333333"/>
          <w:sz w:val="28"/>
          <w:szCs w:val="28"/>
          <w:shd w:fill="FFFFFF" w:val="clear"/>
        </w:rPr>
        <w:t>Увеличение собственных доходов</w:t>
      </w:r>
      <w:r>
        <w:rPr>
          <w:color w:val="333333"/>
          <w:sz w:val="28"/>
          <w:szCs w:val="28"/>
          <w:shd w:fill="FFFFFF" w:val="clear"/>
        </w:rPr>
        <w:t>.</w:t>
      </w:r>
    </w:p>
    <w:p>
      <w:pPr>
        <w:pStyle w:val="Style110"/>
        <w:widowControl/>
        <w:spacing w:before="240" w:after="0"/>
        <w:ind w:firstLine="567"/>
        <w:rPr>
          <w:rStyle w:val="FontStyle11"/>
          <w:sz w:val="28"/>
          <w:szCs w:val="28"/>
        </w:rPr>
      </w:pPr>
      <w:r>
        <w:rPr>
          <w:rStyle w:val="FontStyle11"/>
          <w:b/>
          <w:sz w:val="28"/>
          <w:szCs w:val="28"/>
        </w:rPr>
        <w:t>Соцзащита</w:t>
      </w:r>
    </w:p>
    <w:p>
      <w:pPr>
        <w:pStyle w:val="Style110"/>
        <w:widowControl/>
        <w:ind w:firstLine="567"/>
        <w:rPr>
          <w:color w:val="000000"/>
          <w:sz w:val="22"/>
          <w:szCs w:val="22"/>
        </w:rPr>
      </w:pPr>
      <w:r>
        <w:rPr>
          <w:rStyle w:val="FontStyle11"/>
          <w:sz w:val="28"/>
          <w:szCs w:val="28"/>
        </w:rPr>
        <w:t xml:space="preserve">На территории Шарангского района система учреждений социальной зашиты населения представлена четырьмя учреждениями. Количественный состав штатных работников составляет </w:t>
      </w:r>
      <w:r>
        <w:rPr>
          <w:b/>
          <w:sz w:val="28"/>
          <w:szCs w:val="28"/>
        </w:rPr>
        <w:t>270</w:t>
      </w:r>
      <w:r>
        <w:rPr>
          <w:rStyle w:val="FontStyle11"/>
          <w:sz w:val="28"/>
          <w:szCs w:val="28"/>
        </w:rPr>
        <w:t xml:space="preserve"> человек. Количество получателей мер социальной поддержки – </w:t>
      </w:r>
      <w:r>
        <w:rPr>
          <w:rStyle w:val="FontStyle11"/>
          <w:b/>
          <w:sz w:val="28"/>
          <w:szCs w:val="28"/>
        </w:rPr>
        <w:t>более 14</w:t>
      </w:r>
      <w:r>
        <w:rPr>
          <w:rStyle w:val="FontStyle11"/>
          <w:sz w:val="28"/>
          <w:szCs w:val="28"/>
        </w:rPr>
        <w:t xml:space="preserve"> </w:t>
      </w:r>
      <w:r>
        <w:rPr>
          <w:rStyle w:val="FontStyle11"/>
          <w:b/>
          <w:sz w:val="28"/>
          <w:szCs w:val="28"/>
        </w:rPr>
        <w:t xml:space="preserve"> тыс. </w:t>
      </w:r>
      <w:r>
        <w:rPr>
          <w:sz w:val="28"/>
          <w:szCs w:val="28"/>
        </w:rPr>
        <w:t xml:space="preserve">человек. Социальных пособий и  компенсаций назначено и выплачено на  сумму </w:t>
      </w:r>
      <w:r>
        <w:rPr>
          <w:b/>
          <w:sz w:val="28"/>
          <w:szCs w:val="28"/>
        </w:rPr>
        <w:t>более 90 млн</w:t>
      </w:r>
      <w:r>
        <w:rPr>
          <w:sz w:val="28"/>
          <w:szCs w:val="28"/>
        </w:rPr>
        <w:t>. руб.</w:t>
      </w:r>
      <w:r>
        <w:rPr>
          <w:color w:val="000000"/>
          <w:sz w:val="22"/>
          <w:szCs w:val="22"/>
        </w:rPr>
        <w:t xml:space="preserve">  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Все учреждения социального обслуживания и социального обеспечения выполнили государственное задание.</w:t>
      </w:r>
      <w:r>
        <w:rPr>
          <w:sz w:val="24"/>
          <w:szCs w:val="24"/>
        </w:rPr>
        <w:t xml:space="preserve">  </w:t>
      </w:r>
      <w:r>
        <w:rPr>
          <w:sz w:val="28"/>
          <w:szCs w:val="28"/>
        </w:rPr>
        <w:t xml:space="preserve">В рамках выполнения областной программы «Эффективный регион» в 2019 году учреждения социальной защиты реализовали  6 проектов. </w:t>
      </w:r>
    </w:p>
    <w:p>
      <w:pPr>
        <w:pStyle w:val="Normal"/>
        <w:ind w:firstLine="567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firstLine="567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Полиция</w:t>
      </w:r>
    </w:p>
    <w:p>
      <w:pPr>
        <w:pStyle w:val="Normal"/>
        <w:ind w:firstLine="567"/>
        <w:jc w:val="both"/>
        <w:rPr/>
      </w:pPr>
      <w:r>
        <w:rPr>
          <w:sz w:val="28"/>
          <w:szCs w:val="28"/>
        </w:rPr>
        <w:t>Сотрудниками отделения полиции в Шарангском районе  в 2019 году была проделана определенная работа по профилактике и борьбе с преступностью и правонарушениями, обеспечению надлежащего уровня общественного порядка и общественной безопасности на территории района.</w:t>
      </w:r>
    </w:p>
    <w:p>
      <w:pPr>
        <w:pStyle w:val="Normal"/>
        <w:suppressAutoHyphens w:val="true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целом, оперативная обстановка в районе за прошлый год характеризуется  увеличением количества зарегистрированных преступлений на 9,3%.,  увеличилось число тяжких и особо тяжких преступлений, а также преступлений, совершенных в состоянии алкогольного опьянения. В то же время, уменьшилось  количество преступлений, совершенных в общественных местах. В связи с проводимыми профилактическими мероприятиями не допущен рост преступлений, совершаемых несовершеннолетними.  Уменьшилось число зарегистрированных дорожно-транспортных происшествий с пострадавшими с 10 (2018год)  до 5. ДТП с участием детей  в 2019 году не допущено.</w:t>
      </w:r>
    </w:p>
    <w:p>
      <w:pPr>
        <w:pStyle w:val="Normal"/>
        <w:shd w:fill="FFFFFF" w:val="clear"/>
        <w:ind w:firstLine="567"/>
        <w:jc w:val="both"/>
        <w:rPr/>
      </w:pPr>
      <w:r>
        <w:rPr>
          <w:spacing w:val="-6"/>
          <w:sz w:val="28"/>
          <w:szCs w:val="28"/>
        </w:rPr>
        <w:t xml:space="preserve">Учитывая состояние оперативной обстановки за 2019г. </w:t>
      </w:r>
      <w:r>
        <w:rPr>
          <w:bCs/>
          <w:iCs/>
          <w:spacing w:val="-6"/>
          <w:sz w:val="28"/>
          <w:szCs w:val="28"/>
        </w:rPr>
        <w:t xml:space="preserve">сотрудникам отделения полиции в Шарангском районе </w:t>
      </w:r>
      <w:r>
        <w:rPr>
          <w:b/>
          <w:bCs/>
          <w:iCs/>
          <w:spacing w:val="-6"/>
          <w:sz w:val="28"/>
          <w:szCs w:val="28"/>
        </w:rPr>
        <w:t>необходимо:</w:t>
      </w:r>
      <w:r>
        <w:rPr>
          <w:color w:val="1F282C"/>
          <w:spacing w:val="-6"/>
          <w:sz w:val="28"/>
          <w:szCs w:val="28"/>
        </w:rPr>
        <w:t xml:space="preserve"> </w:t>
      </w:r>
    </w:p>
    <w:p>
      <w:pPr>
        <w:pStyle w:val="Style31"/>
        <w:numPr>
          <w:ilvl w:val="0"/>
          <w:numId w:val="8"/>
        </w:numPr>
        <w:shd w:fill="FFFFFF" w:val="clear"/>
        <w:spacing w:lineRule="auto" w:line="240" w:before="0" w:after="0"/>
        <w:ind w:left="0" w:firstLine="567"/>
        <w:contextualSpacing/>
        <w:jc w:val="both"/>
        <w:rPr/>
      </w:pPr>
      <w:r>
        <w:rPr>
          <w:rFonts w:cs="Times New Roman" w:ascii="Times New Roman" w:hAnsi="Times New Roman"/>
          <w:color w:val="1F282C"/>
          <w:sz w:val="28"/>
          <w:szCs w:val="28"/>
        </w:rPr>
        <w:t xml:space="preserve">Усилить противодействие преступности. Своевременно реагировать на изменение оперативной обстановки на территории района. </w:t>
      </w:r>
      <w:r>
        <w:rPr>
          <w:rFonts w:cs="Times New Roman" w:ascii="Times New Roman" w:hAnsi="Times New Roman"/>
          <w:spacing w:val="-6"/>
          <w:sz w:val="28"/>
          <w:szCs w:val="28"/>
        </w:rPr>
        <w:t xml:space="preserve">Усилить профилактическую работу по борьбе с пьянством. </w:t>
      </w:r>
    </w:p>
    <w:p>
      <w:pPr>
        <w:pStyle w:val="Normal"/>
        <w:numPr>
          <w:ilvl w:val="0"/>
          <w:numId w:val="8"/>
        </w:numPr>
        <w:shd w:fill="FFFFFF" w:val="clear"/>
        <w:ind w:left="0" w:firstLine="567"/>
        <w:jc w:val="both"/>
        <w:rPr/>
      </w:pPr>
      <w:r>
        <w:rPr>
          <w:sz w:val="28"/>
          <w:szCs w:val="28"/>
        </w:rPr>
        <w:t>В целях обеспечения безопасности дорожного движения на территории района особое внимание уделить выявлению грубых нарушений Правил дорожного движения и активизировать работу на наиболее аварийно-опасных участках дорог.</w:t>
      </w:r>
    </w:p>
    <w:p>
      <w:pPr>
        <w:pStyle w:val="Normal"/>
        <w:numPr>
          <w:ilvl w:val="0"/>
          <w:numId w:val="8"/>
        </w:numPr>
        <w:tabs>
          <w:tab w:val="clear" w:pos="720"/>
          <w:tab w:val="left" w:pos="993" w:leader="none"/>
        </w:tabs>
        <w:suppressAutoHyphens w:val="true"/>
        <w:ind w:left="0" w:firstLine="567"/>
        <w:jc w:val="both"/>
        <w:rPr>
          <w:rStyle w:val="FontStyle52"/>
          <w:sz w:val="28"/>
          <w:szCs w:val="28"/>
        </w:rPr>
      </w:pPr>
      <w:r>
        <w:rPr>
          <w:sz w:val="28"/>
          <w:szCs w:val="28"/>
        </w:rPr>
        <w:t>Продолжить профилактическую работу с несовершеннолетними с целью недопущения роста преступлений.</w:t>
      </w:r>
    </w:p>
    <w:p>
      <w:pPr>
        <w:pStyle w:val="Style211"/>
        <w:widowControl/>
        <w:spacing w:lineRule="auto" w:line="240"/>
        <w:ind w:firstLine="567"/>
        <w:jc w:val="both"/>
        <w:rPr>
          <w:rStyle w:val="FontStyle52"/>
          <w:b/>
          <w:b/>
          <w:sz w:val="28"/>
          <w:szCs w:val="28"/>
        </w:rPr>
      </w:pPr>
      <w:r>
        <w:rPr/>
      </w:r>
    </w:p>
    <w:p>
      <w:pPr>
        <w:pStyle w:val="Style211"/>
        <w:widowControl/>
        <w:spacing w:lineRule="auto" w:line="240"/>
        <w:ind w:firstLine="567"/>
        <w:jc w:val="both"/>
        <w:rPr/>
      </w:pPr>
      <w:r>
        <w:rPr>
          <w:rStyle w:val="FontStyle52"/>
          <w:b/>
          <w:sz w:val="28"/>
          <w:szCs w:val="28"/>
        </w:rPr>
        <w:t>Связь и РЭС</w:t>
      </w:r>
    </w:p>
    <w:p>
      <w:pPr>
        <w:pStyle w:val="Style211"/>
        <w:widowControl/>
        <w:spacing w:lineRule="auto" w:line="240"/>
        <w:ind w:firstLine="567"/>
        <w:jc w:val="both"/>
        <w:rPr/>
      </w:pPr>
      <w:r>
        <w:rPr>
          <w:rStyle w:val="FontStyle52"/>
          <w:sz w:val="28"/>
          <w:szCs w:val="28"/>
        </w:rPr>
        <w:t xml:space="preserve">За прошедший год организациями ПАО «Ростелеком» и </w:t>
      </w:r>
      <w:r>
        <w:rPr>
          <w:rStyle w:val="FontStyle80"/>
          <w:rFonts w:cs="Times New Roman"/>
          <w:sz w:val="28"/>
          <w:szCs w:val="28"/>
        </w:rPr>
        <w:t xml:space="preserve">Шарангским РЭС </w:t>
      </w:r>
      <w:r>
        <w:rPr>
          <w:rStyle w:val="FontStyle52"/>
          <w:sz w:val="28"/>
          <w:szCs w:val="28"/>
        </w:rPr>
        <w:t xml:space="preserve">выполнены все доведенные планы по финансовым показателям, капитальному и текущему ремонту. </w:t>
      </w:r>
    </w:p>
    <w:p>
      <w:pPr>
        <w:pStyle w:val="Normal"/>
        <w:ind w:firstLine="567"/>
        <w:jc w:val="both"/>
        <w:rPr>
          <w:rStyle w:val="FontStyle48"/>
          <w:b/>
          <w:b/>
          <w:sz w:val="28"/>
          <w:szCs w:val="28"/>
          <w:highlight w:val="yellow"/>
        </w:rPr>
      </w:pPr>
      <w:r>
        <w:rPr>
          <w:sz w:val="28"/>
          <w:szCs w:val="28"/>
        </w:rPr>
        <w:t xml:space="preserve">В 2019 году  компания  «Ростелеком» приступила к реализации 1 этапа федеральной программы  «Цифровая экономика» с подключением социально-значимых  объектов  к единой сети передачи данных и к сети «Интернет»  на территории Шарангского района.  </w:t>
      </w:r>
    </w:p>
    <w:p>
      <w:pPr>
        <w:pStyle w:val="Normal"/>
        <w:ind w:firstLine="567"/>
        <w:rPr>
          <w:rStyle w:val="FontStyle48"/>
          <w:b/>
          <w:b/>
          <w:sz w:val="28"/>
          <w:szCs w:val="28"/>
        </w:rPr>
      </w:pPr>
      <w:r>
        <w:rPr>
          <w:highlight w:val="yellow"/>
        </w:rPr>
      </w:r>
    </w:p>
    <w:p>
      <w:pPr>
        <w:pStyle w:val="Normal"/>
        <w:ind w:firstLine="567"/>
        <w:rPr>
          <w:rStyle w:val="FontStyle48"/>
          <w:b/>
          <w:b/>
          <w:sz w:val="24"/>
          <w:szCs w:val="24"/>
        </w:rPr>
      </w:pPr>
      <w:r>
        <w:rPr/>
      </w:r>
    </w:p>
    <w:p>
      <w:pPr>
        <w:pStyle w:val="Normal"/>
        <w:ind w:firstLine="567"/>
        <w:rPr/>
      </w:pPr>
      <w:r>
        <w:rPr>
          <w:rStyle w:val="FontStyle48"/>
          <w:b/>
          <w:sz w:val="28"/>
          <w:szCs w:val="28"/>
        </w:rPr>
        <w:t>ПАП</w:t>
      </w:r>
    </w:p>
    <w:p>
      <w:pPr>
        <w:pStyle w:val="Style41"/>
        <w:widowControl/>
        <w:spacing w:lineRule="auto" w:line="240"/>
        <w:ind w:firstLine="567"/>
        <w:jc w:val="both"/>
        <w:rPr/>
      </w:pPr>
      <w:r>
        <w:rPr>
          <w:rStyle w:val="FontStyle48"/>
          <w:sz w:val="28"/>
          <w:szCs w:val="28"/>
        </w:rPr>
        <w:t xml:space="preserve">В 2019 </w:t>
      </w:r>
      <w:r>
        <w:rPr>
          <w:rStyle w:val="FontStyle60"/>
          <w:sz w:val="28"/>
          <w:szCs w:val="28"/>
        </w:rPr>
        <w:t xml:space="preserve">году услугами пассажирского транспорта воспользовалось более  </w:t>
      </w:r>
      <w:r>
        <w:rPr>
          <w:rStyle w:val="FontStyle60"/>
          <w:b/>
          <w:sz w:val="28"/>
          <w:szCs w:val="28"/>
        </w:rPr>
        <w:t xml:space="preserve">трехсот двадцати </w:t>
      </w:r>
      <w:r>
        <w:rPr>
          <w:rStyle w:val="FontStyle48"/>
          <w:b/>
          <w:sz w:val="28"/>
          <w:szCs w:val="28"/>
        </w:rPr>
        <w:t>тысяч</w:t>
      </w:r>
      <w:r>
        <w:rPr>
          <w:rStyle w:val="FontStyle48"/>
          <w:sz w:val="28"/>
          <w:szCs w:val="28"/>
        </w:rPr>
        <w:t xml:space="preserve"> </w:t>
      </w:r>
      <w:r>
        <w:rPr>
          <w:rStyle w:val="FontStyle84"/>
          <w:b w:val="false"/>
          <w:sz w:val="28"/>
          <w:szCs w:val="28"/>
        </w:rPr>
        <w:t>человек</w:t>
      </w:r>
      <w:r>
        <w:rPr>
          <w:rStyle w:val="FontStyle84"/>
          <w:sz w:val="28"/>
          <w:szCs w:val="28"/>
        </w:rPr>
        <w:t xml:space="preserve"> </w:t>
      </w:r>
      <w:r>
        <w:rPr>
          <w:rStyle w:val="FontStyle48"/>
          <w:sz w:val="28"/>
          <w:szCs w:val="28"/>
        </w:rPr>
        <w:t xml:space="preserve">или 67% </w:t>
      </w:r>
      <w:r>
        <w:rPr>
          <w:rStyle w:val="FontStyle60"/>
          <w:sz w:val="28"/>
          <w:szCs w:val="28"/>
        </w:rPr>
        <w:t xml:space="preserve">к </w:t>
      </w:r>
      <w:r>
        <w:rPr>
          <w:rStyle w:val="FontStyle48"/>
          <w:sz w:val="28"/>
          <w:szCs w:val="28"/>
        </w:rPr>
        <w:t xml:space="preserve">2018 </w:t>
      </w:r>
      <w:r>
        <w:rPr>
          <w:rStyle w:val="FontStyle60"/>
          <w:sz w:val="28"/>
          <w:szCs w:val="28"/>
        </w:rPr>
        <w:t xml:space="preserve">году. Из них граждан льготных категорий и учащихся - </w:t>
      </w:r>
      <w:r>
        <w:rPr>
          <w:rStyle w:val="FontStyle60"/>
          <w:b/>
          <w:sz w:val="28"/>
          <w:szCs w:val="28"/>
        </w:rPr>
        <w:t>132</w:t>
      </w:r>
      <w:r>
        <w:rPr>
          <w:rStyle w:val="FontStyle84"/>
          <w:sz w:val="28"/>
          <w:szCs w:val="28"/>
        </w:rPr>
        <w:t xml:space="preserve"> тысячи 300 </w:t>
      </w:r>
      <w:r>
        <w:rPr>
          <w:rStyle w:val="FontStyle84"/>
          <w:b w:val="false"/>
          <w:sz w:val="28"/>
          <w:szCs w:val="28"/>
        </w:rPr>
        <w:t>человек</w:t>
      </w:r>
      <w:r>
        <w:rPr>
          <w:rStyle w:val="FontStyle84"/>
          <w:sz w:val="28"/>
          <w:szCs w:val="28"/>
        </w:rPr>
        <w:t>.</w:t>
      </w:r>
    </w:p>
    <w:p>
      <w:pPr>
        <w:pStyle w:val="Style301"/>
        <w:widowControl/>
        <w:ind w:firstLine="567"/>
        <w:jc w:val="both"/>
        <w:rPr>
          <w:rStyle w:val="FontStyle85"/>
          <w:sz w:val="28"/>
          <w:szCs w:val="28"/>
        </w:rPr>
      </w:pPr>
      <w:r>
        <w:rPr>
          <w:rStyle w:val="FontStyle84"/>
          <w:b w:val="false"/>
          <w:sz w:val="28"/>
          <w:szCs w:val="28"/>
        </w:rPr>
        <w:t xml:space="preserve">За прошлый год </w:t>
      </w:r>
      <w:r>
        <w:rPr>
          <w:rStyle w:val="FontStyle60"/>
          <w:sz w:val="28"/>
          <w:szCs w:val="28"/>
        </w:rPr>
        <w:t xml:space="preserve"> </w:t>
      </w:r>
      <w:r>
        <w:rPr>
          <w:rStyle w:val="FontStyle84"/>
          <w:b w:val="false"/>
          <w:sz w:val="28"/>
          <w:szCs w:val="28"/>
        </w:rPr>
        <w:t xml:space="preserve">предприятием получены доходы в сумме  </w:t>
      </w:r>
      <w:r>
        <w:rPr>
          <w:rStyle w:val="FontStyle84"/>
          <w:sz w:val="28"/>
          <w:szCs w:val="28"/>
        </w:rPr>
        <w:t xml:space="preserve">22 млн 700 тыс. рублей </w:t>
      </w:r>
      <w:r>
        <w:rPr>
          <w:rStyle w:val="FontStyle48"/>
          <w:sz w:val="28"/>
          <w:szCs w:val="28"/>
        </w:rPr>
        <w:t xml:space="preserve">или 76% </w:t>
      </w:r>
      <w:r>
        <w:rPr>
          <w:rStyle w:val="FontStyle60"/>
          <w:sz w:val="28"/>
          <w:szCs w:val="28"/>
        </w:rPr>
        <w:t xml:space="preserve">к </w:t>
      </w:r>
      <w:r>
        <w:rPr>
          <w:rStyle w:val="FontStyle48"/>
          <w:sz w:val="28"/>
          <w:szCs w:val="28"/>
        </w:rPr>
        <w:t xml:space="preserve">2018 </w:t>
      </w:r>
      <w:r>
        <w:rPr>
          <w:rStyle w:val="FontStyle60"/>
          <w:sz w:val="28"/>
          <w:szCs w:val="28"/>
        </w:rPr>
        <w:t>году. Уменьшились р</w:t>
      </w:r>
      <w:r>
        <w:rPr>
          <w:rStyle w:val="FontStyle84"/>
          <w:b w:val="false"/>
          <w:sz w:val="28"/>
          <w:szCs w:val="28"/>
        </w:rPr>
        <w:t xml:space="preserve">асходы, которые  </w:t>
      </w:r>
      <w:r>
        <w:rPr>
          <w:rStyle w:val="FontStyle60"/>
          <w:sz w:val="28"/>
          <w:szCs w:val="28"/>
        </w:rPr>
        <w:t xml:space="preserve">составили </w:t>
      </w:r>
      <w:r>
        <w:rPr>
          <w:rStyle w:val="FontStyle60"/>
          <w:b/>
          <w:sz w:val="28"/>
          <w:szCs w:val="28"/>
        </w:rPr>
        <w:t>29</w:t>
      </w:r>
      <w:r>
        <w:rPr>
          <w:rStyle w:val="FontStyle84"/>
          <w:b w:val="false"/>
          <w:sz w:val="28"/>
          <w:szCs w:val="28"/>
        </w:rPr>
        <w:t xml:space="preserve"> </w:t>
      </w:r>
      <w:r>
        <w:rPr>
          <w:rStyle w:val="FontStyle84"/>
          <w:sz w:val="28"/>
          <w:szCs w:val="28"/>
        </w:rPr>
        <w:t xml:space="preserve">млн 129 тыс. рублей </w:t>
      </w:r>
      <w:r>
        <w:rPr>
          <w:rStyle w:val="FontStyle48"/>
          <w:sz w:val="28"/>
          <w:szCs w:val="28"/>
        </w:rPr>
        <w:t xml:space="preserve">– 89 % </w:t>
      </w:r>
      <w:r>
        <w:rPr>
          <w:rStyle w:val="FontStyle60"/>
          <w:sz w:val="28"/>
          <w:szCs w:val="28"/>
        </w:rPr>
        <w:t xml:space="preserve">к </w:t>
      </w:r>
      <w:r>
        <w:rPr>
          <w:rStyle w:val="FontStyle48"/>
          <w:sz w:val="28"/>
          <w:szCs w:val="28"/>
        </w:rPr>
        <w:t xml:space="preserve">2018 </w:t>
      </w:r>
      <w:r>
        <w:rPr>
          <w:rStyle w:val="FontStyle60"/>
          <w:sz w:val="28"/>
          <w:szCs w:val="28"/>
        </w:rPr>
        <w:t xml:space="preserve">году. </w:t>
      </w:r>
    </w:p>
    <w:p>
      <w:pPr>
        <w:pStyle w:val="Style291"/>
        <w:widowControl/>
        <w:spacing w:lineRule="auto" w:line="240"/>
        <w:ind w:firstLine="567"/>
        <w:rPr>
          <w:rStyle w:val="FontStyle84"/>
          <w:sz w:val="28"/>
          <w:szCs w:val="28"/>
        </w:rPr>
      </w:pPr>
      <w:r>
        <w:rPr>
          <w:rStyle w:val="FontStyle48"/>
          <w:sz w:val="28"/>
          <w:szCs w:val="28"/>
        </w:rPr>
        <w:t xml:space="preserve">В 2019 </w:t>
      </w:r>
      <w:r>
        <w:rPr>
          <w:rStyle w:val="FontStyle60"/>
          <w:sz w:val="28"/>
          <w:szCs w:val="28"/>
        </w:rPr>
        <w:t>году во все автобусы и в кассу  остановочного пункта «Шарангская  автостанция» были установлены транспортные терминалы для оплаты проезда транспортными и банковскими картами.</w:t>
      </w:r>
    </w:p>
    <w:p>
      <w:pPr>
        <w:pStyle w:val="Normal"/>
        <w:ind w:firstLine="567"/>
        <w:jc w:val="both"/>
        <w:rPr>
          <w:rStyle w:val="FontStyle48"/>
          <w:b/>
          <w:b/>
          <w:sz w:val="28"/>
          <w:szCs w:val="28"/>
        </w:rPr>
      </w:pPr>
      <w:r>
        <w:rPr/>
      </w:r>
    </w:p>
    <w:p>
      <w:pPr>
        <w:pStyle w:val="Normal"/>
        <w:ind w:firstLine="567"/>
        <w:jc w:val="both"/>
        <w:rPr/>
      </w:pPr>
      <w:r>
        <w:rPr>
          <w:rStyle w:val="FontStyle48"/>
          <w:b/>
          <w:sz w:val="28"/>
          <w:szCs w:val="28"/>
        </w:rPr>
        <w:t xml:space="preserve">В </w:t>
      </w:r>
      <w:r>
        <w:rPr>
          <w:rStyle w:val="FontStyle60"/>
          <w:b/>
          <w:sz w:val="28"/>
          <w:szCs w:val="28"/>
        </w:rPr>
        <w:t xml:space="preserve">плане работы на </w:t>
      </w:r>
      <w:r>
        <w:rPr>
          <w:rStyle w:val="FontStyle48"/>
          <w:b/>
          <w:sz w:val="28"/>
          <w:szCs w:val="28"/>
        </w:rPr>
        <w:t xml:space="preserve">2020 </w:t>
      </w:r>
      <w:r>
        <w:rPr>
          <w:rStyle w:val="FontStyle60"/>
          <w:b/>
          <w:sz w:val="28"/>
          <w:szCs w:val="28"/>
        </w:rPr>
        <w:t>год ставятся следующие задачи:</w:t>
      </w:r>
    </w:p>
    <w:p>
      <w:pPr>
        <w:pStyle w:val="Style311"/>
        <w:widowControl/>
        <w:numPr>
          <w:ilvl w:val="0"/>
          <w:numId w:val="11"/>
        </w:numPr>
        <w:tabs>
          <w:tab w:val="clear" w:pos="720"/>
          <w:tab w:val="left" w:pos="384" w:leader="none"/>
        </w:tabs>
        <w:ind w:left="0" w:firstLine="567"/>
        <w:rPr/>
      </w:pPr>
      <w:r>
        <w:rPr>
          <w:rStyle w:val="FontStyle60"/>
          <w:sz w:val="28"/>
          <w:szCs w:val="28"/>
        </w:rPr>
        <w:t>Проведение работы по оптимизации  маршрутной сети</w:t>
      </w:r>
    </w:p>
    <w:p>
      <w:pPr>
        <w:pStyle w:val="Style311"/>
        <w:widowControl/>
        <w:numPr>
          <w:ilvl w:val="0"/>
          <w:numId w:val="11"/>
        </w:numPr>
        <w:tabs>
          <w:tab w:val="clear" w:pos="720"/>
          <w:tab w:val="left" w:pos="384" w:leader="none"/>
        </w:tabs>
        <w:ind w:left="0" w:firstLine="567"/>
        <w:rPr>
          <w:rStyle w:val="FontStyle48"/>
          <w:sz w:val="28"/>
          <w:szCs w:val="28"/>
        </w:rPr>
      </w:pPr>
      <w:r>
        <w:rPr>
          <w:rStyle w:val="FontStyle60"/>
          <w:sz w:val="28"/>
          <w:szCs w:val="28"/>
        </w:rPr>
        <w:t xml:space="preserve">Обеспечение в полном объеме потребности населения </w:t>
      </w:r>
      <w:r>
        <w:rPr>
          <w:rStyle w:val="FontStyle85"/>
          <w:sz w:val="28"/>
          <w:szCs w:val="28"/>
        </w:rPr>
        <w:t xml:space="preserve">района в перевозках </w:t>
      </w:r>
      <w:r>
        <w:rPr>
          <w:rStyle w:val="FontStyle60"/>
          <w:sz w:val="28"/>
          <w:szCs w:val="28"/>
        </w:rPr>
        <w:t>общественным транспортом</w:t>
      </w:r>
    </w:p>
    <w:p>
      <w:pPr>
        <w:pStyle w:val="Style311"/>
        <w:widowControl/>
        <w:numPr>
          <w:ilvl w:val="0"/>
          <w:numId w:val="11"/>
        </w:numPr>
        <w:tabs>
          <w:tab w:val="clear" w:pos="720"/>
          <w:tab w:val="left" w:pos="298" w:leader="none"/>
        </w:tabs>
        <w:ind w:left="0" w:firstLine="567"/>
        <w:jc w:val="left"/>
        <w:rPr/>
      </w:pPr>
      <w:r>
        <w:rPr>
          <w:rStyle w:val="FontStyle60"/>
          <w:sz w:val="28"/>
          <w:szCs w:val="28"/>
        </w:rPr>
        <w:t>Обновление и ремонт подвижного состава</w:t>
      </w:r>
    </w:p>
    <w:p>
      <w:pPr>
        <w:pStyle w:val="Style311"/>
        <w:widowControl/>
        <w:numPr>
          <w:ilvl w:val="0"/>
          <w:numId w:val="11"/>
        </w:numPr>
        <w:tabs>
          <w:tab w:val="clear" w:pos="720"/>
          <w:tab w:val="left" w:pos="298" w:leader="none"/>
        </w:tabs>
        <w:ind w:left="0" w:firstLine="567"/>
        <w:rPr>
          <w:rStyle w:val="FontStyle85"/>
          <w:sz w:val="28"/>
          <w:szCs w:val="28"/>
        </w:rPr>
      </w:pPr>
      <w:r>
        <w:rPr>
          <w:rStyle w:val="FontStyle60"/>
          <w:sz w:val="28"/>
          <w:szCs w:val="28"/>
        </w:rPr>
        <w:t xml:space="preserve">Снижение убыточности от работы транспорта при перевозке  </w:t>
      </w:r>
      <w:r>
        <w:rPr>
          <w:rStyle w:val="FontStyle85"/>
          <w:sz w:val="28"/>
          <w:szCs w:val="28"/>
        </w:rPr>
        <w:t>пассажиров</w:t>
      </w:r>
    </w:p>
    <w:p>
      <w:pPr>
        <w:pStyle w:val="Normal"/>
        <w:ind w:firstLine="567"/>
        <w:jc w:val="both"/>
        <w:rPr>
          <w:rStyle w:val="FontStyle85"/>
          <w:b/>
          <w:b/>
          <w:sz w:val="28"/>
          <w:szCs w:val="28"/>
        </w:rPr>
      </w:pPr>
      <w:r>
        <w:rPr/>
      </w:r>
    </w:p>
    <w:p>
      <w:pPr>
        <w:pStyle w:val="Normal"/>
        <w:ind w:firstLine="567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firstLine="567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firstLine="567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МФЦ</w:t>
      </w:r>
    </w:p>
    <w:p>
      <w:pPr>
        <w:pStyle w:val="Style31"/>
        <w:spacing w:lineRule="auto" w:line="240"/>
        <w:ind w:left="0"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МФЦ Шарангского района осуществляет свою деятельность с октября 2014 года. По состоянию на 1 января 2019 года организовано 4 окна для обслуживания заявителей. </w:t>
      </w:r>
      <w:r>
        <w:rPr>
          <w:rFonts w:cs="Times New Roman" w:ascii="Times New Roman" w:hAnsi="Times New Roman"/>
          <w:bCs/>
          <w:sz w:val="28"/>
          <w:szCs w:val="28"/>
          <w:lang w:eastAsia="ar-SA"/>
        </w:rPr>
        <w:t>Учреждение оказало населению района более 100 государственных и 37 муниципальных услуг.</w:t>
      </w:r>
    </w:p>
    <w:p>
      <w:pPr>
        <w:pStyle w:val="Style31"/>
        <w:spacing w:lineRule="auto" w:line="240"/>
        <w:ind w:left="0" w:firstLine="567"/>
        <w:jc w:val="both"/>
        <w:rPr>
          <w:rFonts w:ascii="Times New Roman" w:hAnsi="Times New Roman" w:cs="Times New Roman"/>
          <w:bCs/>
          <w:sz w:val="28"/>
          <w:szCs w:val="28"/>
          <w:lang w:eastAsia="ar-SA"/>
        </w:rPr>
      </w:pPr>
      <w:r>
        <w:rPr>
          <w:rFonts w:cs="Times New Roman" w:ascii="Times New Roman" w:hAnsi="Times New Roman"/>
          <w:bCs/>
          <w:sz w:val="28"/>
          <w:szCs w:val="28"/>
          <w:lang w:eastAsia="ar-SA"/>
        </w:rPr>
        <w:t>Муниципальное задание на 2019 год выполнено.</w:t>
      </w:r>
    </w:p>
    <w:p>
      <w:pPr>
        <w:pStyle w:val="Style33"/>
        <w:shd w:fill="FFFFFF" w:val="clear"/>
        <w:spacing w:before="0" w:after="36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В отчетный период по данным сайта «Ваш Контроль» деятельность МФЦ Шарангского района оценило более  20 тысяч  заявителей, 99,5% из них дали положительные оценки деятельности центра. </w:t>
      </w:r>
    </w:p>
    <w:p>
      <w:pPr>
        <w:pStyle w:val="Style33"/>
        <w:shd w:fill="FFFFFF" w:val="clear"/>
        <w:spacing w:before="0" w:after="360"/>
        <w:contextualSpacing/>
        <w:jc w:val="both"/>
        <w:rPr>
          <w:bCs/>
          <w:sz w:val="28"/>
          <w:szCs w:val="28"/>
          <w:highlight w:val="yellow"/>
          <w:lang w:eastAsia="ar-SA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</w:rPr>
        <w:t>Сумма госпошлины, возвращенная в бюджет района за услуги, предоставленные через МФЦ по состоянию на 1 января текущего года составила 1 млн. 224 тысячи рублей. Наибольший доход в бюджет района принесли услуги Росреестра и МВД.</w:t>
      </w:r>
    </w:p>
    <w:p>
      <w:pPr>
        <w:pStyle w:val="Style31"/>
        <w:spacing w:lineRule="auto" w:line="240"/>
        <w:ind w:left="0" w:firstLine="567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Задачи на 2020 год:</w:t>
      </w:r>
    </w:p>
    <w:p>
      <w:pPr>
        <w:pStyle w:val="Style31"/>
        <w:spacing w:lineRule="auto" w:line="240"/>
        <w:ind w:left="0" w:firstLine="567"/>
        <w:jc w:val="both"/>
        <w:rPr/>
      </w:pPr>
      <w:r>
        <w:rPr>
          <w:color w:val="000000"/>
          <w:sz w:val="28"/>
          <w:szCs w:val="28"/>
        </w:rPr>
        <w:t xml:space="preserve">- </w:t>
      </w:r>
      <w:r>
        <w:rPr>
          <w:rFonts w:cs="Times New Roman" w:ascii="Times New Roman" w:hAnsi="Times New Roman"/>
          <w:color w:val="000000"/>
          <w:sz w:val="28"/>
          <w:szCs w:val="28"/>
        </w:rPr>
        <w:t>Повышение комфортности получения гражданами и юридическими лицами государственных и муниципальных услуг;</w:t>
      </w:r>
    </w:p>
    <w:p>
      <w:pPr>
        <w:pStyle w:val="Normal"/>
        <w:ind w:firstLine="567"/>
        <w:rPr>
          <w:b/>
          <w:b/>
          <w:sz w:val="28"/>
          <w:szCs w:val="28"/>
          <w:highlight w:val="yellow"/>
        </w:rPr>
      </w:pPr>
      <w:r>
        <w:rPr>
          <w:color w:val="000000"/>
          <w:sz w:val="28"/>
          <w:szCs w:val="28"/>
        </w:rPr>
        <w:t>- Увеличение количества оказываемых услуг.</w:t>
      </w:r>
    </w:p>
    <w:p>
      <w:pPr>
        <w:pStyle w:val="Normal"/>
        <w:ind w:firstLine="567"/>
        <w:jc w:val="both"/>
        <w:rPr>
          <w:b/>
          <w:b/>
          <w:color w:val="000000"/>
          <w:sz w:val="28"/>
          <w:szCs w:val="28"/>
          <w:highlight w:val="yellow"/>
        </w:rPr>
      </w:pPr>
      <w:r>
        <w:rPr>
          <w:b/>
          <w:color w:val="000000"/>
          <w:sz w:val="28"/>
          <w:szCs w:val="28"/>
          <w:highlight w:val="yellow"/>
        </w:rPr>
      </w:r>
    </w:p>
    <w:p>
      <w:pPr>
        <w:pStyle w:val="Normal"/>
        <w:ind w:firstLine="567"/>
        <w:jc w:val="both"/>
        <w:rPr/>
      </w:pPr>
      <w:r>
        <w:rPr>
          <w:color w:val="000000"/>
          <w:sz w:val="28"/>
          <w:szCs w:val="28"/>
        </w:rPr>
        <w:t xml:space="preserve">В заключение хочу сказать, что  </w:t>
      </w:r>
      <w:r>
        <w:rPr>
          <w:sz w:val="28"/>
          <w:szCs w:val="28"/>
        </w:rPr>
        <w:t>за всеми цифрами и результатами, отмеченными в докладе, стоит самоотверженный труд тысяч людей, живущих в нашем районе. Я искренне признателен нашим депутатам, работникам администрации, главам администраций поселений, руководителям  учреждений и предприятий, жителям района за поддержку и взаимопонимание. Уверен, что совместными усилиями мы сумеем решить поставленные задачи во благо жителей нашего Шарангского района.</w:t>
      </w:r>
    </w:p>
    <w:p>
      <w:pPr>
        <w:pStyle w:val="Style33"/>
        <w:shd w:fill="FFFFFF" w:val="clear"/>
        <w:spacing w:before="0" w:after="0"/>
        <w:ind w:firstLine="567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sectPr>
      <w:headerReference w:type="default" r:id="rId3"/>
      <w:headerReference w:type="first" r:id="rId4"/>
      <w:type w:val="nextPage"/>
      <w:pgSz w:w="11906" w:h="16838"/>
      <w:pgMar w:left="1418" w:right="851" w:header="567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libri">
    <w:charset w:val="cc"/>
    <w:family w:val="swiss"/>
    <w:pitch w:val="variable"/>
  </w:font>
  <w:font w:name="Cambria">
    <w:charset w:val="cc"/>
    <w:family w:val="roman"/>
    <w:pitch w:val="variable"/>
  </w:font>
  <w:font w:name="Georgia">
    <w:charset w:val="cc"/>
    <w:family w:val="roman"/>
    <w:pitch w:val="variable"/>
  </w:font>
  <w:font w:name="Tahoma">
    <w:charset w:val="cc"/>
    <w:family w:val="swiss"/>
    <w:pitch w:val="variable"/>
  </w:font>
  <w:font w:name="Constant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yandex-sans">
    <w:altName w:val="Times New Roman"/>
    <w:charset w:val="00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8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17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27635" cy="146685"/>
              <wp:effectExtent l="0" t="0" r="0" b="0"/>
              <wp:wrapSquare wrapText="largest"/>
              <wp:docPr id="6" name="Врезка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7635" cy="14668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8"/>
                            <w:rPr>
                              <w:rStyle w:val="Style15"/>
                            </w:rPr>
                          </w:pPr>
                          <w:r>
                            <w:rPr>
                              <w:rStyle w:val="Style15"/>
                            </w:rPr>
                            <w:fldChar w:fldCharType="begin"/>
                          </w:r>
                          <w:r>
                            <w:rPr>
                              <w:rStyle w:val="Style15"/>
                            </w:rPr>
                            <w:instrText> PAGE </w:instrText>
                          </w:r>
                          <w:r>
                            <w:rPr>
                              <w:rStyle w:val="Style15"/>
                            </w:rPr>
                            <w:fldChar w:fldCharType="separate"/>
                          </w:r>
                          <w:r>
                            <w:rPr>
                              <w:rStyle w:val="Style15"/>
                            </w:rPr>
                            <w:t>16</w:t>
                          </w:r>
                          <w:r>
                            <w:rPr>
                              <w:rStyle w:val="Style15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10.05pt;height:11.55pt;mso-wrap-distance-left:0pt;mso-wrap-distance-right:0pt;mso-wrap-distance-top:0pt;mso-wrap-distance-bottom:0pt;margin-top:0.05pt;mso-position-vertical-relative:text;margin-left:235.9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Style28"/>
                      <w:rPr>
                        <w:rStyle w:val="Style15"/>
                      </w:rPr>
                    </w:pPr>
                    <w:r>
                      <w:rPr>
                        <w:rStyle w:val="Style15"/>
                      </w:rPr>
                      <w:fldChar w:fldCharType="begin"/>
                    </w:r>
                    <w:r>
                      <w:rPr>
                        <w:rStyle w:val="Style15"/>
                      </w:rPr>
                      <w:instrText> PAGE </w:instrText>
                    </w:r>
                    <w:r>
                      <w:rPr>
                        <w:rStyle w:val="Style15"/>
                      </w:rPr>
                      <w:fldChar w:fldCharType="separate"/>
                    </w:r>
                    <w:r>
                      <w:rPr>
                        <w:rStyle w:val="Style15"/>
                      </w:rPr>
                      <w:t>16</w:t>
                    </w:r>
                    <w:r>
                      <w:rPr>
                        <w:rStyle w:val="Style15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8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ind w:left="927" w:hanging="360"/>
      </w:pPr>
      <w:rPr/>
    </w:lvl>
  </w:abstractNum>
  <w:abstractNum w:abstractNumId="3">
    <w:lvl w:ilvl="0">
      <w:start w:val="1"/>
      <w:numFmt w:val="bullet"/>
      <w:lvlText w:val=""/>
      <w:lvlJc w:val="left"/>
      <w:pPr>
        <w:ind w:left="928" w:hanging="360"/>
      </w:pPr>
      <w:rPr>
        <w:rFonts w:ascii="Symbol" w:hAnsi="Symbol" w:cs="Symbol" w:hint="default"/>
        <w:rFonts w:cs="Symbol"/>
      </w:rPr>
    </w:lvl>
  </w:abstractNum>
  <w:abstractNum w:abstractNumId="4">
    <w:lvl w:ilvl="0">
      <w:start w:val="1"/>
      <w:numFmt w:val="decimal"/>
      <w:lvlText w:val="%1."/>
      <w:lvlJc w:val="left"/>
      <w:pPr>
        <w:ind w:left="927" w:hanging="360"/>
      </w:pPr>
      <w:rPr>
        <w:sz w:val="28"/>
        <w:szCs w:val="28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sz w:val="28"/>
        <w:b/>
        <w:szCs w:val="28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sz w:val="28"/>
        <w:szCs w:val="28"/>
        <w:color w:val="000000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/>
    </w:lvl>
  </w:abstractNum>
  <w:abstractNum w:abstractNumId="8">
    <w:lvl w:ilvl="0">
      <w:start w:val="1"/>
      <w:numFmt w:val="decimal"/>
      <w:lvlText w:val="%1."/>
      <w:lvlJc w:val="left"/>
      <w:pPr>
        <w:ind w:left="927" w:hanging="360"/>
      </w:pPr>
      <w:rPr>
        <w:sz w:val="28"/>
        <w:spacing w:val="-6"/>
        <w:szCs w:val="28"/>
        <w:rFonts w:ascii="Times New Roman" w:hAnsi="Times New Roman" w:cs="Times New Roman"/>
      </w:rPr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>
        <w:sz w:val="28"/>
        <w:szCs w:val="28"/>
        <w:color w:val="333333"/>
      </w:rPr>
    </w:lvl>
  </w:abstractNum>
  <w:abstractNum w:abstractNumId="10">
    <w:lvl w:ilvl="0">
      <w:start w:val="1"/>
      <w:numFmt w:val="decimal"/>
      <w:lvlText w:val="%1."/>
      <w:lvlJc w:val="left"/>
      <w:pPr>
        <w:ind w:left="644" w:hanging="360"/>
      </w:pPr>
      <w:rPr>
        <w:rFonts w:ascii="Calibri" w:hAnsi="Calibri" w:eastAsia="Calibri" w:cs="Times New Roman"/>
      </w:rPr>
    </w:lvl>
  </w:abstractNum>
  <w:abstractNum w:abstractNumId="11">
    <w:lvl w:ilvl="0">
      <w:start w:val="1"/>
      <w:numFmt w:val="decimal"/>
      <w:lvlText w:val="%1."/>
      <w:lvlJc w:val="left"/>
      <w:pPr>
        <w:tabs>
          <w:tab w:val="num" w:pos="720"/>
        </w:tabs>
        <w:ind w:left="0" w:hanging="0"/>
      </w:pPr>
      <w:rPr>
        <w:sz w:val="28"/>
        <w:szCs w:val="28"/>
        <w:rFonts w:ascii="Times New Roman" w:hAnsi="Times New Roman"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>
      <w:sz w:val="28"/>
      <w:szCs w:val="28"/>
    </w:rPr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b/>
      <w:sz w:val="28"/>
      <w:szCs w:val="28"/>
    </w:rPr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Symbol" w:hAnsi="Symbol" w:cs="Symbol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6z0">
    <w:name w:val="WW8Num6z0"/>
    <w:qFormat/>
    <w:rPr>
      <w:rFonts w:ascii="Symbol" w:hAnsi="Symbol" w:cs="Symbol"/>
    </w:rPr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>
      <w:sz w:val="28"/>
      <w:szCs w:val="28"/>
    </w:rPr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>
      <w:rFonts w:ascii="Times New Roman" w:hAnsi="Times New Roman" w:cs="Times New Roman"/>
      <w:sz w:val="28"/>
      <w:szCs w:val="28"/>
    </w:rPr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>
      <w:rFonts w:ascii="Times New Roman" w:hAnsi="Times New Roman" w:eastAsia="Times New Roman" w:cs="Times New Roman"/>
    </w:rPr>
  </w:style>
  <w:style w:type="character" w:styleId="WW8Num13z1">
    <w:name w:val="WW8Num13z1"/>
    <w:qFormat/>
    <w:rPr>
      <w:rFonts w:ascii="Courier New" w:hAnsi="Courier New" w:cs="Courier New"/>
    </w:rPr>
  </w:style>
  <w:style w:type="character" w:styleId="WW8Num13z2">
    <w:name w:val="WW8Num13z2"/>
    <w:qFormat/>
    <w:rPr>
      <w:rFonts w:ascii="Wingdings" w:hAnsi="Wingdings" w:cs="Wingdings"/>
    </w:rPr>
  </w:style>
  <w:style w:type="character" w:styleId="WW8Num13z3">
    <w:name w:val="WW8Num13z3"/>
    <w:qFormat/>
    <w:rPr>
      <w:rFonts w:ascii="Symbol" w:hAnsi="Symbol" w:cs="Symbol"/>
    </w:rPr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>
      <w:b/>
      <w:sz w:val="28"/>
      <w:szCs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>
      <w:rFonts w:ascii="Symbol" w:hAnsi="Symbol" w:cs="Symbol"/>
    </w:rPr>
  </w:style>
  <w:style w:type="character" w:styleId="WW8Num16z1">
    <w:name w:val="WW8Num16z1"/>
    <w:qFormat/>
    <w:rPr>
      <w:rFonts w:ascii="Courier New" w:hAnsi="Courier New" w:cs="Courier New"/>
    </w:rPr>
  </w:style>
  <w:style w:type="character" w:styleId="WW8Num16z2">
    <w:name w:val="WW8Num16z2"/>
    <w:qFormat/>
    <w:rPr>
      <w:rFonts w:ascii="Wingdings" w:hAnsi="Wingdings" w:cs="Wingdings"/>
    </w:rPr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>
      <w:color w:val="000000"/>
      <w:sz w:val="28"/>
      <w:szCs w:val="28"/>
    </w:rPr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b/>
    </w:rPr>
  </w:style>
  <w:style w:type="character" w:styleId="WW8Num21z1">
    <w:name w:val="WW8Num21z1"/>
    <w:qFormat/>
    <w:rPr>
      <w:b w:val="false"/>
    </w:rPr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>
      <w:sz w:val="28"/>
      <w:szCs w:val="28"/>
    </w:rPr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>
      <w:sz w:val="28"/>
      <w:szCs w:val="28"/>
    </w:rPr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>
      <w:rFonts w:ascii="Times New Roman" w:hAnsi="Times New Roman" w:cs="Times New Roman"/>
      <w:spacing w:val="-6"/>
      <w:sz w:val="28"/>
      <w:szCs w:val="28"/>
    </w:rPr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WW8Num27z0">
    <w:name w:val="WW8Num27z0"/>
    <w:qFormat/>
    <w:rPr>
      <w:color w:val="333333"/>
      <w:sz w:val="28"/>
      <w:szCs w:val="28"/>
    </w:rPr>
  </w:style>
  <w:style w:type="character" w:styleId="WW8Num27z1">
    <w:name w:val="WW8Num27z1"/>
    <w:qFormat/>
    <w:rPr/>
  </w:style>
  <w:style w:type="character" w:styleId="WW8Num27z2">
    <w:name w:val="WW8Num27z2"/>
    <w:qFormat/>
    <w:rPr/>
  </w:style>
  <w:style w:type="character" w:styleId="WW8Num27z3">
    <w:name w:val="WW8Num27z3"/>
    <w:qFormat/>
    <w:rPr/>
  </w:style>
  <w:style w:type="character" w:styleId="WW8Num27z4">
    <w:name w:val="WW8Num27z4"/>
    <w:qFormat/>
    <w:rPr/>
  </w:style>
  <w:style w:type="character" w:styleId="WW8Num27z5">
    <w:name w:val="WW8Num27z5"/>
    <w:qFormat/>
    <w:rPr/>
  </w:style>
  <w:style w:type="character" w:styleId="WW8Num27z6">
    <w:name w:val="WW8Num27z6"/>
    <w:qFormat/>
    <w:rPr/>
  </w:style>
  <w:style w:type="character" w:styleId="WW8Num27z7">
    <w:name w:val="WW8Num27z7"/>
    <w:qFormat/>
    <w:rPr/>
  </w:style>
  <w:style w:type="character" w:styleId="WW8Num27z8">
    <w:name w:val="WW8Num27z8"/>
    <w:qFormat/>
    <w:rPr/>
  </w:style>
  <w:style w:type="character" w:styleId="WW8Num28z0">
    <w:name w:val="WW8Num28z0"/>
    <w:qFormat/>
    <w:rPr>
      <w:rFonts w:ascii="Times New Roman" w:hAnsi="Times New Roman" w:cs="Times New Roman"/>
      <w:sz w:val="28"/>
      <w:szCs w:val="28"/>
    </w:rPr>
  </w:style>
  <w:style w:type="character" w:styleId="WW8Num28z1">
    <w:name w:val="WW8Num28z1"/>
    <w:qFormat/>
    <w:rPr/>
  </w:style>
  <w:style w:type="character" w:styleId="WW8Num28z2">
    <w:name w:val="WW8Num28z2"/>
    <w:qFormat/>
    <w:rPr/>
  </w:style>
  <w:style w:type="character" w:styleId="WW8Num28z3">
    <w:name w:val="WW8Num28z3"/>
    <w:qFormat/>
    <w:rPr/>
  </w:style>
  <w:style w:type="character" w:styleId="WW8Num28z4">
    <w:name w:val="WW8Num28z4"/>
    <w:qFormat/>
    <w:rPr/>
  </w:style>
  <w:style w:type="character" w:styleId="WW8Num28z5">
    <w:name w:val="WW8Num28z5"/>
    <w:qFormat/>
    <w:rPr/>
  </w:style>
  <w:style w:type="character" w:styleId="WW8Num28z6">
    <w:name w:val="WW8Num28z6"/>
    <w:qFormat/>
    <w:rPr/>
  </w:style>
  <w:style w:type="character" w:styleId="WW8Num28z7">
    <w:name w:val="WW8Num28z7"/>
    <w:qFormat/>
    <w:rPr/>
  </w:style>
  <w:style w:type="character" w:styleId="WW8Num28z8">
    <w:name w:val="WW8Num28z8"/>
    <w:qFormat/>
    <w:rPr/>
  </w:style>
  <w:style w:type="character" w:styleId="WW8Num29z0">
    <w:name w:val="WW8Num29z0"/>
    <w:qFormat/>
    <w:rPr>
      <w:rFonts w:ascii="Times New Roman" w:hAnsi="Times New Roman" w:cs="Times New Roman"/>
      <w:sz w:val="28"/>
      <w:szCs w:val="28"/>
    </w:rPr>
  </w:style>
  <w:style w:type="character" w:styleId="WW8Num29z1">
    <w:name w:val="WW8Num29z1"/>
    <w:qFormat/>
    <w:rPr/>
  </w:style>
  <w:style w:type="character" w:styleId="WW8Num29z2">
    <w:name w:val="WW8Num29z2"/>
    <w:qFormat/>
    <w:rPr/>
  </w:style>
  <w:style w:type="character" w:styleId="WW8Num29z3">
    <w:name w:val="WW8Num29z3"/>
    <w:qFormat/>
    <w:rPr/>
  </w:style>
  <w:style w:type="character" w:styleId="WW8Num29z4">
    <w:name w:val="WW8Num29z4"/>
    <w:qFormat/>
    <w:rPr/>
  </w:style>
  <w:style w:type="character" w:styleId="WW8Num29z5">
    <w:name w:val="WW8Num29z5"/>
    <w:qFormat/>
    <w:rPr/>
  </w:style>
  <w:style w:type="character" w:styleId="WW8Num29z6">
    <w:name w:val="WW8Num29z6"/>
    <w:qFormat/>
    <w:rPr/>
  </w:style>
  <w:style w:type="character" w:styleId="WW8Num29z7">
    <w:name w:val="WW8Num29z7"/>
    <w:qFormat/>
    <w:rPr/>
  </w:style>
  <w:style w:type="character" w:styleId="WW8Num29z8">
    <w:name w:val="WW8Num29z8"/>
    <w:qFormat/>
    <w:rPr/>
  </w:style>
  <w:style w:type="character" w:styleId="WW8Num30z0">
    <w:name w:val="WW8Num30z0"/>
    <w:qFormat/>
    <w:rPr>
      <w:rFonts w:ascii="Symbol" w:hAnsi="Symbol" w:cs="Symbol"/>
      <w:sz w:val="28"/>
      <w:szCs w:val="28"/>
    </w:rPr>
  </w:style>
  <w:style w:type="character" w:styleId="WW8Num30z1">
    <w:name w:val="WW8Num30z1"/>
    <w:qFormat/>
    <w:rPr/>
  </w:style>
  <w:style w:type="character" w:styleId="WW8Num30z2">
    <w:name w:val="WW8Num30z2"/>
    <w:qFormat/>
    <w:rPr/>
  </w:style>
  <w:style w:type="character" w:styleId="WW8Num30z3">
    <w:name w:val="WW8Num30z3"/>
    <w:qFormat/>
    <w:rPr/>
  </w:style>
  <w:style w:type="character" w:styleId="WW8Num30z4">
    <w:name w:val="WW8Num30z4"/>
    <w:qFormat/>
    <w:rPr/>
  </w:style>
  <w:style w:type="character" w:styleId="WW8Num30z5">
    <w:name w:val="WW8Num30z5"/>
    <w:qFormat/>
    <w:rPr/>
  </w:style>
  <w:style w:type="character" w:styleId="WW8Num30z6">
    <w:name w:val="WW8Num30z6"/>
    <w:qFormat/>
    <w:rPr/>
  </w:style>
  <w:style w:type="character" w:styleId="WW8Num30z7">
    <w:name w:val="WW8Num30z7"/>
    <w:qFormat/>
    <w:rPr/>
  </w:style>
  <w:style w:type="character" w:styleId="WW8Num30z8">
    <w:name w:val="WW8Num30z8"/>
    <w:qFormat/>
    <w:rPr/>
  </w:style>
  <w:style w:type="character" w:styleId="WW8Num31z0">
    <w:name w:val="WW8Num31z0"/>
    <w:qFormat/>
    <w:rPr/>
  </w:style>
  <w:style w:type="character" w:styleId="WW8Num31z1">
    <w:name w:val="WW8Num31z1"/>
    <w:qFormat/>
    <w:rPr/>
  </w:style>
  <w:style w:type="character" w:styleId="WW8Num31z2">
    <w:name w:val="WW8Num31z2"/>
    <w:qFormat/>
    <w:rPr/>
  </w:style>
  <w:style w:type="character" w:styleId="WW8Num31z3">
    <w:name w:val="WW8Num31z3"/>
    <w:qFormat/>
    <w:rPr/>
  </w:style>
  <w:style w:type="character" w:styleId="WW8Num31z4">
    <w:name w:val="WW8Num31z4"/>
    <w:qFormat/>
    <w:rPr/>
  </w:style>
  <w:style w:type="character" w:styleId="WW8Num31z5">
    <w:name w:val="WW8Num31z5"/>
    <w:qFormat/>
    <w:rPr/>
  </w:style>
  <w:style w:type="character" w:styleId="WW8Num31z6">
    <w:name w:val="WW8Num31z6"/>
    <w:qFormat/>
    <w:rPr/>
  </w:style>
  <w:style w:type="character" w:styleId="WW8Num31z7">
    <w:name w:val="WW8Num31z7"/>
    <w:qFormat/>
    <w:rPr/>
  </w:style>
  <w:style w:type="character" w:styleId="WW8Num31z8">
    <w:name w:val="WW8Num31z8"/>
    <w:qFormat/>
    <w:rPr/>
  </w:style>
  <w:style w:type="character" w:styleId="WW8Num32z0">
    <w:name w:val="WW8Num32z0"/>
    <w:qFormat/>
    <w:rPr>
      <w:rFonts w:ascii="Symbol" w:hAnsi="Symbol" w:cs="Symbol"/>
    </w:rPr>
  </w:style>
  <w:style w:type="character" w:styleId="WW8Num32z1">
    <w:name w:val="WW8Num32z1"/>
    <w:qFormat/>
    <w:rPr>
      <w:rFonts w:ascii="Courier New" w:hAnsi="Courier New" w:cs="Courier New"/>
    </w:rPr>
  </w:style>
  <w:style w:type="character" w:styleId="WW8Num32z2">
    <w:name w:val="WW8Num32z2"/>
    <w:qFormat/>
    <w:rPr>
      <w:rFonts w:ascii="Wingdings" w:hAnsi="Wingdings" w:cs="Wingdings"/>
    </w:rPr>
  </w:style>
  <w:style w:type="character" w:styleId="WW8Num33z0">
    <w:name w:val="WW8Num33z0"/>
    <w:qFormat/>
    <w:rPr>
      <w:b/>
    </w:rPr>
  </w:style>
  <w:style w:type="character" w:styleId="WW8Num33z1">
    <w:name w:val="WW8Num33z1"/>
    <w:qFormat/>
    <w:rPr/>
  </w:style>
  <w:style w:type="character" w:styleId="WW8Num33z2">
    <w:name w:val="WW8Num33z2"/>
    <w:qFormat/>
    <w:rPr/>
  </w:style>
  <w:style w:type="character" w:styleId="WW8Num33z3">
    <w:name w:val="WW8Num33z3"/>
    <w:qFormat/>
    <w:rPr/>
  </w:style>
  <w:style w:type="character" w:styleId="WW8Num33z4">
    <w:name w:val="WW8Num33z4"/>
    <w:qFormat/>
    <w:rPr/>
  </w:style>
  <w:style w:type="character" w:styleId="WW8Num33z5">
    <w:name w:val="WW8Num33z5"/>
    <w:qFormat/>
    <w:rPr/>
  </w:style>
  <w:style w:type="character" w:styleId="WW8Num33z6">
    <w:name w:val="WW8Num33z6"/>
    <w:qFormat/>
    <w:rPr/>
  </w:style>
  <w:style w:type="character" w:styleId="WW8Num33z7">
    <w:name w:val="WW8Num33z7"/>
    <w:qFormat/>
    <w:rPr/>
  </w:style>
  <w:style w:type="character" w:styleId="WW8Num33z8">
    <w:name w:val="WW8Num33z8"/>
    <w:qFormat/>
    <w:rPr/>
  </w:style>
  <w:style w:type="character" w:styleId="WW8Num34z0">
    <w:name w:val="WW8Num34z0"/>
    <w:qFormat/>
    <w:rPr>
      <w:sz w:val="28"/>
    </w:rPr>
  </w:style>
  <w:style w:type="character" w:styleId="WW8Num34z1">
    <w:name w:val="WW8Num34z1"/>
    <w:qFormat/>
    <w:rPr/>
  </w:style>
  <w:style w:type="character" w:styleId="WW8Num34z2">
    <w:name w:val="WW8Num34z2"/>
    <w:qFormat/>
    <w:rPr/>
  </w:style>
  <w:style w:type="character" w:styleId="WW8Num34z3">
    <w:name w:val="WW8Num34z3"/>
    <w:qFormat/>
    <w:rPr/>
  </w:style>
  <w:style w:type="character" w:styleId="WW8Num34z4">
    <w:name w:val="WW8Num34z4"/>
    <w:qFormat/>
    <w:rPr/>
  </w:style>
  <w:style w:type="character" w:styleId="WW8Num34z5">
    <w:name w:val="WW8Num34z5"/>
    <w:qFormat/>
    <w:rPr/>
  </w:style>
  <w:style w:type="character" w:styleId="WW8Num34z6">
    <w:name w:val="WW8Num34z6"/>
    <w:qFormat/>
    <w:rPr/>
  </w:style>
  <w:style w:type="character" w:styleId="WW8Num34z7">
    <w:name w:val="WW8Num34z7"/>
    <w:qFormat/>
    <w:rPr/>
  </w:style>
  <w:style w:type="character" w:styleId="WW8Num34z8">
    <w:name w:val="WW8Num34z8"/>
    <w:qFormat/>
    <w:rPr/>
  </w:style>
  <w:style w:type="character" w:styleId="WW8Num35z0">
    <w:name w:val="WW8Num35z0"/>
    <w:qFormat/>
    <w:rPr>
      <w:rFonts w:ascii="Calibri" w:hAnsi="Calibri" w:eastAsia="Calibri" w:cs="Times New Roman"/>
    </w:rPr>
  </w:style>
  <w:style w:type="character" w:styleId="WW8Num35z1">
    <w:name w:val="WW8Num35z1"/>
    <w:qFormat/>
    <w:rPr>
      <w:rFonts w:ascii="Courier New" w:hAnsi="Courier New" w:cs="Courier New"/>
    </w:rPr>
  </w:style>
  <w:style w:type="character" w:styleId="WW8Num35z2">
    <w:name w:val="WW8Num35z2"/>
    <w:qFormat/>
    <w:rPr>
      <w:rFonts w:ascii="Wingdings" w:hAnsi="Wingdings" w:cs="Wingdings"/>
    </w:rPr>
  </w:style>
  <w:style w:type="character" w:styleId="WW8Num35z3">
    <w:name w:val="WW8Num35z3"/>
    <w:qFormat/>
    <w:rPr>
      <w:rFonts w:ascii="Symbol" w:hAnsi="Symbol" w:cs="Symbol"/>
    </w:rPr>
  </w:style>
  <w:style w:type="character" w:styleId="WW8Num36z0">
    <w:name w:val="WW8Num36z0"/>
    <w:qFormat/>
    <w:rPr/>
  </w:style>
  <w:style w:type="character" w:styleId="WW8Num36z1">
    <w:name w:val="WW8Num36z1"/>
    <w:qFormat/>
    <w:rPr/>
  </w:style>
  <w:style w:type="character" w:styleId="WW8Num36z2">
    <w:name w:val="WW8Num36z2"/>
    <w:qFormat/>
    <w:rPr/>
  </w:style>
  <w:style w:type="character" w:styleId="WW8Num36z3">
    <w:name w:val="WW8Num36z3"/>
    <w:qFormat/>
    <w:rPr/>
  </w:style>
  <w:style w:type="character" w:styleId="WW8Num36z4">
    <w:name w:val="WW8Num36z4"/>
    <w:qFormat/>
    <w:rPr/>
  </w:style>
  <w:style w:type="character" w:styleId="WW8Num36z5">
    <w:name w:val="WW8Num36z5"/>
    <w:qFormat/>
    <w:rPr/>
  </w:style>
  <w:style w:type="character" w:styleId="WW8Num36z6">
    <w:name w:val="WW8Num36z6"/>
    <w:qFormat/>
    <w:rPr/>
  </w:style>
  <w:style w:type="character" w:styleId="WW8Num36z7">
    <w:name w:val="WW8Num36z7"/>
    <w:qFormat/>
    <w:rPr/>
  </w:style>
  <w:style w:type="character" w:styleId="WW8Num36z8">
    <w:name w:val="WW8Num36z8"/>
    <w:qFormat/>
    <w:rPr/>
  </w:style>
  <w:style w:type="character" w:styleId="WW8Num37z0">
    <w:name w:val="WW8Num37z0"/>
    <w:qFormat/>
    <w:rPr>
      <w:rFonts w:ascii="Symbol" w:hAnsi="Symbol" w:cs="Symbol"/>
    </w:rPr>
  </w:style>
  <w:style w:type="character" w:styleId="WW8Num37z1">
    <w:name w:val="WW8Num37z1"/>
    <w:qFormat/>
    <w:rPr/>
  </w:style>
  <w:style w:type="character" w:styleId="WW8Num37z2">
    <w:name w:val="WW8Num37z2"/>
    <w:qFormat/>
    <w:rPr/>
  </w:style>
  <w:style w:type="character" w:styleId="WW8Num37z3">
    <w:name w:val="WW8Num37z3"/>
    <w:qFormat/>
    <w:rPr/>
  </w:style>
  <w:style w:type="character" w:styleId="WW8Num37z4">
    <w:name w:val="WW8Num37z4"/>
    <w:qFormat/>
    <w:rPr/>
  </w:style>
  <w:style w:type="character" w:styleId="WW8Num37z5">
    <w:name w:val="WW8Num37z5"/>
    <w:qFormat/>
    <w:rPr/>
  </w:style>
  <w:style w:type="character" w:styleId="WW8Num37z6">
    <w:name w:val="WW8Num37z6"/>
    <w:qFormat/>
    <w:rPr/>
  </w:style>
  <w:style w:type="character" w:styleId="WW8Num37z7">
    <w:name w:val="WW8Num37z7"/>
    <w:qFormat/>
    <w:rPr/>
  </w:style>
  <w:style w:type="character" w:styleId="WW8Num37z8">
    <w:name w:val="WW8Num37z8"/>
    <w:qFormat/>
    <w:rPr/>
  </w:style>
  <w:style w:type="character" w:styleId="WW8Num38z0">
    <w:name w:val="WW8Num38z0"/>
    <w:qFormat/>
    <w:rPr>
      <w:rFonts w:ascii="Times New Roman" w:hAnsi="Times New Roman" w:cs="Times New Roman"/>
      <w:sz w:val="28"/>
      <w:szCs w:val="28"/>
    </w:rPr>
  </w:style>
  <w:style w:type="character" w:styleId="WW8Num39z0">
    <w:name w:val="WW8Num39z0"/>
    <w:qFormat/>
    <w:rPr>
      <w:rFonts w:ascii="Times New Roman" w:hAnsi="Times New Roman" w:eastAsia="Times New Roman" w:cs="Times New Roman"/>
    </w:rPr>
  </w:style>
  <w:style w:type="character" w:styleId="WW8Num39z1">
    <w:name w:val="WW8Num39z1"/>
    <w:qFormat/>
    <w:rPr>
      <w:rFonts w:ascii="Courier New" w:hAnsi="Courier New" w:cs="Courier New"/>
    </w:rPr>
  </w:style>
  <w:style w:type="character" w:styleId="WW8Num39z2">
    <w:name w:val="WW8Num39z2"/>
    <w:qFormat/>
    <w:rPr>
      <w:rFonts w:ascii="Wingdings" w:hAnsi="Wingdings" w:cs="Wingdings"/>
    </w:rPr>
  </w:style>
  <w:style w:type="character" w:styleId="WW8Num39z3">
    <w:name w:val="WW8Num39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character" w:styleId="Style18">
    <w:name w:val="Без интервала Знак"/>
    <w:basedOn w:val="Style11"/>
    <w:qFormat/>
    <w:rPr>
      <w:sz w:val="24"/>
      <w:szCs w:val="24"/>
      <w:lang w:val="ru-RU" w:bidi="ar-SA"/>
    </w:rPr>
  </w:style>
  <w:style w:type="character" w:styleId="FontStyle14">
    <w:name w:val="Font Style14"/>
    <w:basedOn w:val="Style11"/>
    <w:qFormat/>
    <w:rPr>
      <w:rFonts w:ascii="Georgia" w:hAnsi="Georgia" w:cs="Georgia"/>
      <w:b/>
      <w:bCs/>
      <w:sz w:val="22"/>
      <w:szCs w:val="22"/>
    </w:rPr>
  </w:style>
  <w:style w:type="character" w:styleId="FontStyle52">
    <w:name w:val="Font Style52"/>
    <w:basedOn w:val="Style11"/>
    <w:qFormat/>
    <w:rPr>
      <w:rFonts w:ascii="Times New Roman" w:hAnsi="Times New Roman" w:cs="Times New Roman"/>
      <w:sz w:val="22"/>
      <w:szCs w:val="22"/>
    </w:rPr>
  </w:style>
  <w:style w:type="character" w:styleId="Style19">
    <w:name w:val="Интернет-ссылка"/>
    <w:basedOn w:val="Style11"/>
    <w:rPr>
      <w:color w:val="0000FF"/>
      <w:u w:val="single"/>
    </w:rPr>
  </w:style>
  <w:style w:type="character" w:styleId="FontStyle48">
    <w:name w:val="Font Style48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60">
    <w:name w:val="Font Style60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84">
    <w:name w:val="Font Style84"/>
    <w:basedOn w:val="Style11"/>
    <w:qFormat/>
    <w:rPr>
      <w:rFonts w:ascii="Times New Roman" w:hAnsi="Times New Roman" w:cs="Times New Roman"/>
      <w:b/>
      <w:bCs/>
      <w:sz w:val="26"/>
      <w:szCs w:val="26"/>
    </w:rPr>
  </w:style>
  <w:style w:type="character" w:styleId="FontStyle85">
    <w:name w:val="Font Style85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80">
    <w:name w:val="Font Style80"/>
    <w:basedOn w:val="Style11"/>
    <w:qFormat/>
    <w:rPr>
      <w:rFonts w:ascii="Arial" w:hAnsi="Arial" w:cs="Arial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2"/>
      <w:szCs w:val="22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76">
    <w:name w:val="Font Style76"/>
    <w:basedOn w:val="Style11"/>
    <w:qFormat/>
    <w:rPr>
      <w:rFonts w:ascii="Arial" w:hAnsi="Arial" w:cs="Arial"/>
      <w:sz w:val="26"/>
      <w:szCs w:val="26"/>
    </w:rPr>
  </w:style>
  <w:style w:type="character" w:styleId="FontStyle78">
    <w:name w:val="Font Style78"/>
    <w:basedOn w:val="Style11"/>
    <w:qFormat/>
    <w:rPr>
      <w:rFonts w:ascii="Arial" w:hAnsi="Arial" w:cs="Arial"/>
      <w:b/>
      <w:bCs/>
      <w:sz w:val="26"/>
      <w:szCs w:val="26"/>
    </w:rPr>
  </w:style>
  <w:style w:type="character" w:styleId="FontStyle81">
    <w:name w:val="Font Style81"/>
    <w:basedOn w:val="Style11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Style20">
    <w:name w:val="Текст выноски Знак"/>
    <w:basedOn w:val="Style11"/>
    <w:qFormat/>
    <w:rPr>
      <w:rFonts w:ascii="Tahoma" w:hAnsi="Tahoma" w:eastAsia="Calibri" w:cs="Tahoma"/>
      <w:sz w:val="16"/>
      <w:szCs w:val="16"/>
    </w:rPr>
  </w:style>
  <w:style w:type="character" w:styleId="WW">
    <w:name w:val="WW-Интернет-ссылка"/>
    <w:basedOn w:val="Style11"/>
    <w:qFormat/>
    <w:rPr>
      <w:color w:val="0000FF"/>
      <w:u w:val="single"/>
    </w:rPr>
  </w:style>
  <w:style w:type="character" w:styleId="FontStyle74">
    <w:name w:val="Font Style74"/>
    <w:basedOn w:val="Style11"/>
    <w:qFormat/>
    <w:rPr>
      <w:rFonts w:ascii="Constantia" w:hAnsi="Constantia" w:cs="Constantia"/>
      <w:b/>
      <w:bCs/>
      <w:sz w:val="24"/>
      <w:szCs w:val="24"/>
    </w:rPr>
  </w:style>
  <w:style w:type="character" w:styleId="FontStyle64">
    <w:name w:val="Font Style64"/>
    <w:basedOn w:val="Style11"/>
    <w:qFormat/>
    <w:rPr>
      <w:rFonts w:ascii="Times New Roman" w:hAnsi="Times New Roman" w:cs="Times New Roman"/>
      <w:spacing w:val="20"/>
      <w:sz w:val="24"/>
      <w:szCs w:val="24"/>
    </w:rPr>
  </w:style>
  <w:style w:type="character" w:styleId="Appleconvertedspace">
    <w:name w:val="apple-converted-space"/>
    <w:basedOn w:val="Style11"/>
    <w:qFormat/>
    <w:rPr/>
  </w:style>
  <w:style w:type="paragraph" w:styleId="Style2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22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3">
    <w:name w:val="List"/>
    <w:basedOn w:val="Style22"/>
    <w:pPr/>
    <w:rPr>
      <w:rFonts w:cs="Mangal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6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7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8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9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30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31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Style32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110">
    <w:name w:val="Style1"/>
    <w:basedOn w:val="Normal"/>
    <w:qFormat/>
    <w:pPr>
      <w:widowControl w:val="false"/>
      <w:autoSpaceDE w:val="false"/>
    </w:pPr>
    <w:rPr>
      <w:rFonts w:ascii="Georgia" w:hAnsi="Georgia" w:cs="Georgia"/>
      <w:sz w:val="24"/>
      <w:szCs w:val="24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33">
    <w:name w:val="Обычный (веб)"/>
    <w:basedOn w:val="Normal"/>
    <w:qFormat/>
    <w:pPr>
      <w:spacing w:before="100" w:after="100"/>
    </w:pPr>
    <w:rPr>
      <w:sz w:val="24"/>
      <w:szCs w:val="24"/>
    </w:rPr>
  </w:style>
  <w:style w:type="paragraph" w:styleId="Style311">
    <w:name w:val="Style31"/>
    <w:basedOn w:val="Normal"/>
    <w:qFormat/>
    <w:pPr>
      <w:widowControl w:val="false"/>
      <w:autoSpaceDE w:val="false"/>
      <w:jc w:val="both"/>
    </w:pPr>
    <w:rPr>
      <w:sz w:val="24"/>
      <w:szCs w:val="24"/>
    </w:rPr>
  </w:style>
  <w:style w:type="paragraph" w:styleId="Style41">
    <w:name w:val="Style41"/>
    <w:basedOn w:val="Normal"/>
    <w:qFormat/>
    <w:pPr>
      <w:widowControl w:val="false"/>
      <w:autoSpaceDE w:val="false"/>
      <w:spacing w:lineRule="exact" w:line="317"/>
      <w:ind w:firstLine="336"/>
    </w:pPr>
    <w:rPr>
      <w:sz w:val="24"/>
      <w:szCs w:val="24"/>
    </w:rPr>
  </w:style>
  <w:style w:type="paragraph" w:styleId="Style291">
    <w:name w:val="Style29"/>
    <w:basedOn w:val="Normal"/>
    <w:qFormat/>
    <w:pPr>
      <w:widowControl w:val="false"/>
      <w:autoSpaceDE w:val="false"/>
      <w:spacing w:lineRule="exact" w:line="317"/>
      <w:ind w:firstLine="422"/>
      <w:jc w:val="both"/>
    </w:pPr>
    <w:rPr>
      <w:sz w:val="24"/>
      <w:szCs w:val="24"/>
    </w:rPr>
  </w:style>
  <w:style w:type="paragraph" w:styleId="Style301">
    <w:name w:val="Style3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211">
    <w:name w:val="Style21"/>
    <w:basedOn w:val="Normal"/>
    <w:qFormat/>
    <w:pPr>
      <w:widowControl w:val="false"/>
      <w:autoSpaceDE w:val="false"/>
      <w:spacing w:lineRule="exact" w:line="276"/>
      <w:ind w:firstLine="413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  <w:spacing w:lineRule="exact" w:line="317"/>
      <w:ind w:firstLine="538"/>
      <w:jc w:val="both"/>
    </w:pPr>
    <w:rPr>
      <w:sz w:val="24"/>
      <w:szCs w:val="24"/>
    </w:rPr>
  </w:style>
  <w:style w:type="paragraph" w:styleId="Style131">
    <w:name w:val="Style13"/>
    <w:basedOn w:val="Normal"/>
    <w:qFormat/>
    <w:pPr>
      <w:widowControl w:val="false"/>
      <w:autoSpaceDE w:val="false"/>
      <w:spacing w:lineRule="exact" w:line="276"/>
      <w:ind w:firstLine="662"/>
      <w:jc w:val="both"/>
    </w:pPr>
    <w:rPr>
      <w:sz w:val="24"/>
      <w:szCs w:val="24"/>
    </w:rPr>
  </w:style>
  <w:style w:type="paragraph" w:styleId="Style241">
    <w:name w:val="Style24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281">
    <w:name w:val="Style28"/>
    <w:basedOn w:val="Normal"/>
    <w:qFormat/>
    <w:pPr>
      <w:widowControl w:val="false"/>
      <w:autoSpaceDE w:val="false"/>
      <w:spacing w:lineRule="exact" w:line="317"/>
      <w:ind w:firstLine="845"/>
      <w:jc w:val="both"/>
    </w:pPr>
    <w:rPr>
      <w:sz w:val="24"/>
      <w:szCs w:val="24"/>
    </w:rPr>
  </w:style>
  <w:style w:type="paragraph" w:styleId="WW1">
    <w:name w:val="WW-Базовый"/>
    <w:qFormat/>
    <w:pPr>
      <w:widowControl/>
      <w:tabs>
        <w:tab w:val="clear" w:pos="720"/>
        <w:tab w:val="left" w:pos="708" w:leader="none"/>
      </w:tabs>
      <w:suppressAutoHyphens w:val="true"/>
      <w:bidi w:val="0"/>
      <w:spacing w:lineRule="auto" w:line="276" w:before="0" w:after="200"/>
    </w:pPr>
    <w:rPr>
      <w:rFonts w:ascii="Times New Roman" w:hAnsi="Times New Roman" w:eastAsia="Times New Roman" w:cs="Times New Roman"/>
      <w:color w:val="00000A"/>
      <w:sz w:val="24"/>
      <w:szCs w:val="24"/>
      <w:lang w:val="ru-RU" w:bidi="ar-SA" w:eastAsia="zh-CN"/>
    </w:rPr>
  </w:style>
  <w:style w:type="paragraph" w:styleId="Style34">
    <w:name w:val="Текст выноски"/>
    <w:basedOn w:val="Normal"/>
    <w:qFormat/>
    <w:pPr/>
    <w:rPr>
      <w:rFonts w:ascii="Tahoma" w:hAnsi="Tahoma" w:eastAsia="Calibri" w:cs="Tahoma"/>
      <w:sz w:val="16"/>
      <w:szCs w:val="16"/>
    </w:rPr>
  </w:style>
  <w:style w:type="paragraph" w:styleId="WW11">
    <w:name w:val="WW-Базовый1"/>
    <w:qFormat/>
    <w:pPr>
      <w:widowControl/>
      <w:tabs>
        <w:tab w:val="clear" w:pos="720"/>
        <w:tab w:val="left" w:pos="708" w:leader="none"/>
      </w:tabs>
      <w:suppressAutoHyphens w:val="true"/>
      <w:bidi w:val="0"/>
      <w:spacing w:lineRule="auto" w:line="276" w:before="0" w:after="200"/>
    </w:pPr>
    <w:rPr>
      <w:rFonts w:ascii="Times New Roman" w:hAnsi="Times New Roman" w:eastAsia="Times New Roman" w:cs="Times New Roman"/>
      <w:color w:val="00000A"/>
      <w:sz w:val="24"/>
      <w:szCs w:val="24"/>
      <w:lang w:val="ru-RU" w:eastAsia="zh-CN" w:bidi="ar-SA"/>
    </w:rPr>
  </w:style>
  <w:style w:type="paragraph" w:styleId="13">
    <w:name w:val="Абзац списка1"/>
    <w:basedOn w:val="WW1"/>
    <w:qFormat/>
    <w:pPr>
      <w:spacing w:lineRule="atLeast" w:line="100" w:before="0" w:after="0"/>
      <w:ind w:left="720" w:hanging="0"/>
    </w:pPr>
    <w:rPr>
      <w:rFonts w:eastAsia="Calibri"/>
    </w:rPr>
  </w:style>
  <w:style w:type="paragraph" w:styleId="Style35">
    <w:name w:val="Содержимое врезки"/>
    <w:basedOn w:val="Normal"/>
    <w:qFormat/>
    <w:pPr/>
    <w:rPr/>
  </w:style>
  <w:style w:type="paragraph" w:styleId="Style36">
    <w:name w:val="Содержимое таблицы"/>
    <w:basedOn w:val="Normal"/>
    <w:qFormat/>
    <w:pPr>
      <w:suppressLineNumbers/>
    </w:pPr>
    <w:rPr/>
  </w:style>
  <w:style w:type="paragraph" w:styleId="Style37">
    <w:name w:val="Заголовок таблицы"/>
    <w:basedOn w:val="Style36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  <w:style w:type="numbering" w:styleId="WW8Num31">
    <w:name w:val="WW8Num31"/>
    <w:qFormat/>
  </w:style>
  <w:style w:type="numbering" w:styleId="WW8Num32">
    <w:name w:val="WW8Num32"/>
    <w:qFormat/>
  </w:style>
  <w:style w:type="numbering" w:styleId="WW8Num33">
    <w:name w:val="WW8Num33"/>
    <w:qFormat/>
  </w:style>
  <w:style w:type="numbering" w:styleId="WW8Num34">
    <w:name w:val="WW8Num34"/>
    <w:qFormat/>
  </w:style>
  <w:style w:type="numbering" w:styleId="WW8Num35">
    <w:name w:val="WW8Num35"/>
    <w:qFormat/>
  </w:style>
  <w:style w:type="numbering" w:styleId="WW8Num36">
    <w:name w:val="WW8Num36"/>
    <w:qFormat/>
  </w:style>
  <w:style w:type="numbering" w:styleId="WW8Num37">
    <w:name w:val="WW8Num37"/>
    <w:qFormat/>
  </w:style>
  <w:style w:type="numbering" w:styleId="WW8Num38">
    <w:name w:val="WW8Num38"/>
    <w:qFormat/>
  </w:style>
  <w:style w:type="numbering" w:styleId="WW8Num39">
    <w:name w:val="WW8Num3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10</TotalTime>
  <Application>LibreOffice/6.3.4.2$Windows_X86_64 LibreOffice_project/60da17e045e08f1793c57c00ba83cdfce946d0aa</Application>
  <Pages>16</Pages>
  <Words>4652</Words>
  <Characters>29885</Characters>
  <CharactersWithSpaces>35096</CharactersWithSpaces>
  <Paragraphs>257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2020-02-05T10:58:00Z</dcterms:created>
  <dc:creator>Катышева Е. В.</dc:creator>
  <dc:description/>
  <cp:keywords/>
  <dc:language>ru-RU</dc:language>
  <cp:lastModifiedBy>ЗС</cp:lastModifiedBy>
  <cp:lastPrinted>2018-02-15T15:53:00Z</cp:lastPrinted>
  <dcterms:modified xsi:type="dcterms:W3CDTF">2020-02-17T08:45:00Z</dcterms:modified>
  <cp:revision>5</cp:revision>
  <dc:subject/>
  <dc:title>ПОСТАНОВЛЕНИЕ</dc:title>
</cp:coreProperties>
</file>