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03</w:t>
      </w:r>
      <w:r>
        <w:rPr>
          <w:sz w:val="28"/>
          <w:szCs w:val="28"/>
        </w:rPr>
        <w:t>.12.2020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73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выделении денежных средств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spacing w:lineRule="auto" w:line="360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В соответствии с Положением о порядке и нормах расходования денежных средств на представительские расходы и расходы на мероприятия органов местного самоуправления Шарангского муниципального района, утвержденным решением Земского собрания Шарангского муниципального района от 19.11.2013г. №40, выделить за счет сметы расходов администрации района КОСГУ 349 денежные средства в сумме 10 220 рублей на награждение участников муниципального этапа массового мероприятии антинаркотической направленности «Спорт - для всех» среди несовершеннолетних, состоящих на профилактических учетах.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LibreOffice/7.0.3.1$Windows_X86_64 LibreOffice_project/d7547858d014d4cf69878db179d326fc3483e082</Application>
  <Pages>1</Pages>
  <Words>89</Words>
  <Characters>668</Characters>
  <CharactersWithSpaces>753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2020-12-03T14:54:32Z</cp:lastPrinted>
  <dcterms:modified xsi:type="dcterms:W3CDTF">2020-12-03T14:54:51Z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