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</w:t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4535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zh-CN" w:bidi="ar-SA"/>
        </w:rPr>
        <w:t>Об утверждении ежегодного плана проведения плановых проверок в организациях, подведомственных администрации Шарангского муниципального района Нижегородской области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353.1 Трудового кодекса Российской Федерации, Законом Нижегородской области от 22.12.2015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постановлением администрации Шарангского муниципального района от 03.02.2017 г. № 64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 подведомственных администрации Шарангского муниципального района Нижегородской области»: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Утвердить ежегодный план проведения плановых проверок в организациях, подведомственных администрации Шарангского муниципального района Нижегородской области на 2021 год (приложение).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Отделу экономики и имущественных отношений администрации Шарангского муниципального района Нижегородской области обеспечить размещение ежегодного плана проведения плановых проверок в организациях, подведомственных администрации Шарангского муниципального района Нижегородской области, на официальном сайте администрации Шарангского муниципального района.</w:t>
      </w:r>
    </w:p>
    <w:p>
      <w:pPr>
        <w:pStyle w:val="Normal"/>
        <w:widowControl/>
        <w:suppressAutoHyphens w:val="true"/>
        <w:spacing w:lineRule="auto" w:line="36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zh-CN" w:bidi="ar-SA"/>
        </w:rPr>
        <w:t>3. Контроль за исполнением настоящего постановления оставляю за собой.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suppressAutoHyphens w:val="true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rFonts w:ascii="Times New Roman" w:hAnsi="Times New Roman"/>
          <w:sz w:val="28"/>
          <w:szCs w:val="28"/>
        </w:rPr>
        <w:t>лавы администрации</w:t>
        <w:tab/>
        <w:t xml:space="preserve"> Д.О.Ожиганов</w:t>
      </w:r>
    </w:p>
    <w:p>
      <w:pPr>
        <w:pStyle w:val="Normal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>
      <w:pPr>
        <w:pStyle w:val="Normal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23.11.2020 г. № 70</w:t>
      </w:r>
    </w:p>
    <w:p>
      <w:pPr>
        <w:pStyle w:val="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ЕЖЕГОДНЫЙ ПЛАН</w:t>
      </w:r>
    </w:p>
    <w:p>
      <w:pPr>
        <w:pStyle w:val="ConsPlusTitle"/>
        <w:widowControl w:val="false"/>
        <w:suppressAutoHyphens w:val="true"/>
        <w:overflowPunct w:val="false"/>
        <w:bidi w:val="0"/>
        <w:spacing w:before="0" w:after="0"/>
        <w:ind w:left="567" w:right="56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проведения плановых проверок подведомственных организаций администрации Шарангского муниципального района Нижегородской области</w:t>
      </w:r>
    </w:p>
    <w:p>
      <w:pPr>
        <w:pStyle w:val="ConsPlusTitle"/>
        <w:suppressAutoHyphens w:val="true"/>
        <w:overflowPunct w:val="false"/>
        <w:bidi w:val="0"/>
        <w:spacing w:before="0" w:after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на 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год</w:t>
      </w:r>
    </w:p>
    <w:p>
      <w:pPr>
        <w:pStyle w:val="ConsPlusTitle"/>
        <w:ind w:firstLine="709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66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25"/>
        <w:gridCol w:w="3390"/>
        <w:gridCol w:w="1425"/>
        <w:gridCol w:w="1751"/>
      </w:tblGrid>
      <w:tr>
        <w:trPr>
          <w:trHeight w:val="17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№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места их нахождения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Цель и основание проведения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плановой проверки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Дата начала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и сроки проведения плановой проверки</w:t>
            </w:r>
          </w:p>
        </w:tc>
      </w:tr>
      <w:tr>
        <w:trPr>
          <w:trHeight w:val="39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Муниципальное унитарное предприятие «Жилищно-коммунальное хозяйство»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606840</w:t>
            </w:r>
          </w:p>
          <w:p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Нижегородская обл., р.п. Шаранга, ул. Строителей,  д.2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ведомственный контроль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выездная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09.06.2021г.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20 рабочих дней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LibreOffice/7.0.3.1$Windows_X86_64 LibreOffice_project/d7547858d014d4cf69878db179d326fc3483e082</Application>
  <Pages>3</Pages>
  <Words>266</Words>
  <Characters>2148</Characters>
  <CharactersWithSpaces>2387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2020-11-23T16:05:04Z</cp:lastPrinted>
  <dcterms:modified xsi:type="dcterms:W3CDTF">2020-11-23T16:05:26Z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