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14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7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33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ответственного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spacing w:lineRule="auto" w:line="360"/>
        <w:ind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В целях реализации Указа Губернатора Нижегородской области №116  от 07 июля 2020 г. «О координации деятельности по осуществлению прав на международные и внешнеэкономические связи Нижегородской области»  назначить управляющую делами администрации Шарангского муниципального района Софронову Валентину Алексеевну ответственной  за организацию работ по исполнению Указа и взаимодействию с департаментом внешних связей Правительства Нижегородской области.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LibreOffice/6.4.4.2$Windows_x86 LibreOffice_project/3d775be2011f3886db32dfd395a6a6d1ca2630ff</Application>
  <Pages>1</Pages>
  <Words>70</Words>
  <Characters>541</Characters>
  <CharactersWithSpaces>606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2019-10-11T15:42:38Z</cp:lastPrinted>
  <dcterms:modified xsi:type="dcterms:W3CDTF">2020-07-20T08:51:44Z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