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21.08.2017 года № 418 «Об утверждении Муниципальной программы «Профилактика преступлений и иных правонарушений в Шарангском муниципальном районе на 2018-2020 годы»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Calibri"/>
          <w:sz w:val="28"/>
          <w:szCs w:val="28"/>
        </w:rPr>
        <w:t xml:space="preserve">В соответствии с решением Земского собрания от 20.12.2019 года № 50 «О районном бюджете на 2020 год и на плановый период 2021 и 2022 годы» администрация Шарангского муниципального района </w:t>
      </w:r>
      <w:r>
        <w:rPr>
          <w:rFonts w:eastAsia="Calibri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 </w:t>
      </w:r>
      <w:r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>от 21.08.2017 года № 418 «Об утверждении Муниципальной программы «Профилактика преступлений и иных правонарушений в Шарангском муниципальном районе на 2018-2020 годы»</w:t>
      </w:r>
      <w:r>
        <w:rPr>
          <w:sz w:val="28"/>
          <w:szCs w:val="28"/>
        </w:rPr>
        <w:t xml:space="preserve"> (далее соответственно – муниципальная программа, постановление).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 муниципальной программе, утвержденной постановлением: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bCs/>
          <w:sz w:val="28"/>
          <w:szCs w:val="28"/>
        </w:rPr>
        <w:t>1.1. В разделе 1 «</w:t>
      </w:r>
      <w:r>
        <w:rPr>
          <w:sz w:val="28"/>
          <w:szCs w:val="28"/>
        </w:rPr>
        <w:t>Паспорт программы» пункт 1.9.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«1.9. Объемы и источники финансирования программы.</w:t>
      </w:r>
    </w:p>
    <w:tbl>
      <w:tblPr>
        <w:tblW w:w="9664" w:type="dxa"/>
        <w:jc w:val="left"/>
        <w:tblInd w:w="-2" w:type="dxa"/>
        <w:tblCellMar>
          <w:top w:w="0" w:type="dxa"/>
          <w:left w:w="32" w:type="dxa"/>
          <w:bottom w:w="0" w:type="dxa"/>
          <w:right w:w="40" w:type="dxa"/>
        </w:tblCellMar>
      </w:tblPr>
      <w:tblGrid>
        <w:gridCol w:w="2145"/>
        <w:gridCol w:w="2160"/>
        <w:gridCol w:w="1305"/>
        <w:gridCol w:w="1185"/>
        <w:gridCol w:w="1125"/>
        <w:gridCol w:w="1744"/>
      </w:tblGrid>
      <w:tr>
        <w:trPr>
          <w:trHeight w:val="428" w:hRule="exact"/>
        </w:trPr>
        <w:tc>
          <w:tcPr>
            <w:tcW w:w="214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1.9. Объемы и источники финансирования Программы</w:t>
            </w:r>
          </w:p>
        </w:tc>
        <w:tc>
          <w:tcPr>
            <w:tcW w:w="2160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Годы</w:t>
            </w:r>
          </w:p>
        </w:tc>
      </w:tr>
      <w:tr>
        <w:trPr>
          <w:trHeight w:val="878" w:hRule="exact"/>
        </w:trPr>
        <w:tc>
          <w:tcPr>
            <w:tcW w:w="214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0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2018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/>
            </w:pPr>
            <w:r>
              <w:rPr>
                <w:spacing w:val="-1"/>
                <w:sz w:val="24"/>
                <w:szCs w:val="24"/>
              </w:rPr>
              <w:t xml:space="preserve">Всего за период </w:t>
            </w:r>
            <w:r>
              <w:rPr>
                <w:sz w:val="24"/>
                <w:szCs w:val="24"/>
              </w:rPr>
              <w:t>реализации Программы</w:t>
            </w:r>
          </w:p>
        </w:tc>
      </w:tr>
      <w:tr>
        <w:trPr>
          <w:trHeight w:val="630" w:hRule="exact"/>
        </w:trPr>
        <w:tc>
          <w:tcPr>
            <w:tcW w:w="214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rPr/>
            </w:pPr>
            <w:r>
              <w:rPr>
                <w:sz w:val="24"/>
                <w:szCs w:val="24"/>
              </w:rPr>
              <w:t xml:space="preserve">Всего, в том </w:t>
            </w:r>
            <w:r>
              <w:rPr>
                <w:spacing w:val="-2"/>
                <w:sz w:val="24"/>
                <w:szCs w:val="24"/>
              </w:rPr>
              <w:t>числе (тыс. руб.)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>
        <w:trPr>
          <w:trHeight w:val="584" w:hRule="exact"/>
        </w:trPr>
        <w:tc>
          <w:tcPr>
            <w:tcW w:w="214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64" w:hRule="exact"/>
        </w:trPr>
        <w:tc>
          <w:tcPr>
            <w:tcW w:w="214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rPr/>
            </w:pPr>
            <w:r>
              <w:rPr>
                <w:sz w:val="24"/>
                <w:szCs w:val="24"/>
              </w:rPr>
              <w:t>Федеральный бюджет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699" w:hRule="exact"/>
        </w:trPr>
        <w:tc>
          <w:tcPr>
            <w:tcW w:w="214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FFFFFF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"/>
              <w:shd w:fill="FFFFFF" w:val="clear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>
      <w:pPr>
        <w:pStyle w:val="Normal"/>
        <w:spacing w:lineRule="auto" w:line="360"/>
        <w:ind w:left="8640" w:firstLine="720"/>
        <w:jc w:val="both"/>
        <w:rPr/>
      </w:pPr>
      <w:r>
        <w:rPr>
          <w:sz w:val="28"/>
          <w:szCs w:val="28"/>
        </w:rPr>
        <w:t>».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В разделе 2 «Текст программы» пункт 2.5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«2.5. Система программных мероприятий</w:t>
      </w:r>
    </w:p>
    <w:tbl>
      <w:tblPr>
        <w:tblW w:w="9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655"/>
        <w:gridCol w:w="1080"/>
        <w:gridCol w:w="1530"/>
        <w:gridCol w:w="1485"/>
        <w:gridCol w:w="675"/>
        <w:gridCol w:w="60"/>
        <w:gridCol w:w="615"/>
        <w:gridCol w:w="630"/>
      </w:tblGrid>
      <w:tr>
        <w:trPr/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9"/>
                <w:tab w:val="left" w:pos="930" w:leader="none"/>
              </w:tabs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№ </w:t>
            </w:r>
            <w:r>
              <w:rPr>
                <w:b/>
                <w:sz w:val="18"/>
                <w:szCs w:val="18"/>
              </w:rPr>
              <w:t>п/п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Наименование мероприятий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Срок выполнения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9"/>
                <w:tab w:val="left" w:pos="6223" w:leader="none"/>
              </w:tabs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Исполнители мероприятий</w:t>
            </w:r>
          </w:p>
        </w:tc>
        <w:tc>
          <w:tcPr>
            <w:tcW w:w="34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Объемы финансирования (по годам в разрезе источников), тыс.руб.</w:t>
            </w:r>
          </w:p>
        </w:tc>
      </w:tr>
      <w:tr>
        <w:trPr/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sz w:val="18"/>
                <w:szCs w:val="18"/>
              </w:rPr>
              <w:t>2018г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sz w:val="18"/>
                <w:szCs w:val="18"/>
              </w:rPr>
              <w:t>2019г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2020г.</w:t>
            </w:r>
          </w:p>
        </w:tc>
      </w:tr>
      <w:tr>
        <w:trPr>
          <w:trHeight w:val="925" w:hRule="atLeast"/>
        </w:trPr>
        <w:tc>
          <w:tcPr>
            <w:tcW w:w="61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Цель Программы:</w:t>
            </w:r>
          </w:p>
          <w:p>
            <w:pPr>
              <w:pStyle w:val="Normal"/>
              <w:shd w:fill="FFFFFF" w:val="clear"/>
              <w:tabs>
                <w:tab w:val="clear" w:pos="709"/>
                <w:tab w:val="left" w:pos="432" w:leader="none"/>
              </w:tabs>
              <w:spacing w:lineRule="exact" w:line="274"/>
              <w:ind w:firstLine="14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Объединений усилий органов местного самоуправления и правоохранительных органов в профилактике правонарушений и борьбе с преступностью, комплексное обеспечение безопасности граждан на территории Шарангского муниципального района,</w:t>
            </w:r>
          </w:p>
          <w:p>
            <w:pPr>
              <w:pStyle w:val="Normal"/>
              <w:shd w:fill="FFFFFF" w:val="clear"/>
              <w:tabs>
                <w:tab w:val="clear" w:pos="709"/>
                <w:tab w:val="left" w:pos="432" w:leader="none"/>
              </w:tabs>
              <w:spacing w:lineRule="exact" w:line="274"/>
              <w:ind w:firstLine="14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повышение уровня доверия населения к правоохранительным органам в сфере обеспечения безопасности; укрепление правовой базы противодействия коррупции.</w:t>
            </w:r>
          </w:p>
          <w:p>
            <w:pPr>
              <w:pStyle w:val="Normal"/>
              <w:rPr>
                <w:spacing w:val="-6"/>
                <w:sz w:val="26"/>
                <w:szCs w:val="26"/>
              </w:rPr>
            </w:pPr>
            <w:r>
              <w:rPr>
                <w:spacing w:val="-6"/>
                <w:sz w:val="26"/>
                <w:szCs w:val="26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</w:tr>
      <w:tr>
        <w:trPr>
          <w:trHeight w:val="558" w:hRule="atLeast"/>
        </w:trPr>
        <w:tc>
          <w:tcPr>
            <w:tcW w:w="612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pacing w:val="-8"/>
                <w:sz w:val="22"/>
                <w:szCs w:val="22"/>
              </w:rPr>
            </w:pPr>
            <w:r>
              <w:rPr>
                <w:b/>
                <w:spacing w:val="-8"/>
                <w:sz w:val="22"/>
                <w:szCs w:val="22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</w:tr>
      <w:tr>
        <w:trPr>
          <w:trHeight w:val="552" w:hRule="atLeast"/>
        </w:trPr>
        <w:tc>
          <w:tcPr>
            <w:tcW w:w="612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both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</w:tr>
      <w:tr>
        <w:trPr>
          <w:trHeight w:val="545" w:hRule="atLeast"/>
        </w:trPr>
        <w:tc>
          <w:tcPr>
            <w:tcW w:w="612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</w:tr>
      <w:tr>
        <w:trPr>
          <w:trHeight w:val="552" w:hRule="atLeast"/>
        </w:trPr>
        <w:tc>
          <w:tcPr>
            <w:tcW w:w="612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pacing w:val="-8"/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jc w:val="center"/>
              <w:rPr/>
            </w:pPr>
            <w:r>
              <w:rPr/>
            </w:r>
          </w:p>
        </w:tc>
      </w:tr>
      <w:tr>
        <w:trPr>
          <w:trHeight w:val="300" w:hRule="atLeast"/>
        </w:trPr>
        <w:tc>
          <w:tcPr>
            <w:tcW w:w="9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fill="FFFFFF" w:val="clear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Задача 1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улучшение межведомственного взаимодействия правоохранительных органов, органов местного самоуправления и общественности в борьбе с преступностью</w:t>
            </w:r>
          </w:p>
        </w:tc>
      </w:tr>
      <w:tr>
        <w:trPr>
          <w:trHeight w:val="1074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Изучение причин и условий, способствующих совершению преступлений и иных правонарушений, и доведение результата анализа до заинтересованных органов по вопросам их компетенции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2018 – 2020г.г. постоянно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 xml:space="preserve">администрация района,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7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8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Проведение анализа практики взаимодействия органов внутренних дел с органами местного самоуправления и общественных организаций в сфере </w:t>
            </w:r>
            <w:r>
              <w:rPr>
                <w:spacing w:val="-1"/>
              </w:rPr>
              <w:t xml:space="preserve">пропаганды здорового образа жизни, </w:t>
            </w:r>
            <w:r>
              <w:rPr/>
              <w:t>снижения уровня алкоголизации и наркотизации населения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2018 – 2020г.г. постоянно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 xml:space="preserve">администрация района,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60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60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60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149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854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</w:t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36" w:leader="none"/>
              </w:tabs>
              <w:rPr/>
            </w:pPr>
            <w:r>
              <w:rPr/>
              <w:t xml:space="preserve">Организация и проведение круглого стола по проблемам профилактики преступлений, злоупотреблений наркотическими веществами среди подростков и молодежи, организация конкурсов и викторин на правовые темы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717" w:leader="none"/>
              </w:tabs>
              <w:jc w:val="center"/>
              <w:rPr/>
            </w:pPr>
            <w:r>
              <w:rPr/>
              <w:t>3-4 кв. 2018-2020гг.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управление образования и молодежной политики администрации Шарангского муниципального района, КДН и ЗП, отдел культуры администрации Шарангского муниципального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15</w:t>
            </w:r>
          </w:p>
        </w:tc>
      </w:tr>
      <w:tr>
        <w:trPr>
          <w:trHeight w:val="56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36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71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36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71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661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36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71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</w:tr>
      <w:tr>
        <w:trPr>
          <w:trHeight w:val="558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36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71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1261" w:hRule="atLeast"/>
        </w:trPr>
        <w:tc>
          <w:tcPr>
            <w:tcW w:w="9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Задача 2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формирование позитивного общественного мнения о правоохранительной системе и результатах ее деятельности, восстановление доверия общества к правоохранительным органам</w:t>
            </w:r>
          </w:p>
        </w:tc>
      </w:tr>
      <w:tr>
        <w:trPr>
          <w:trHeight w:val="82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84" w:leader="none"/>
              </w:tabs>
              <w:rPr/>
            </w:pPr>
            <w:r>
              <w:rPr/>
              <w:t>Информационно-методическая поддержка по организации работы по профилактике преступлений и иных правонарушений. Тиражирование опыта работы по использованию интерактивных технологий в работе по профилактике преступлений и иных правонарушений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 – 4 кв. 2018г – 2020г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496" w:leader="none"/>
              </w:tabs>
              <w:jc w:val="center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tabs>
                <w:tab w:val="clear" w:pos="709"/>
                <w:tab w:val="left" w:pos="6496" w:leader="none"/>
              </w:tabs>
              <w:jc w:val="center"/>
              <w:rPr/>
            </w:pPr>
            <w:r>
              <w:rPr/>
              <w:t xml:space="preserve"> </w:t>
            </w:r>
            <w:r>
              <w:rPr/>
              <w:t>администрация района, 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621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84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496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84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496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3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84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496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561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684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6496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9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Информирование населения о состоянии правопорядка, проблемах, стоящих перед МО МВД, проведение отчетов участковых уполномоченных перед населением на административных участках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667" w:leader="none"/>
              </w:tabs>
              <w:jc w:val="center"/>
              <w:rPr/>
            </w:pPr>
            <w:r>
              <w:rPr/>
              <w:t>2018-2020г.г.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53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66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61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66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1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66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56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  <w:tab w:val="left" w:pos="5667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6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Распространение в местах массового пребывания населения информационных листов антиалкогольной тематики и о профилактике здорового образа жизни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2018-2020г.г.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6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6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6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6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60" w:hRule="atLeast"/>
        </w:trPr>
        <w:tc>
          <w:tcPr>
            <w:tcW w:w="9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Задача 3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sz w:val="22"/>
                <w:szCs w:val="22"/>
              </w:rPr>
              <w:t>укрепление системы профилактики преступлений и иных</w:t>
            </w:r>
          </w:p>
          <w:p>
            <w:pPr>
              <w:pStyle w:val="Normal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правонарушений</w:t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jc w:val="center"/>
              <w:rPr/>
            </w:pPr>
            <w:r>
              <w:rPr/>
              <w:t>3.1.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Профилактика правонарушений на территории района</w:t>
            </w:r>
          </w:p>
        </w:tc>
      </w:tr>
      <w:tr>
        <w:trPr>
          <w:trHeight w:val="45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3.1.1.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Проведение конкурса профессионального мастерства участковых уполномоченных милиции на звание «Лучший по профессии»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ежегодно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rPr/>
            </w:pPr>
            <w:r>
              <w:rPr/>
              <w:t xml:space="preserve">администрация района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Федеральный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5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3.2.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Профилактика правонарушений среди лиц, освобожденных из мест лишения свободы</w:t>
            </w:r>
          </w:p>
        </w:tc>
      </w:tr>
      <w:tr>
        <w:trPr>
          <w:trHeight w:val="34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3.2.1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Обеспечение своевременного информирования о лицах, освободившихся из мест лишения свободы. Квотирование рабочих мест для лиц, освобожденных из исправительных учреждений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rPr/>
            </w:pPr>
            <w:r>
              <w:rPr>
                <w:szCs w:val="22"/>
              </w:rPr>
              <w:t>- отделение полиции (дислокация пгт Шаранга) МО МВД России «Уренский» (по согласованию), ГКУ «Центр занятости населения Шарангского района»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3.2.2.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Оказание помощи в оформлении паспортов, лицам освободившимся из мест лишения свободы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rPr/>
            </w:pPr>
            <w:r>
              <w:rPr>
                <w:spacing w:val="-1"/>
              </w:rPr>
              <w:t xml:space="preserve">- отделение полиции (дислокация пгт Шаранга) МО МВД России «Уренский» (по согласованию), администрация района, </w:t>
            </w:r>
          </w:p>
          <w:p>
            <w:pPr>
              <w:pStyle w:val="Normal"/>
              <w:shd w:fill="FFFFFF" w:val="clear"/>
              <w:rPr>
                <w:spacing w:val="-1"/>
              </w:rPr>
            </w:pPr>
            <w:r>
              <w:rPr>
                <w:spacing w:val="-1"/>
              </w:rPr>
              <w:t xml:space="preserve">КДН и ЗП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253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rPr>
                <w:spacing w:val="-1"/>
              </w:rPr>
            </w:pPr>
            <w:r>
              <w:rPr>
                <w:spacing w:val="-1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3.3.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Профилактика нарушений законодательства о гражданстве, предупреждение и пресечение нелегальной миграции</w:t>
            </w:r>
          </w:p>
        </w:tc>
      </w:tr>
      <w:tr>
        <w:trPr>
          <w:trHeight w:val="66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3.3.1.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rPr/>
            </w:pPr>
            <w:r>
              <w:rPr/>
              <w:t xml:space="preserve">Проведение целевых проверок на ярмарках иных местах розничной торговли Шарангского района по соблюдению миграционного законодательства и трудовой деятельности иностранными работниками и принимающей стороной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jc w:val="center"/>
              <w:rPr/>
            </w:pPr>
            <w:r>
              <w:rPr/>
              <w:t>УФМС по Шарангскому району (по согласованию), отделение полиции (дислокация пгт Шаранга) МО МВД России «Уренский»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66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66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66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11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26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3.3.2.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rPr/>
            </w:pPr>
            <w:r>
              <w:rPr/>
              <w:t>Организация контроля за пребыванием на территорию Шарангского района иностранных граждан, которым отказано в оформлении разрешений на работу, либо их разрешения аннулированы, а также иностранных работников, с которыми расторгнуты трудовые договоры, в том числе досрочно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 постоянно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jc w:val="center"/>
              <w:rPr/>
            </w:pPr>
            <w:r>
              <w:rPr/>
              <w:t xml:space="preserve">УФМС по Шарангскому району (по согласованию), отделение полиции (дислокация пгт Шаранга) МО МВД России «Уренский» (по согласованию) </w:t>
            </w:r>
          </w:p>
          <w:p>
            <w:pPr>
              <w:pStyle w:val="Normal"/>
              <w:shd w:fill="FFFFFF" w:val="clear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1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78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6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2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846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3.3.3.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rPr/>
            </w:pPr>
            <w:r>
              <w:rPr/>
              <w:t>Проведение мероприятий по предупреждению, выявлению и пресечению каналов незаконной миграции иностранных граждан и лиц без гражданства на территории Нижегородской области, проверок строительных объектов, жилого сектора организаций, осуществляющих привлечение и использование иностранной рабочей силы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 ежеквартально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jc w:val="center"/>
              <w:rPr/>
            </w:pPr>
            <w:r>
              <w:rPr/>
              <w:t xml:space="preserve">УФМС по Шарангскому району (по согласованию), отделение полиции (дислокация пгт Шаранга) МО МВД России «Уренский» (по согласованию)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4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2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13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0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3.4.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Противодействие злоупотреблению наркотиками и их незаконному обороту</w:t>
            </w:r>
          </w:p>
        </w:tc>
      </w:tr>
      <w:tr>
        <w:trPr>
          <w:trHeight w:val="57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3.4.1.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В рамках межведомственной операции «Мак» проведение мероприятия по выявлению и уничтожению незаконных посевов и дикорастущих очагов наркосодержащих растений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2018-2020гг 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- отделение полиции (дислокация пгт Шаранга) МО МВД России «Уренский» (по согласованию) 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7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7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7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57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3.4.2.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26"/>
              <w:rPr/>
            </w:pPr>
            <w:r>
              <w:rPr/>
              <w:t>Проведение мониторинга распространения наркотических средств и психотропных веществ среди учащейся молодежи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управление образования и молодежной политики администрации Шарангского муниципального района, сектор по физической культуре и спорту администрации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8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3.4.3.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30"/>
              <w:rPr/>
            </w:pPr>
            <w:r>
              <w:rPr/>
              <w:t>Организация и проведение комплексных оперативно-профилактических операций среди подростков и молодежи:</w:t>
            </w:r>
          </w:p>
          <w:p>
            <w:pPr>
              <w:pStyle w:val="Normal"/>
              <w:shd w:fill="FFFFFF" w:val="clear"/>
              <w:tabs>
                <w:tab w:val="clear" w:pos="709"/>
                <w:tab w:val="left" w:pos="178" w:leader="none"/>
              </w:tabs>
              <w:spacing w:lineRule="exact" w:line="230"/>
              <w:rPr/>
            </w:pPr>
            <w:r>
              <w:rPr/>
              <w:t>-</w:t>
              <w:tab/>
              <w:t>«Дискотека»;</w:t>
            </w:r>
          </w:p>
          <w:p>
            <w:pPr>
              <w:pStyle w:val="Normal"/>
              <w:shd w:fill="FFFFFF" w:val="clear"/>
              <w:tabs>
                <w:tab w:val="clear" w:pos="709"/>
                <w:tab w:val="left" w:pos="178" w:leader="none"/>
              </w:tabs>
              <w:spacing w:lineRule="exact" w:line="230"/>
              <w:rPr/>
            </w:pPr>
            <w:r>
              <w:rPr/>
              <w:t>-</w:t>
              <w:tab/>
              <w:t>«Школа»;</w:t>
            </w:r>
          </w:p>
          <w:p>
            <w:pPr>
              <w:pStyle w:val="Normal"/>
              <w:shd w:fill="FFFFFF" w:val="clear"/>
              <w:tabs>
                <w:tab w:val="clear" w:pos="709"/>
                <w:tab w:val="left" w:pos="178" w:leader="none"/>
              </w:tabs>
              <w:spacing w:lineRule="exact" w:line="230"/>
              <w:rPr/>
            </w:pPr>
            <w:r>
              <w:rPr/>
              <w:t>-</w:t>
              <w:tab/>
              <w:t>«Притон»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отделение полиции (дислокация пгт Шаранга) МО МВД России «Уренский» (по согласованию), КДН и ЗП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5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30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3.5.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pacing w:val="-3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Вовлечение общественности в предупреждение преступлений и иных правонарушений</w:t>
            </w:r>
          </w:p>
        </w:tc>
      </w:tr>
      <w:tr>
        <w:trPr>
          <w:trHeight w:val="37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3.5.1.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pacing w:lineRule="exact" w:line="226"/>
              <w:rPr/>
            </w:pPr>
            <w:r>
              <w:rPr/>
              <w:t>Реализация комплекса мер по стимулированию участия населения в народных дружинах по охране общественного порядка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 </w:t>
            </w:r>
            <w:r>
              <w:rPr>
                <w:spacing w:val="-3"/>
              </w:rPr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  <w:p>
            <w:pPr>
              <w:pStyle w:val="Normal"/>
              <w:rPr/>
            </w:pPr>
            <w:r>
              <w:rPr/>
              <w:t xml:space="preserve">администрация района, органы местного самоуправления поселений (по согласованию)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7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7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hd w:fill="FFFFFF" w:val="clear"/>
              <w:snapToGrid w:val="false"/>
              <w:spacing w:lineRule="exact" w:line="226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3.6.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hd w:fill="FFFFFF" w:val="clear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hd w:fill="FFFFFF" w:val="clear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Профилактика правонарушений в рамках отдельной отрасли, сферы управления, организации, учреждения</w:t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02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3.6.1.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Реализация комплекса организационных и профилактических мероприятий по выявлению и пресечению незаконной заготовки, транспортировки и реализации древесины и пиломатериалов (по специальным планам)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73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3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3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3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4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3.6.2.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Проведение комплекса проверок соблюдения природоохранного законодательства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отделение полиции (дислокация пгт Шаранга) МО МВД России «Уренский»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87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3.6.3.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Организация и проведение комплекса мероприятий по выявлению и пресечению преступлений, связанных с выплатой работодателями «теневой» части заработной платы, обеспечению поступления в бюджет и внебюджетные фонды социальных налогов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2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2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21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3.7.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Профилактика преступлений и иных правонарушений в общественных местах и на улицах</w:t>
            </w:r>
          </w:p>
        </w:tc>
      </w:tr>
      <w:tr>
        <w:trPr>
          <w:trHeight w:val="376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3.7.1.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Приобретение и установка в центральной части р.п. Шаранга и местах массового пребывания граждан систем видео наблюдения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администрация р.п. Шаранга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3.7.2.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Приобретение авто-видеорегистраторов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отделение полиции (дислокация пгт Шаранга) МО МВД России «Уренский»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3.7.3.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Принятие мер по усилению охраны общественного порядка в местах массового пребывания граждан целью профилактики возможных террористических актов, усиление антитеррористической защищенности образовательных учреждений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2018-2020гг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управление образования и молодежной политики администрации Шарангского муниципального района; администрации района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0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53" w:hRule="atLeast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3.8.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коррупционных правонарушений</w:t>
            </w:r>
          </w:p>
        </w:tc>
      </w:tr>
      <w:tr>
        <w:trPr>
          <w:trHeight w:val="353" w:hRule="atLeast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Участие в практических и зональных семинарах, совещаниях, «круглых столах» по антикоррупционной тематике, проводимых Управлением государственной гражданской и муниципальной службы Нижегородской области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Информационная поддержка подраздела «Противодействие коррупции» на официальном сайте администрации Шарангского муниципального района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firstLine="66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25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63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hanging="0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5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Обеспечение повышения квалификации муниципальных служащих по вопросу противодействия коррупции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66" w:firstLine="66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3.8.4.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bCs/>
              </w:rPr>
              <w:t>Оказание содействия муниципальным учреждениям организации работы по профилактике коррупционных правонарушений и осуществление контроля за исполнением законодательства о противодействии коррупции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692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3.8.5.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Организация работы по:</w:t>
            </w:r>
          </w:p>
          <w:p>
            <w:pPr>
              <w:pStyle w:val="Normal"/>
              <w:rPr>
                <w:bCs/>
              </w:rPr>
            </w:pPr>
            <w:r>
              <w:rPr>
                <w:bCs/>
              </w:rPr>
              <w:t>1) выявлению случаев несоблюдения запретов и ограничений, требований к служебному поведению муниципальных служащих;</w:t>
            </w:r>
          </w:p>
          <w:p>
            <w:pPr>
              <w:pStyle w:val="Normal"/>
              <w:rPr>
                <w:bCs/>
              </w:rPr>
            </w:pPr>
            <w:r>
              <w:rPr>
                <w:bCs/>
              </w:rPr>
              <w:t>2) выявлению и устранению причин и условий, способствующих возникновению конфликта интересов на муниципальной службе;</w:t>
            </w:r>
          </w:p>
          <w:p>
            <w:pPr>
              <w:pStyle w:val="Normal"/>
              <w:rPr>
                <w:bCs/>
              </w:rPr>
            </w:pPr>
            <w:r>
              <w:rPr>
                <w:bCs/>
              </w:rPr>
              <w:t>3) неисполнению обязанностей, установленных в целях противодействия коррупции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3.8.6.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Организация и проведение работы по предоставлению, опубликованию и анализу сведений о доходах, расходах, об имуществе и обязательствах имущественного характера муниципальных служащих, и лиц замещающих муниципальные должности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3.8.7.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Осуществление проверок достоверности и полноты сведений о доходах, расходах, об имуществе и обязательствах имущественного характера в отношении лиц, обязанных предоставлять данные сведения, а также проверок по каждому случаю несоблюдения запретов и ограничений, требований к служебному поведению, неисполнения обязанностей, установленных в целях противодействия коррупции,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Федеральный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79" w:hRule="atLeast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3.9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exact" w:line="317"/>
              <w:jc w:val="both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Профилактика преступлений и правонарушений, связанных с семейно-бытовым насилием</w:t>
            </w:r>
          </w:p>
        </w:tc>
      </w:tr>
      <w:tr>
        <w:trPr>
          <w:trHeight w:val="37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Организация и проведение культурно-просветительных мероприятий, направленных на повышение престижа семьи в обществе, пропаганды семейного образа жизни и укрепления семейных традиций в Шарангском муниципальном районе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 </w:t>
            </w:r>
            <w:r>
              <w:rPr/>
              <w:t>управление образования и молодежной политики администрации Шарангского муниципального района, отдел культуры администрации Шарангского муниципального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29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3.9.2.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 xml:space="preserve">Освещение в районной газете «Знамя победы», МП Шарангское телевидение «Истоки»,вопросов направленных на повышение престижа семьи в обществе, пропаганды семейного образа жизни и укрепления семейных традиций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color w:val="000000"/>
              </w:rPr>
              <w:t>районная газета «Знамя победы», МП Шарангское телевидение «Истоки»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75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3.9.3.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Организация работы по ведению в межведомственной комиссии по профилактике правонарушений на территории Шарангского муниципального района реестра неблагополучных адресов, а также лиц, совершающих правонарушения в сфере семейно-бытовых отношений, с последующим периодичным информированием правоохранительных органов и иных субъектов профилактики в соответствии с их компетенцией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администрация района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4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3.9.4.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Организация и проведение рейдовых мероприятий «социального патруля» по семьям, признанным находящимися в социально опасном положении, с выработкой мер социальной поддержки детей, проживающих в данных семьях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61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3.9.5.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 xml:space="preserve">Организация и проведение в образовательных учреждениях «круглых столов» по проблеме защиты детей от преступных посягательств 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84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3.9.6.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Организация и проведение анкетирования среди учащихся образовательных учреждений с целью выявления случаев жестокого обращения с детьми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70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3.9.7.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Организация и проведение тематических «Родительских школ», направленных на профилактику семейно-бытового насилия и жестокого обращения с детьми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81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3.9.8.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color w:val="000000"/>
              </w:rPr>
              <w:t>Организация и проведение целевых оперативно-профилактических мероприятий по предупреждению тяжких и особо тяжких преступлений против жизни и здоровья граждан, совершаемых в сфере семейно-бытовых отношений, в состоянии алкогольного или наркотического опьянения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242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3.9.9.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Организация и проведение рейдов по местам проживания социально незащищенных категорий населения с целью своевременного выявления и полноты учета лиц, систематически допускающих правонарушения в сфере семейно-бытовых отношений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84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346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pacing w:lineRule="exact" w:line="317"/>
              <w:rPr/>
            </w:pPr>
            <w:r>
              <w:rPr/>
              <w:t>3.9.10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Организация и проведение оперативно-профилактических мероприятий, направленных на предупреждение правонарушений в сфере семейно-бытовых отношений среди осужденных к наказаниям, не связанным с лишением свободы, и иным мерам уголовно-правового характера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2018 - 2020 гг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отделение полиции (дислокация пгт Шаранга) МО МВД России «Уренский» (по согласованию), 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exact" w:line="3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2" w:hRule="atLeast"/>
        </w:trPr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>
                <w:spacing w:val="-8"/>
              </w:rPr>
            </w:pPr>
            <w:r>
              <w:rPr>
                <w:spacing w:val="-8"/>
              </w:rPr>
              <w:t>3.10</w:t>
            </w:r>
          </w:p>
        </w:tc>
        <w:tc>
          <w:tcPr>
            <w:tcW w:w="87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pacing w:lineRule="exact" w:line="317"/>
              <w:jc w:val="center"/>
              <w:rPr>
                <w:spacing w:val="-8"/>
              </w:rPr>
            </w:pPr>
            <w:r>
              <w:rPr>
                <w:spacing w:val="-8"/>
              </w:rPr>
              <w:t>Профилактика правонарушений и повторных преступлений, направленных на оказание социальной помощи осужденным к мерам наказания не связанными с лишением свободы</w:t>
            </w:r>
          </w:p>
        </w:tc>
      </w:tr>
      <w:tr>
        <w:trPr>
          <w:trHeight w:val="1933" w:hRule="atLeast"/>
        </w:trPr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exact" w:line="317"/>
              <w:rPr/>
            </w:pPr>
            <w:r>
              <w:rPr/>
              <w:t>3.10.1.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Создание «банка вакансий рабочих мест для осужденных», проведение ярмарки вакансий для осужденных с участием работодателей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/>
            </w:pPr>
            <w:r>
              <w:rPr/>
              <w:t>2019г.-2020г.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-Уренский МФ ФКУ УИИ (дислокация пгт. Шаранга) ( по согласованию),</w:t>
            </w:r>
          </w:p>
          <w:p>
            <w:pPr>
              <w:pStyle w:val="Normal"/>
              <w:jc w:val="center"/>
              <w:rPr/>
            </w:pPr>
            <w:r>
              <w:rPr/>
              <w:t>-ГКУ ЦЗН Шарангского района (по согласованию)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564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/>
              <w:t>Областной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557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/>
              <w:t xml:space="preserve">Федеральный бюджет 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  <w:tr>
        <w:trPr>
          <w:trHeight w:val="410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/>
              <w:t>Местный бюджет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</w:t>
            </w:r>
          </w:p>
        </w:tc>
      </w:tr>
      <w:tr>
        <w:trPr>
          <w:trHeight w:val="416" w:hRule="atLeast"/>
        </w:trPr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spacing w:lineRule="exact" w:line="317"/>
              <w:rPr/>
            </w:pPr>
            <w:r>
              <w:rPr/>
            </w:r>
          </w:p>
        </w:tc>
        <w:tc>
          <w:tcPr>
            <w:tcW w:w="26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5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rPr/>
            </w:pPr>
            <w:r>
              <w:rPr/>
              <w:t>Прочие источники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tcMar>
              <w:left w:w="103" w:type="dxa"/>
            </w:tcMar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firstLine="709"/>
        <w:jc w:val="right"/>
        <w:outlineLvl w:val="3"/>
        <w:rPr>
          <w:sz w:val="28"/>
          <w:szCs w:val="28"/>
        </w:rPr>
      </w:pPr>
      <w:r>
        <w:rPr>
          <w:rFonts w:eastAsia="Calibri" w:cs="Times New Roman"/>
          <w:b w:val="false"/>
          <w:sz w:val="28"/>
          <w:szCs w:val="28"/>
        </w:rPr>
        <w:t>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LibreOffice/6.3.4.2$Windows_X86_64 LibreOffice_project/60da17e045e08f1793c57c00ba83cdfce946d0aa</Application>
  <Pages>11</Pages>
  <Words>2452</Words>
  <Characters>16352</Characters>
  <CharactersWithSpaces>18215</CharactersWithSpaces>
  <Paragraphs>709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2020-02-28T11:41:08Z</cp:lastPrinted>
  <dcterms:modified xsi:type="dcterms:W3CDTF">2020-02-28T11:42:02Z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