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.02.20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left="1134" w:right="1133" w:hanging="0"/>
        <w:jc w:val="center"/>
        <w:rPr/>
      </w:pPr>
      <w:r>
        <w:rPr>
          <w:b/>
          <w:bCs/>
          <w:sz w:val="28"/>
          <w:szCs w:val="28"/>
        </w:rPr>
        <w:t xml:space="preserve">О межведомственной комиссии по </w:t>
      </w:r>
      <w:r>
        <w:rPr>
          <w:b/>
          <w:sz w:val="28"/>
          <w:szCs w:val="28"/>
        </w:rPr>
        <w:t>вопросам предоставления адресной государственной социальной помощи на основании социального контракта</w:t>
      </w:r>
      <w:r>
        <w:rPr>
          <w:b/>
          <w:bCs/>
          <w:sz w:val="28"/>
          <w:szCs w:val="28"/>
        </w:rPr>
        <w:t xml:space="preserve">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autoSpaceDE w:val="false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распоряжением Губернатора Нижегородской области от 05.02.2020г. № 150-р «Об утверждении Положения о межведомственной комиссии по вопросам предоставления адресной государственной социальной помощи на основании социального контракта», пунктом 13 </w:t>
      </w:r>
      <w:r>
        <w:rPr>
          <w:sz w:val="28"/>
        </w:rPr>
        <w:t xml:space="preserve">Порядка оказания государственной социальной помощи на основании социального контракта в Нижегородской области, утвержденного постановлением Правительства Нижегородской области от 12.02.2004 N 27 (ред. от 21.01.2020) «О социальной поддержке малоимущих семей или малоимущих одиноко проживающих граждан» </w:t>
      </w:r>
      <w:r>
        <w:rPr>
          <w:spacing w:val="2"/>
          <w:sz w:val="28"/>
          <w:szCs w:val="28"/>
        </w:rPr>
        <w:t xml:space="preserve">администрация Шарангского муниципального района </w:t>
      </w:r>
    </w:p>
    <w:p>
      <w:pPr>
        <w:pStyle w:val="Normal"/>
        <w:autoSpaceDE w:val="false"/>
        <w:spacing w:lineRule="auto" w:line="360" w:before="0" w:after="0"/>
        <w:ind w:left="0" w:right="0" w:hanging="0"/>
        <w:jc w:val="both"/>
        <w:rPr/>
      </w:pPr>
      <w:r>
        <w:rPr>
          <w:b/>
          <w:bCs/>
          <w:spacing w:val="2"/>
          <w:sz w:val="28"/>
          <w:szCs w:val="28"/>
        </w:rPr>
        <w:t>п о с т а н о в л я е т:</w:t>
      </w:r>
    </w:p>
    <w:p>
      <w:pPr>
        <w:pStyle w:val="Normal"/>
        <w:autoSpaceDE w:val="false"/>
        <w:spacing w:lineRule="auto" w:line="360" w:before="0" w:after="0"/>
        <w:ind w:left="0" w:right="0" w:firstLine="709"/>
        <w:jc w:val="both"/>
        <w:rPr/>
      </w:pPr>
      <w:r>
        <w:rPr>
          <w:spacing w:val="2"/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межведомственную </w:t>
      </w:r>
      <w:r>
        <w:rPr>
          <w:bCs/>
          <w:sz w:val="28"/>
          <w:szCs w:val="28"/>
        </w:rPr>
        <w:t xml:space="preserve">комиссию по </w:t>
      </w:r>
      <w:r>
        <w:rPr>
          <w:sz w:val="28"/>
          <w:szCs w:val="28"/>
        </w:rPr>
        <w:t>вопросам предоставления адресной государственной социальной помощи на основании социального контракта</w:t>
      </w:r>
      <w:r>
        <w:rPr>
          <w:bCs/>
          <w:sz w:val="28"/>
          <w:szCs w:val="28"/>
        </w:rPr>
        <w:t xml:space="preserve">. </w:t>
      </w:r>
    </w:p>
    <w:p>
      <w:pPr>
        <w:pStyle w:val="Normal"/>
        <w:autoSpaceDE w:val="false"/>
        <w:spacing w:lineRule="auto" w:line="360" w:before="0" w:after="0"/>
        <w:ind w:left="0" w:right="0" w:firstLine="709"/>
        <w:jc w:val="both"/>
        <w:rPr/>
      </w:pPr>
      <w:r>
        <w:rPr>
          <w:spacing w:val="2"/>
          <w:sz w:val="28"/>
          <w:szCs w:val="28"/>
        </w:rPr>
        <w:t xml:space="preserve">2. </w:t>
      </w:r>
      <w:r>
        <w:rPr>
          <w:spacing w:val="2"/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с</w:t>
      </w:r>
      <w:r>
        <w:rPr>
          <w:bCs/>
          <w:spacing w:val="2"/>
          <w:sz w:val="28"/>
          <w:szCs w:val="28"/>
        </w:rPr>
        <w:t xml:space="preserve">остав межведомственной комиссии по </w:t>
      </w:r>
      <w:r>
        <w:rPr>
          <w:sz w:val="28"/>
          <w:szCs w:val="28"/>
        </w:rPr>
        <w:t>вопросам предоставления адресной государственной социальной помощи на основании социального контракта</w:t>
      </w:r>
      <w:r>
        <w:rPr>
          <w:bCs/>
          <w:spacing w:val="2"/>
          <w:sz w:val="28"/>
          <w:szCs w:val="28"/>
        </w:rPr>
        <w:t>.</w:t>
      </w:r>
      <w:r>
        <w:rPr>
          <w:b/>
          <w:bCs/>
          <w:spacing w:val="2"/>
          <w:sz w:val="28"/>
          <w:szCs w:val="28"/>
        </w:rPr>
        <w:t xml:space="preserve"> </w:t>
      </w:r>
    </w:p>
    <w:p>
      <w:pPr>
        <w:pStyle w:val="Normal"/>
        <w:autoSpaceDE w:val="false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Утвердить прилагаемое Положение о межведомственной комиссии </w:t>
      </w:r>
      <w:r>
        <w:rPr>
          <w:bCs/>
          <w:spacing w:val="2"/>
          <w:sz w:val="28"/>
          <w:szCs w:val="28"/>
        </w:rPr>
        <w:t xml:space="preserve">по </w:t>
      </w:r>
      <w:r>
        <w:rPr>
          <w:sz w:val="28"/>
          <w:szCs w:val="28"/>
        </w:rPr>
        <w:t>вопросам предоставления адресной государственной социальной помощи на основании социального контракта</w:t>
      </w:r>
      <w:r>
        <w:rPr>
          <w:bCs/>
          <w:spacing w:val="2"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0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eastAsia="Calibri" w:cs="Times New Roman"/>
          <w:b w:val="false"/>
          <w:color w:val="000000"/>
          <w:sz w:val="28"/>
          <w:szCs w:val="28"/>
          <w:lang w:eastAsia="en-US"/>
        </w:rPr>
        <w:t xml:space="preserve">4. </w:t>
      </w:r>
      <w:r>
        <w:rPr>
          <w:rFonts w:eastAsia="Calibri" w:cs="Times New Roman"/>
          <w:b w:val="false"/>
          <w:color w:val="000000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Д.О.Ожиганова.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widowControl/>
        <w:tabs>
          <w:tab w:val="clear" w:pos="709"/>
          <w:tab w:val="left" w:pos="993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widowControl/>
        <w:tabs>
          <w:tab w:val="clear" w:pos="709"/>
          <w:tab w:val="left" w:pos="993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pStyle w:val="Normal"/>
        <w:widowControl/>
        <w:tabs>
          <w:tab w:val="clear" w:pos="709"/>
          <w:tab w:val="left" w:pos="993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09"/>
          <w:tab w:val="left" w:pos="993" w:leader="none"/>
        </w:tabs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10.02.2020 г. № 63</w:t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850" w:right="850" w:hanging="0"/>
        <w:jc w:val="center"/>
        <w:rPr>
          <w:sz w:val="24"/>
          <w:szCs w:val="24"/>
        </w:rPr>
      </w:pPr>
      <w:bookmarkStart w:id="0" w:name="P98"/>
      <w:bookmarkEnd w:id="0"/>
      <w:r>
        <w:rPr>
          <w:sz w:val="24"/>
          <w:szCs w:val="24"/>
        </w:rPr>
        <w:t>СОСТАВ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850" w:right="85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межведомственной комиссии по вопросам предоставления адресной государственной социальной помощи на основании социального контракта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850" w:right="850" w:hanging="0"/>
        <w:jc w:val="center"/>
        <w:rPr>
          <w:sz w:val="24"/>
          <w:szCs w:val="24"/>
        </w:rPr>
      </w:pPr>
      <w:r>
        <w:rPr>
          <w:sz w:val="24"/>
          <w:szCs w:val="24"/>
        </w:rPr>
        <w:t>(далее также – комиссия)</w:t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25" w:type="dxa"/>
        <w:jc w:val="left"/>
        <w:tblInd w:w="5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5"/>
        <w:gridCol w:w="7200"/>
      </w:tblGrid>
      <w:tr>
        <w:trPr/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Ожиганов Дмитрий Олегович</w:t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главы администрации Шарангского муниципального района, председатель комиссии </w:t>
            </w:r>
          </w:p>
        </w:tc>
      </w:tr>
      <w:tr>
        <w:trPr/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Кислицына Татьяна Геннадьевна</w:t>
            </w:r>
          </w:p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Чапрасова Ольга Дмитриевна</w:t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государственного казенного учреждения Нижегородской области «Управление социальной защиты населения Шарангского района», заместитель председателя комиссии (по согласованию)</w:t>
            </w:r>
          </w:p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приема и контроля реализации социальных гарантий ГКУ НО «УСЗН Шарангского района», секретарь комиссии (по согласованию)</w:t>
            </w:r>
          </w:p>
        </w:tc>
      </w:tr>
      <w:tr>
        <w:trPr/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Самоделкина Елена Алексеевна</w:t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образования и молодежной политики администрации Шарангского муниципального района</w:t>
            </w:r>
          </w:p>
        </w:tc>
      </w:tr>
      <w:tr>
        <w:trPr/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Мельчакова Евгения Николаевна</w:t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МБУ «МФЦ Шарангского района Нижегородской области»</w:t>
            </w:r>
          </w:p>
        </w:tc>
      </w:tr>
      <w:tr>
        <w:trPr/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Безрукова Валентина Кузьминична</w:t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врач государственного бюджетного учреждения здравоохранения Нижегородской области «Шарангская центральная районная больница» (по согласованию)</w:t>
            </w:r>
          </w:p>
        </w:tc>
      </w:tr>
      <w:tr>
        <w:trPr/>
        <w:tc>
          <w:tcPr>
            <w:tcW w:w="232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Чурашова Елена Алексеевна</w:t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начальник Шарангского районного отдела занятости населения ГКУ ЦЗН Уренского района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>
      <w:pPr>
        <w:pStyle w:val="Normal"/>
        <w:tabs>
          <w:tab w:val="clear" w:pos="709"/>
          <w:tab w:val="left" w:pos="7655" w:leader="none"/>
        </w:tabs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Шарангского муниципального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района от 10.02.2020г № 63</w:t>
      </w:r>
    </w:p>
    <w:p>
      <w:pPr>
        <w:pStyle w:val="Normal"/>
        <w:tabs>
          <w:tab w:val="clear" w:pos="709"/>
          <w:tab w:val="left" w:pos="7655" w:leader="none"/>
        </w:tabs>
        <w:spacing w:lineRule="auto" w:line="240" w:before="0" w:after="0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autoSpaceDE w:val="false"/>
        <w:bidi w:val="0"/>
        <w:spacing w:lineRule="auto" w:line="240" w:before="0" w:after="0"/>
        <w:ind w:left="850" w:right="850" w:hanging="0"/>
        <w:jc w:val="center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Положение </w:t>
      </w:r>
    </w:p>
    <w:p>
      <w:pPr>
        <w:pStyle w:val="Normal"/>
        <w:widowControl/>
        <w:suppressAutoHyphens w:val="true"/>
        <w:overflowPunct w:val="true"/>
        <w:autoSpaceDE w:val="false"/>
        <w:bidi w:val="0"/>
        <w:spacing w:lineRule="auto" w:line="240" w:before="0" w:after="0"/>
        <w:ind w:left="850" w:right="85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межведомственной комиссии </w:t>
      </w:r>
      <w:r>
        <w:rPr>
          <w:bCs/>
          <w:spacing w:val="2"/>
          <w:sz w:val="24"/>
          <w:szCs w:val="24"/>
        </w:rPr>
        <w:t xml:space="preserve">по </w:t>
      </w:r>
      <w:r>
        <w:rPr>
          <w:sz w:val="24"/>
          <w:szCs w:val="24"/>
        </w:rPr>
        <w:t xml:space="preserve">вопросам предоставления адресной государственной социальной помощи на основании социального контракта </w:t>
      </w:r>
    </w:p>
    <w:p>
      <w:pPr>
        <w:pStyle w:val="Normal"/>
        <w:autoSpaceDE w:val="false"/>
        <w:spacing w:lineRule="auto" w:line="240" w:before="0" w:after="0"/>
        <w:ind w:left="0" w:right="0" w:firstLine="567"/>
        <w:jc w:val="center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</w:r>
    </w:p>
    <w:p>
      <w:pPr>
        <w:pStyle w:val="12"/>
        <w:keepNext w:val="true"/>
        <w:keepLines/>
        <w:spacing w:lineRule="auto" w:line="240" w:before="0" w:after="0"/>
        <w:ind w:left="0" w:right="0" w:firstLine="567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1. Основные положения</w:t>
      </w:r>
      <w:bookmarkEnd w:id="1"/>
    </w:p>
    <w:p>
      <w:pPr>
        <w:pStyle w:val="21"/>
        <w:numPr>
          <w:ilvl w:val="0"/>
          <w:numId w:val="4"/>
        </w:numPr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Межведомственная комиссия по вопросам предоставления адресной государственной социальной помощи на основании социального контракта (далее - Комиссия) является коллегиальным органом, сформированным в соответствии с пунктом 13 Порядка оказания государственной социальной помощи на основании социального контракта в Нижегородской области, утвержденного постановлением Правительства Нижегородской области от 12 февраля 2004 г. № 27.</w:t>
      </w:r>
    </w:p>
    <w:p>
      <w:pPr>
        <w:pStyle w:val="21"/>
        <w:numPr>
          <w:ilvl w:val="0"/>
          <w:numId w:val="4"/>
        </w:numPr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своей деятельности Комиссия руководствуется Конституцией Российской Федерации, Федеральным законом от 17 июля 1999 г. № 178-ФЗ «О государственной социальной помощи», Законом Нижегородской области от 8 января 2004 г. № 1-З «Об адресной государственной социальной поддержке малоимущих семей или малоимущих одиноко проживающих граждан в Нижегородской области» и иными нормативными правовыми актами Российской Федерации и Нижегородской области, а также настоящим Положением.</w:t>
      </w:r>
    </w:p>
    <w:p>
      <w:pPr>
        <w:pStyle w:val="12"/>
        <w:keepNext w:val="true"/>
        <w:keepLines/>
        <w:numPr>
          <w:ilvl w:val="0"/>
          <w:numId w:val="5"/>
        </w:numPr>
        <w:tabs>
          <w:tab w:val="clear" w:pos="709"/>
          <w:tab w:val="left" w:pos="3469" w:leader="none"/>
        </w:tabs>
        <w:spacing w:lineRule="auto" w:line="240" w:before="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bookmarkStart w:id="2" w:name="bookmark2"/>
      <w:r>
        <w:rPr>
          <w:b w:val="false"/>
          <w:sz w:val="24"/>
          <w:szCs w:val="24"/>
        </w:rPr>
        <w:t>Цели и задачи Комиссии</w:t>
      </w:r>
      <w:bookmarkEnd w:id="2"/>
    </w:p>
    <w:p>
      <w:pPr>
        <w:pStyle w:val="21"/>
        <w:numPr>
          <w:ilvl w:val="1"/>
          <w:numId w:val="5"/>
        </w:numPr>
        <w:tabs>
          <w:tab w:val="clear" w:pos="709"/>
          <w:tab w:val="left" w:pos="1421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деятельности Комиссии является выработка согласованного решения, содержащего рекомендации, позволяющие малоимущим гражданам в соответствии с перечнем мероприятий программы социальной адаптации преодолеть трудную жизненную ситуацию и улучшить их материальное положение для получения ими в дальнейшем постоянных самостоятельных источников дохода в денежной и натуральной форме, и о назначении (либо об отказе в назначении) малоимущему гражданину адресной государственной социальной помощи на основании социального контракта.</w:t>
      </w:r>
    </w:p>
    <w:p>
      <w:pPr>
        <w:pStyle w:val="21"/>
        <w:numPr>
          <w:ilvl w:val="1"/>
          <w:numId w:val="5"/>
        </w:numPr>
        <w:tabs>
          <w:tab w:val="clear" w:pos="709"/>
          <w:tab w:val="left" w:pos="1433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Комиссии являются: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комплексного анализа документов;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дифференцированного подхода при принятии решения об оказании государственной социальной помощи малоимущим гражданам с ориентацией на оказание такой помощи тем гражданам, кто имеет мотивацию к трудовой деятельности и хочет улучшить свое материальное положение;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усиление концентрации ресурсов на оказании государственной социальной помощи наиболее нуждающимся;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согласованных действий органов местного самоуправления муниципальных образований и организаций, расположенных на территории Шарангского муниципального района Нижегородской области, участвующих в реализации мероприятий, предусмотренных программой социальной адаптации, направленных на снижение уровня бедности населения Нижегородской области.</w:t>
      </w:r>
    </w:p>
    <w:p>
      <w:pPr>
        <w:pStyle w:val="12"/>
        <w:keepNext w:val="true"/>
        <w:keepLines/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rPr>
          <w:sz w:val="24"/>
          <w:szCs w:val="24"/>
        </w:rPr>
      </w:pPr>
      <w:bookmarkStart w:id="3" w:name="bookmark3"/>
      <w:r>
        <w:rPr>
          <w:b w:val="false"/>
          <w:sz w:val="24"/>
          <w:szCs w:val="24"/>
        </w:rPr>
        <w:t>3. Состав Комиссии</w:t>
      </w:r>
      <w:bookmarkEnd w:id="3"/>
    </w:p>
    <w:p>
      <w:pPr>
        <w:pStyle w:val="21"/>
        <w:numPr>
          <w:ilvl w:val="1"/>
          <w:numId w:val="6"/>
        </w:numPr>
        <w:tabs>
          <w:tab w:val="clear" w:pos="709"/>
          <w:tab w:val="left" w:pos="1433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состав комиссии входят руководители, заместители руководителей или руководители структурных подразделений органов местного самоуправления, органов социальной защиты, образования, здравоохранения, службы занятости населения, общественных и иных заинтересованных организаций.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Комиссии определяется администрацией Шарангского муниципального района Нижегородской области и утверждается постановлением администрации. 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Председателем Комиссии является заместитель главы администрации Шарангского муниципального района Нижегородской области.</w:t>
      </w:r>
    </w:p>
    <w:p>
      <w:pPr>
        <w:pStyle w:val="21"/>
        <w:tabs>
          <w:tab w:val="clear" w:pos="709"/>
          <w:tab w:val="left" w:pos="2794" w:leader="none"/>
          <w:tab w:val="left" w:pos="6624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Заместителем председателя Комиссии является директор государственного казенного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учреждения Нижегородской области «Управление социальной защиты населения Шарангского района».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Секретарем Комиссии является лицо, уполномоченное директором государственного казенного учреждения Нижегородской области «Управление социальной защиты населения Шарангского района».</w:t>
      </w:r>
    </w:p>
    <w:p>
      <w:pPr>
        <w:pStyle w:val="21"/>
        <w:numPr>
          <w:ilvl w:val="1"/>
          <w:numId w:val="6"/>
        </w:numPr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Комиссии: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 организацией деятельности Комиссии и обеспечивает ее планирование;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распределяет обязанности между заместителем председателя Комиссии, секретарем Комиссии и членами Комиссии;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дату, время, место проведения заседаний Комиссии и повестку дня ее заседаний;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вносит предложения в повестку дня заседаний Комиссии; знакомится с материалами по вопросам, рассматриваемым Комиссией;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ведет заседания Комиссии; имеет право решающего голоса на заседаниях Комиссии; подписывает документы, в том числе протоколы заседаний Комиссии.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председателя Комиссии или при невозможности принятия им участия в заседании Комиссии его функции выполняет заместитель председателя Комиссии.</w:t>
      </w:r>
    </w:p>
    <w:p>
      <w:pPr>
        <w:pStyle w:val="21"/>
        <w:numPr>
          <w:ilvl w:val="1"/>
          <w:numId w:val="6"/>
        </w:numPr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Секретарь Комиссии: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заседаниях Комиссии без права голоса;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ведет протоколы заседаний Комиссии;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выполняет поручения председателя Комиссии, заместителя председателя Комиссии;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подготовке вопросов на заседания Комиссии и осуществляет необходимые меры по исполнению ее решений;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приглашает и обеспечивает явку на заседание членов Комиссии и приглашенных на заседание;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организационное и информационно-аналитическое обеспечение деятельности Комиссии;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ведение делопроизводства и подготовку заседаний Комиссии;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рассылает решения Комиссии ее членам и другим заинтересованным лицам в 7-дневный срок после проведения заседания Комиссии.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или невозможности принятия участия секретаря Комиссии в заседании Комиссии председатель Комиссии имеет право назначить секретарем Комиссии любого из членов Комиссии.</w:t>
      </w:r>
    </w:p>
    <w:p>
      <w:pPr>
        <w:pStyle w:val="21"/>
        <w:numPr>
          <w:ilvl w:val="1"/>
          <w:numId w:val="6"/>
        </w:numPr>
        <w:tabs>
          <w:tab w:val="clear" w:pos="709"/>
          <w:tab w:val="left" w:pos="1296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обладают равными правами при рассмотрении и обсуждении вопросов, отнесенных к компетенции Комиссии, и осуществляют следующие функции: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знакомятся со всеми документами и сведениями предварительно (до заседания Комиссии);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выступают по вопросам повестки дня заседания Комиссии; принимают участие в принятии решения Комиссии.</w:t>
      </w:r>
    </w:p>
    <w:p>
      <w:pPr>
        <w:pStyle w:val="21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 Комиссии, отсутствующий на заседании, может представить свое мнение по вопросам повестки дня заседания в письменной форме, которое оглашается на заседании Комиссии и приобщается к протоколу заседания.</w:t>
      </w:r>
    </w:p>
    <w:p>
      <w:pPr>
        <w:pStyle w:val="12"/>
        <w:keepNext w:val="true"/>
        <w:keepLines/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rPr>
          <w:sz w:val="24"/>
          <w:szCs w:val="24"/>
        </w:rPr>
      </w:pPr>
      <w:bookmarkStart w:id="4" w:name="bookmark4"/>
      <w:r>
        <w:rPr>
          <w:b w:val="false"/>
          <w:sz w:val="24"/>
          <w:szCs w:val="24"/>
        </w:rPr>
        <w:t>4. Порядок работы Комиссии</w:t>
      </w:r>
      <w:bookmarkEnd w:id="4"/>
    </w:p>
    <w:p>
      <w:pPr>
        <w:pStyle w:val="21"/>
        <w:numPr>
          <w:ilvl w:val="1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Комиссия выполняет возложенные на нее функции посредством проведения заседаний.</w:t>
      </w:r>
    </w:p>
    <w:p>
      <w:pPr>
        <w:pStyle w:val="21"/>
        <w:numPr>
          <w:ilvl w:val="1"/>
          <w:numId w:val="3"/>
        </w:numPr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Заседания Комиссии проводятся по мере необходимости, но не реже 1 раза в месяц. При необходимости решением председателя Комиссии могут назначаться внеочередные заседания.</w:t>
      </w:r>
    </w:p>
    <w:p>
      <w:pPr>
        <w:pStyle w:val="21"/>
        <w:numPr>
          <w:ilvl w:val="1"/>
          <w:numId w:val="3"/>
        </w:numPr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Заседание Комиссии считается правомочным, если в нем принимают участие не менее 2/3 от числа ее членов.</w:t>
      </w:r>
    </w:p>
    <w:p>
      <w:pPr>
        <w:pStyle w:val="21"/>
        <w:numPr>
          <w:ilvl w:val="1"/>
          <w:numId w:val="3"/>
        </w:numPr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 необходимости на заседания Комиссии приглашаются малоимущие граждане, в отношении которых выносится решение Комиссии.</w:t>
      </w:r>
    </w:p>
    <w:p>
      <w:pPr>
        <w:pStyle w:val="21"/>
        <w:numPr>
          <w:ilvl w:val="1"/>
          <w:numId w:val="3"/>
        </w:numPr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 Комиссии принимаются простым боль</w:t>
      </w:r>
      <w:r>
        <w:rPr>
          <w:rStyle w:val="11"/>
          <w:sz w:val="24"/>
          <w:szCs w:val="24"/>
          <w:u w:val="none"/>
        </w:rPr>
        <w:t>ши</w:t>
      </w:r>
      <w:r>
        <w:rPr>
          <w:sz w:val="24"/>
          <w:szCs w:val="24"/>
        </w:rPr>
        <w:t>нством голосов от числа присутствующих членов, считаются принятыми, если за них проголосовало не менее половины присутствующих на заседании Комиссии, и оформляются протоколом, который подписывается председателем Комиссии и секретарем. В случае равенства голосов решающим является голос председательствующего на Комиссии.</w:t>
      </w:r>
    </w:p>
    <w:p>
      <w:pPr>
        <w:pStyle w:val="21"/>
        <w:numPr>
          <w:ilvl w:val="1"/>
          <w:numId w:val="3"/>
        </w:numPr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Решения, принятые на заседании Комиссии, носят рекомендательный характер.</w:t>
      </w:r>
    </w:p>
    <w:p>
      <w:pPr>
        <w:pStyle w:val="21"/>
        <w:numPr>
          <w:ilvl w:val="1"/>
          <w:numId w:val="3"/>
        </w:numPr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 прекращает свою деятельность на основании муниципального акта.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2160" w:hanging="720"/>
      </w:pPr>
      <w:rPr/>
    </w:lvl>
    <w:lvl w:ilvl="3">
      <w:start w:val="1"/>
      <w:numFmt w:val="decimal"/>
      <w:lvlText w:val="%1.%2.%3.%4."/>
      <w:lvlJc w:val="left"/>
      <w:pPr>
        <w:ind w:left="2880" w:hanging="720"/>
      </w:pPr>
      <w:rPr/>
    </w:lvl>
    <w:lvl w:ilvl="4">
      <w:start w:val="1"/>
      <w:numFmt w:val="decimal"/>
      <w:lvlText w:val="%1.%2.%3.%4.%5."/>
      <w:lvlJc w:val="left"/>
      <w:pPr>
        <w:ind w:left="3960" w:hanging="1080"/>
      </w:pPr>
      <w:rPr/>
    </w:lvl>
    <w:lvl w:ilvl="5">
      <w:start w:val="1"/>
      <w:numFmt w:val="decimal"/>
      <w:lvlText w:val="%1.%2.%3.%4.%5.%6."/>
      <w:lvlJc w:val="left"/>
      <w:pPr>
        <w:ind w:left="4680" w:hanging="1080"/>
      </w:pPr>
      <w:rPr/>
    </w:lvl>
    <w:lvl w:ilvl="6">
      <w:start w:val="1"/>
      <w:numFmt w:val="decimal"/>
      <w:lvlText w:val="%1.%2.%3.%4.%5.%6.%7."/>
      <w:lvlJc w:val="left"/>
      <w:pPr>
        <w:ind w:left="5760" w:hanging="1440"/>
      </w:pPr>
      <w:rPr/>
    </w:lvl>
    <w:lvl w:ilvl="7">
      <w:start w:val="1"/>
      <w:numFmt w:val="decimal"/>
      <w:lvlText w:val="%1.%2.%3.%4.%5.%6.%7.%8."/>
      <w:lvlJc w:val="left"/>
      <w:pPr>
        <w:ind w:left="6480" w:hanging="1440"/>
      </w:pPr>
      <w:rPr/>
    </w:lvl>
    <w:lvl w:ilvl="8">
      <w:start w:val="1"/>
      <w:numFmt w:val="decimal"/>
      <w:lvlText w:val="%1.%2.%3.%4.%5.%6.%7.%8.%9."/>
      <w:lvlJc w:val="left"/>
      <w:pPr>
        <w:ind w:left="7560" w:hanging="1800"/>
      </w:pPr>
      <w:rPr/>
    </w:lvl>
  </w:abstractNum>
  <w:abstractNum w:abstractNumId="4">
    <w:lvl w:ilvl="0">
      <w:start w:val="1"/>
      <w:numFmt w:val="decimal"/>
      <w:lvlText w:val="1.%1."/>
      <w:lvlJc w:val="left"/>
      <w:pPr>
        <w:tabs>
          <w:tab w:val="num" w:pos="720"/>
        </w:tabs>
        <w:ind w:left="0" w:hanging="0"/>
      </w:pPr>
      <w:rPr>
        <w:sz w:val="28"/>
      </w:rPr>
    </w:lvl>
    <w:lvl w:ilvl="1">
      <w:start w:val="0"/>
      <w:numFmt w:val="decimal"/>
      <w:lvlText w:val="%2"/>
      <w:lvlJc w:val="left"/>
      <w:pPr>
        <w:ind w:left="0" w:hanging="0"/>
      </w:pPr>
      <w:rPr/>
    </w:lvl>
    <w:lvl w:ilvl="2">
      <w:start w:val="0"/>
      <w:numFmt w:val="decimal"/>
      <w:lvlText w:val="%3"/>
      <w:lvlJc w:val="left"/>
      <w:pPr>
        <w:ind w:left="0" w:hanging="0"/>
      </w:pPr>
      <w:rPr/>
    </w:lvl>
    <w:lvl w:ilvl="3">
      <w:start w:val="0"/>
      <w:numFmt w:val="decimal"/>
      <w:lvlText w:val="%4"/>
      <w:lvlJc w:val="left"/>
      <w:pPr>
        <w:ind w:left="0" w:hanging="0"/>
      </w:pPr>
      <w:rPr/>
    </w:lvl>
    <w:lvl w:ilvl="4">
      <w:start w:val="0"/>
      <w:numFmt w:val="decimal"/>
      <w:lvlText w:val="%5"/>
      <w:lvlJc w:val="left"/>
      <w:pPr>
        <w:ind w:left="0" w:hanging="0"/>
      </w:pPr>
      <w:rPr/>
    </w:lvl>
    <w:lvl w:ilvl="5">
      <w:start w:val="0"/>
      <w:numFmt w:val="decimal"/>
      <w:lvlText w:val="%6"/>
      <w:lvlJc w:val="left"/>
      <w:pPr>
        <w:ind w:left="0" w:hanging="0"/>
      </w:pPr>
      <w:rPr/>
    </w:lvl>
    <w:lvl w:ilvl="6">
      <w:start w:val="0"/>
      <w:numFmt w:val="decimal"/>
      <w:lvlText w:val="%7"/>
      <w:lvlJc w:val="left"/>
      <w:pPr>
        <w:ind w:left="0" w:hanging="0"/>
      </w:pPr>
      <w:rPr/>
    </w:lvl>
    <w:lvl w:ilvl="7">
      <w:start w:val="0"/>
      <w:numFmt w:val="decimal"/>
      <w:lvlText w:val="%8"/>
      <w:lvlJc w:val="left"/>
      <w:pPr>
        <w:ind w:left="0" w:hanging="0"/>
      </w:pPr>
      <w:rPr/>
    </w:lvl>
    <w:lvl w:ilvl="8">
      <w:start w:val="0"/>
      <w:numFmt w:val="decimal"/>
      <w:lvlText w:val="%9"/>
      <w:lvlJc w:val="left"/>
      <w:pPr>
        <w:ind w:left="0" w:hanging="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/>
        <w:szCs w:val="26"/>
        <w:iCs w:val="false"/>
        <w:bCs/>
        <w:w w:val="100"/>
        <w:rFonts w:ascii="Times New Roman" w:hAnsi="Times New Roman" w:eastAsia="Times New Roman" w:cs="Times New Roman"/>
        <w:color w:val="000000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bidi="ru-RU"/>
      </w:rPr>
    </w:lvl>
    <w:lvl w:ilvl="2">
      <w:start w:val="0"/>
      <w:numFmt w:val="decimal"/>
      <w:lvlText w:val="%3"/>
      <w:lvlJc w:val="left"/>
      <w:pPr>
        <w:ind w:left="0" w:hanging="0"/>
      </w:pPr>
      <w:rPr/>
    </w:lvl>
    <w:lvl w:ilvl="3">
      <w:start w:val="0"/>
      <w:numFmt w:val="decimal"/>
      <w:lvlText w:val="%4"/>
      <w:lvlJc w:val="left"/>
      <w:pPr>
        <w:ind w:left="0" w:hanging="0"/>
      </w:pPr>
      <w:rPr/>
    </w:lvl>
    <w:lvl w:ilvl="4">
      <w:start w:val="0"/>
      <w:numFmt w:val="decimal"/>
      <w:lvlText w:val="%5"/>
      <w:lvlJc w:val="left"/>
      <w:pPr>
        <w:ind w:left="0" w:hanging="0"/>
      </w:pPr>
      <w:rPr/>
    </w:lvl>
    <w:lvl w:ilvl="5">
      <w:start w:val="0"/>
      <w:numFmt w:val="decimal"/>
      <w:lvlText w:val="%6"/>
      <w:lvlJc w:val="left"/>
      <w:pPr>
        <w:ind w:left="0" w:hanging="0"/>
      </w:pPr>
      <w:rPr/>
    </w:lvl>
    <w:lvl w:ilvl="6">
      <w:start w:val="0"/>
      <w:numFmt w:val="decimal"/>
      <w:lvlText w:val="%7"/>
      <w:lvlJc w:val="left"/>
      <w:pPr>
        <w:ind w:left="0" w:hanging="0"/>
      </w:pPr>
      <w:rPr/>
    </w:lvl>
    <w:lvl w:ilvl="7">
      <w:start w:val="0"/>
      <w:numFmt w:val="decimal"/>
      <w:lvlText w:val="%8"/>
      <w:lvlJc w:val="left"/>
      <w:pPr>
        <w:ind w:left="0" w:hanging="0"/>
      </w:pPr>
      <w:rPr/>
    </w:lvl>
    <w:lvl w:ilvl="8">
      <w:start w:val="0"/>
      <w:numFmt w:val="decimal"/>
      <w:lvlText w:val="%9"/>
      <w:lvlJc w:val="left"/>
      <w:pPr>
        <w:ind w:left="0" w:hanging="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2160" w:hanging="720"/>
      </w:pPr>
      <w:rPr/>
    </w:lvl>
    <w:lvl w:ilvl="3">
      <w:start w:val="1"/>
      <w:numFmt w:val="decimal"/>
      <w:lvlText w:val="%1.%2.%3.%4."/>
      <w:lvlJc w:val="left"/>
      <w:pPr>
        <w:ind w:left="2880" w:hanging="720"/>
      </w:pPr>
      <w:rPr/>
    </w:lvl>
    <w:lvl w:ilvl="4">
      <w:start w:val="1"/>
      <w:numFmt w:val="decimal"/>
      <w:lvlText w:val="%1.%2.%3.%4.%5."/>
      <w:lvlJc w:val="left"/>
      <w:pPr>
        <w:ind w:left="3960" w:hanging="1080"/>
      </w:pPr>
      <w:rPr/>
    </w:lvl>
    <w:lvl w:ilvl="5">
      <w:start w:val="1"/>
      <w:numFmt w:val="decimal"/>
      <w:lvlText w:val="%1.%2.%3.%4.%5.%6."/>
      <w:lvlJc w:val="left"/>
      <w:pPr>
        <w:ind w:left="4680" w:hanging="1080"/>
      </w:pPr>
      <w:rPr/>
    </w:lvl>
    <w:lvl w:ilvl="6">
      <w:start w:val="1"/>
      <w:numFmt w:val="decimal"/>
      <w:lvlText w:val="%1.%2.%3.%4.%5.%6.%7."/>
      <w:lvlJc w:val="left"/>
      <w:pPr>
        <w:ind w:left="5760" w:hanging="1440"/>
      </w:pPr>
      <w:rPr/>
    </w:lvl>
    <w:lvl w:ilvl="7">
      <w:start w:val="1"/>
      <w:numFmt w:val="decimal"/>
      <w:lvlText w:val="%1.%2.%3.%4.%5.%6.%7.%8."/>
      <w:lvlJc w:val="left"/>
      <w:pPr>
        <w:ind w:left="6480" w:hanging="1440"/>
      </w:pPr>
      <w:rPr/>
    </w:lvl>
    <w:lvl w:ilvl="8">
      <w:start w:val="1"/>
      <w:numFmt w:val="decimal"/>
      <w:lvlText w:val="%1.%2.%3.%4.%5.%6.%7.%8.%9."/>
      <w:lvlJc w:val="left"/>
      <w:pPr>
        <w:ind w:left="75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WW8Num25z0">
    <w:name w:val="WW8Num25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bidi="ru-RU"/>
    </w:rPr>
  </w:style>
  <w:style w:type="character" w:styleId="WW8Num25z1">
    <w:name w:val="WW8Num25z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bidi="ru-RU"/>
    </w:rPr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7z0">
    <w:name w:val="WW8Num27z0"/>
    <w:qFormat/>
    <w:rPr/>
  </w:style>
  <w:style w:type="character" w:styleId="Style12">
    <w:name w:val="Основной шрифт абзаца"/>
    <w:qFormat/>
    <w:rPr/>
  </w:style>
  <w:style w:type="character" w:styleId="Style13">
    <w:name w:val="Основной текст_"/>
    <w:basedOn w:val="Style12"/>
    <w:qFormat/>
    <w:rPr>
      <w:sz w:val="26"/>
      <w:szCs w:val="26"/>
      <w:shd w:fill="FFFFFF" w:val="clear"/>
    </w:rPr>
  </w:style>
  <w:style w:type="character" w:styleId="11">
    <w:name w:val="Основной текст1"/>
    <w:basedOn w:val="Style13"/>
    <w:qFormat/>
    <w:rPr>
      <w:color w:val="000000"/>
      <w:spacing w:val="0"/>
      <w:w w:val="100"/>
      <w:position w:val="0"/>
      <w:sz w:val="26"/>
      <w:u w:val="single"/>
      <w:vertAlign w:val="baseline"/>
      <w:lang w:val="ru-RU" w:bidi="ru-RU"/>
    </w:rPr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4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2"/>
    <w:basedOn w:val="Normal"/>
    <w:qFormat/>
    <w:pPr>
      <w:widowControl w:val="false"/>
      <w:shd w:fill="FFFFFF" w:val="clear"/>
      <w:spacing w:lineRule="exact" w:line="323"/>
      <w:jc w:val="center"/>
    </w:pPr>
    <w:rPr>
      <w:sz w:val="26"/>
      <w:szCs w:val="26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exact" w:line="319" w:before="720" w:after="0"/>
      <w:jc w:val="center"/>
      <w:outlineLvl w:val="0"/>
    </w:pPr>
    <w:rPr>
      <w:b/>
      <w:bCs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3">
    <w:name w:val="WW8Num13"/>
    <w:qFormat/>
  </w:style>
  <w:style w:type="numbering" w:styleId="WW8Num19">
    <w:name w:val="WW8Num19"/>
    <w:qFormat/>
  </w:style>
  <w:style w:type="numbering" w:styleId="WW8Num15">
    <w:name w:val="WW8Num15"/>
    <w:qFormat/>
  </w:style>
  <w:style w:type="numbering" w:styleId="WW8Num25">
    <w:name w:val="WW8Num25"/>
    <w:qFormat/>
  </w:style>
  <w:style w:type="numbering" w:styleId="WW8Num27">
    <w:name w:val="WW8Num27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LibreOffice/6.3.4.2$Windows_X86_64 LibreOffice_project/60da17e045e08f1793c57c00ba83cdfce946d0aa</Application>
  <Pages>6</Pages>
  <Words>1093</Words>
  <Characters>8479</Characters>
  <CharactersWithSpaces>9491</CharactersWithSpaces>
  <Paragraphs>90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2020-02-12T11:22:00Z</cp:lastPrinted>
  <dcterms:modified xsi:type="dcterms:W3CDTF">2020-02-12T11:22:44Z</dcterms:modified>
  <cp:revision>77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